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(Rule 14a-101)</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2" w:lineRule="exact"/>
        <w:rPr>
          <w:sz w:val="24"/>
          <w:szCs w:val="24"/>
          <w:color w:val="auto"/>
        </w:rPr>
      </w:pPr>
    </w:p>
    <w:p>
      <w:pPr>
        <w:spacing w:after="0" w:line="207" w:lineRule="exact"/>
        <w:tabs>
          <w:tab w:leader="none" w:pos="4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80"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20" w:hanging="453"/>
        <w:spacing w:after="0" w:line="277"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8"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0" w:right="200" w:hanging="452"/>
        <w:spacing w:after="0" w:line="308" w:lineRule="auto"/>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-190500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-533400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-876300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-1974215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-2317115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-2660015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-3140075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-3483610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476" w:right="4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2901950</wp:posOffset>
            </wp:positionH>
            <wp:positionV relativeFrom="page">
              <wp:posOffset>534670</wp:posOffset>
            </wp:positionV>
            <wp:extent cx="1715135" cy="1149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1513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line="234" w:lineRule="auto"/>
        <w:rPr>
          <w:sz w:val="20"/>
          <w:szCs w:val="20"/>
          <w:color w:val="auto"/>
        </w:rPr>
      </w:pPr>
      <w:r>
        <w:rPr>
          <w:rFonts w:ascii="Arial" w:cs="Arial" w:eastAsia="Arial" w:hAnsi="Arial"/>
          <w:sz w:val="18"/>
          <w:szCs w:val="18"/>
          <w:b w:val="1"/>
          <w:bCs w:val="1"/>
          <w:color w:val="auto"/>
        </w:rPr>
        <w:t>New York, New York 10017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28,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98" w:lineRule="exact"/>
        <w:rPr>
          <w:sz w:val="20"/>
          <w:szCs w:val="20"/>
          <w:color w:val="auto"/>
        </w:rPr>
      </w:pPr>
    </w:p>
    <w:p>
      <w:pPr>
        <w:ind w:right="1000" w:firstLine="648"/>
        <w:spacing w:after="0" w:line="246" w:lineRule="auto"/>
        <w:rPr>
          <w:sz w:val="20"/>
          <w:szCs w:val="20"/>
          <w:color w:val="auto"/>
        </w:rPr>
      </w:pPr>
      <w:r>
        <w:rPr>
          <w:rFonts w:ascii="Arial" w:cs="Arial" w:eastAsia="Arial" w:hAnsi="Arial"/>
          <w:sz w:val="18"/>
          <w:szCs w:val="18"/>
          <w:color w:val="auto"/>
        </w:rPr>
        <w:t>On behalf of the board of directors of ExlService Holdings, Inc., we are pleased to invite you to the 2017 Annual Meeting of Stockholders, which will be held on June 22, 2017 in New York, New York.</w:t>
      </w:r>
    </w:p>
    <w:p>
      <w:pPr>
        <w:spacing w:after="0" w:line="183"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The Annual Meeting will begin with discussion and voting on the matters set forth on the accompanying Notice of the Annual Meeting and Proxy Statement, followed by discussion of other business matters properly brought before the Annual Meeting.</w:t>
      </w:r>
    </w:p>
    <w:p>
      <w:pPr>
        <w:spacing w:after="0" w:line="183"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Pursuant to rules promulgated by the Securities and Exchange Commission, we are providing access to our proxy materials over the Internet. On or about April 28, 2017, we will mail a Notice of Internet Availability of Proxy Materials (the “Internet Notice”) to each of our stockholders of record and beneficial owners at the close of business on April 26, 2017, the record date for the Annual Meeting. On the date of mailing of the Internet Notice, all stockholders and beneficial owners will have the ability to access all of the proxy materials on a website referred to in the Internet Notice. These proxy materials will be available free of charge.</w:t>
      </w:r>
    </w:p>
    <w:p>
      <w:pPr>
        <w:spacing w:after="0" w:line="189"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Even if you choose to attend the Annual Meeting in person, you are encouraged to review the proxy materials and vote your shares in advance of the meeting by Internet or phone. The Internet Notice will contain instructions to allow you to request copies of the proxy materials to be sent to you by mail. Any proxy materials sent to you will include a proxy card that you may use to cast your vote by completing, signing and returning the proxy card by mail (or voting instruction form, if you hold shares through a broker). Your vote is extremely important, and we appreciate you taking the time to vote promptly. If you attend the Annual Meeting, you may withdraw your proxy should you wish to vote in person.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and management look forward to seeing you at the Annual Meeting.</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126365</wp:posOffset>
            </wp:positionV>
            <wp:extent cx="1029335"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9335" cy="46291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126365</wp:posOffset>
            </wp:positionV>
            <wp:extent cx="1029335"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ind w:left="640"/>
              <w:spacing w:after="0"/>
              <w:rPr>
                <w:sz w:val="20"/>
                <w:szCs w:val="20"/>
                <w:color w:val="auto"/>
              </w:rPr>
            </w:pPr>
            <w:r>
              <w:rPr>
                <w:rFonts w:ascii="Arial" w:cs="Arial" w:eastAsia="Arial" w:hAnsi="Arial"/>
                <w:sz w:val="18"/>
                <w:szCs w:val="18"/>
                <w:color w:val="auto"/>
              </w:rPr>
              <w:t>Garen K. Staglin</w:t>
            </w:r>
          </w:p>
        </w:tc>
        <w:tc>
          <w:tcPr>
            <w:tcW w:w="7580" w:type="dxa"/>
            <w:vAlign w:val="bottom"/>
          </w:tcPr>
          <w:p>
            <w:pPr>
              <w:ind w:left="1880"/>
              <w:spacing w:after="0"/>
              <w:rPr>
                <w:sz w:val="20"/>
                <w:szCs w:val="20"/>
                <w:color w:val="auto"/>
              </w:rPr>
            </w:pPr>
            <w:r>
              <w:rPr>
                <w:rFonts w:ascii="Arial" w:cs="Arial" w:eastAsia="Arial" w:hAnsi="Arial"/>
                <w:sz w:val="18"/>
                <w:szCs w:val="18"/>
                <w:color w:val="auto"/>
              </w:rPr>
              <w:t>Rohit Kapoor</w:t>
            </w:r>
          </w:p>
        </w:tc>
      </w:tr>
      <w:tr>
        <w:trPr>
          <w:trHeight w:val="217"/>
        </w:trPr>
        <w:tc>
          <w:tcPr>
            <w:tcW w:w="3840" w:type="dxa"/>
            <w:vAlign w:val="bottom"/>
          </w:tcPr>
          <w:p>
            <w:pPr>
              <w:ind w:left="640"/>
              <w:spacing w:after="0"/>
              <w:rPr>
                <w:sz w:val="20"/>
                <w:szCs w:val="20"/>
                <w:color w:val="auto"/>
              </w:rPr>
            </w:pPr>
            <w:r>
              <w:rPr>
                <w:rFonts w:ascii="Arial" w:cs="Arial" w:eastAsia="Arial" w:hAnsi="Arial"/>
                <w:sz w:val="18"/>
                <w:szCs w:val="18"/>
                <w:color w:val="auto"/>
              </w:rPr>
              <w:t>Chairman</w:t>
            </w:r>
          </w:p>
        </w:tc>
        <w:tc>
          <w:tcPr>
            <w:tcW w:w="7580" w:type="dxa"/>
            <w:vAlign w:val="bottom"/>
          </w:tcPr>
          <w:p>
            <w:pPr>
              <w:ind w:left="1880"/>
              <w:spacing w:after="0"/>
              <w:rPr>
                <w:sz w:val="20"/>
                <w:szCs w:val="20"/>
                <w:color w:val="auto"/>
              </w:rPr>
            </w:pPr>
            <w:r>
              <w:rPr>
                <w:rFonts w:ascii="Arial" w:cs="Arial" w:eastAsia="Arial" w:hAnsi="Arial"/>
                <w:sz w:val="18"/>
                <w:szCs w:val="18"/>
                <w:color w:val="auto"/>
              </w:rPr>
              <w:t>Vice Chairman and CEO</w:t>
            </w:r>
          </w:p>
        </w:tc>
      </w:tr>
      <w:tr>
        <w:trPr>
          <w:trHeight w:val="608"/>
        </w:trPr>
        <w:tc>
          <w:tcPr>
            <w:tcW w:w="384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3141980</wp:posOffset>
            </wp:positionH>
            <wp:positionV relativeFrom="page">
              <wp:posOffset>509270</wp:posOffset>
            </wp:positionV>
            <wp:extent cx="1286510" cy="866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8651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2017 ANNUAL MEETING OF STOCKHOLDERS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are cordially invited to the 2017 Annual Meeting of Stockholders of ExlService Holdings, Inc., a Delaware corporation (the</w:t>
      </w:r>
    </w:p>
    <w:p>
      <w:pPr>
        <w:spacing w:after="0" w:line="181" w:lineRule="auto"/>
        <w:rPr>
          <w:sz w:val="20"/>
          <w:szCs w:val="20"/>
          <w:color w:val="auto"/>
        </w:rPr>
      </w:pPr>
      <w:r>
        <w:rPr>
          <w:rFonts w:ascii="Arial" w:cs="Arial" w:eastAsia="Arial" w:hAnsi="Arial"/>
          <w:sz w:val="17"/>
          <w:szCs w:val="17"/>
          <w:color w:val="auto"/>
        </w:rPr>
        <w:t>“Company”). The Annual Meeting will be held at the New York offices of the Company, 280 Park Avenue, 38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w:t>
      </w:r>
    </w:p>
    <w:p>
      <w:pPr>
        <w:spacing w:after="0"/>
        <w:rPr>
          <w:sz w:val="20"/>
          <w:szCs w:val="20"/>
          <w:color w:val="auto"/>
        </w:rPr>
      </w:pPr>
      <w:r>
        <w:rPr>
          <w:rFonts w:ascii="Arial" w:cs="Arial" w:eastAsia="Arial" w:hAnsi="Arial"/>
          <w:sz w:val="18"/>
          <w:szCs w:val="18"/>
          <w:color w:val="auto"/>
        </w:rPr>
        <w:t>10017 on June 22, 2017 at 9:00 AM, Eastern Time, for the purposes of voting on the following matters:</w:t>
      </w:r>
    </w:p>
    <w:p>
      <w:pPr>
        <w:spacing w:after="0" w:line="198"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three Class II members of the board of directors of the Company for a term of three years each;</w:t>
      </w:r>
    </w:p>
    <w:p>
      <w:pPr>
        <w:spacing w:after="0" w:line="198" w:lineRule="exact"/>
        <w:rPr>
          <w:rFonts w:ascii="Arial" w:cs="Arial" w:eastAsia="Arial" w:hAnsi="Arial"/>
          <w:sz w:val="18"/>
          <w:szCs w:val="18"/>
          <w:color w:val="auto"/>
        </w:rPr>
      </w:pPr>
    </w:p>
    <w:p>
      <w:pPr>
        <w:ind w:left="880" w:right="140" w:hanging="440"/>
        <w:spacing w:after="0" w:line="246"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the independent registered public accounting firm of the Company for fiscal year 2017;</w:t>
      </w:r>
    </w:p>
    <w:p>
      <w:pPr>
        <w:spacing w:after="0" w:line="183"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approval, on a non-binding advisory basis, of the compensation of the named executive officers of the Company;</w:t>
      </w:r>
    </w:p>
    <w:p>
      <w:pPr>
        <w:spacing w:after="0" w:line="198" w:lineRule="exact"/>
        <w:rPr>
          <w:rFonts w:ascii="Arial" w:cs="Arial" w:eastAsia="Arial" w:hAnsi="Arial"/>
          <w:sz w:val="18"/>
          <w:szCs w:val="18"/>
          <w:color w:val="auto"/>
        </w:rPr>
      </w:pPr>
    </w:p>
    <w:p>
      <w:pPr>
        <w:ind w:left="880" w:right="280" w:hanging="440"/>
        <w:spacing w:after="0" w:line="246"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determination, on a non-binding advisory basis, of how frequently the stockholders should hold a non-binding advisory vote to approve the compensation of the named executive officers of the Company; and</w:t>
      </w:r>
    </w:p>
    <w:p>
      <w:pPr>
        <w:spacing w:after="0" w:line="183" w:lineRule="exact"/>
        <w:rPr>
          <w:rFonts w:ascii="Arial" w:cs="Arial" w:eastAsia="Arial" w:hAnsi="Arial"/>
          <w:sz w:val="18"/>
          <w:szCs w:val="18"/>
          <w:color w:val="auto"/>
        </w:rPr>
      </w:pPr>
    </w:p>
    <w:p>
      <w:pPr>
        <w:ind w:left="880" w:right="540" w:hanging="440"/>
        <w:spacing w:after="0" w:line="246"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 or postponement thereof.</w:t>
      </w:r>
    </w:p>
    <w:p>
      <w:pPr>
        <w:spacing w:after="0" w:line="183" w:lineRule="exact"/>
        <w:rPr>
          <w:sz w:val="20"/>
          <w:szCs w:val="20"/>
          <w:color w:val="auto"/>
        </w:rPr>
      </w:pPr>
    </w:p>
    <w:p>
      <w:pPr>
        <w:jc w:val="center"/>
        <w:ind w:right="180"/>
        <w:spacing w:after="0" w:line="234" w:lineRule="auto"/>
        <w:rPr>
          <w:sz w:val="20"/>
          <w:szCs w:val="20"/>
          <w:color w:val="auto"/>
        </w:rPr>
      </w:pPr>
      <w:r>
        <w:rPr>
          <w:rFonts w:ascii="Arial" w:cs="Arial" w:eastAsia="Arial" w:hAnsi="Arial"/>
          <w:sz w:val="18"/>
          <w:szCs w:val="18"/>
          <w:color w:val="auto"/>
        </w:rPr>
        <w:t>If you are a stockholder of record at the close of business on April 26, 2017, you are entitled to vote at the Annual Meeting. A list of stockholders as of the record date will be available for examination for any purpose germane to the Annual Meeting, during ordinary business</w:t>
      </w:r>
    </w:p>
    <w:p>
      <w:pPr>
        <w:spacing w:after="0" w:line="2" w:lineRule="exact"/>
        <w:rPr>
          <w:sz w:val="20"/>
          <w:szCs w:val="20"/>
          <w:color w:val="auto"/>
        </w:rPr>
      </w:pPr>
    </w:p>
    <w:p>
      <w:pPr>
        <w:ind w:right="100"/>
        <w:spacing w:after="0" w:line="199" w:lineRule="auto"/>
        <w:rPr>
          <w:sz w:val="20"/>
          <w:szCs w:val="20"/>
          <w:color w:val="auto"/>
        </w:rPr>
      </w:pPr>
      <w:r>
        <w:rPr>
          <w:rFonts w:ascii="Arial" w:cs="Arial" w:eastAsia="Arial" w:hAnsi="Arial"/>
          <w:sz w:val="18"/>
          <w:szCs w:val="18"/>
          <w:color w:val="auto"/>
        </w:rPr>
        <w:t>hours, at the Company’s executive offices at 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for a period of 10 days prior to the date of the Annual Meeting and at the Annual Meeting itself.</w:t>
      </w:r>
    </w:p>
    <w:p>
      <w:pPr>
        <w:spacing w:after="0" w:line="190" w:lineRule="exact"/>
        <w:rPr>
          <w:sz w:val="20"/>
          <w:szCs w:val="20"/>
          <w:color w:val="auto"/>
        </w:rPr>
      </w:pPr>
    </w:p>
    <w:p>
      <w:pPr>
        <w:ind w:firstLine="441"/>
        <w:spacing w:after="0" w:line="248" w:lineRule="auto"/>
        <w:rPr>
          <w:sz w:val="20"/>
          <w:szCs w:val="20"/>
          <w:color w:val="auto"/>
        </w:rPr>
      </w:pPr>
      <w:r>
        <w:rPr>
          <w:rFonts w:ascii="Arial" w:cs="Arial" w:eastAsia="Arial" w:hAnsi="Arial"/>
          <w:sz w:val="17"/>
          <w:szCs w:val="17"/>
          <w:color w:val="auto"/>
        </w:rPr>
        <w:t>Whether or not you expect to attend the Annual Meeting in person, the Company encourages you to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Voting by proxy will not deprive you of the right to attend the Annual Meeting or to vote your shares in person. You can revoke a proxy at any time before it is exercised by voting in person at the Annual Meeting, by delivering a subsequent proxy or by notifying the inspector of elections in writing of such revocation prior to the Annual Meeting.</w:t>
      </w:r>
    </w:p>
    <w:p>
      <w:pPr>
        <w:spacing w:after="0" w:line="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YOUR SHARES CANNOT BE VOTED UNLESS YOU EITHER (I) VOTE BY USING THE INTERNET, (II) VOTE BY PHONE, (III) REQUEST PROXY MATERIALS BE SENT TO YOU BY MAIL AND THEN USE THE PROXY CARD PROVIDED BY MAIL TO CAST YOUR VOTE BY COMPLETING, SIGNING AND RETURNING THE PROXY CARD BY MAIL OR (IV) ATTEND THE ANNUAL MEETING AND VOTE IN PERSON.</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39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Nancy Saltzman</w:t>
      </w:r>
    </w:p>
    <w:p>
      <w:pPr>
        <w:ind w:left="5720"/>
        <w:spacing w:after="0" w:line="234" w:lineRule="auto"/>
        <w:rPr>
          <w:sz w:val="20"/>
          <w:szCs w:val="20"/>
          <w:color w:val="auto"/>
        </w:rPr>
      </w:pPr>
      <w:r>
        <w:rPr>
          <w:rFonts w:ascii="Arial" w:cs="Arial" w:eastAsia="Arial" w:hAnsi="Arial"/>
          <w:sz w:val="18"/>
          <w:szCs w:val="18"/>
          <w:color w:val="auto"/>
        </w:rPr>
        <w:t>Executive Vice President,</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General Counsel and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April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860" w:type="dxa"/>
            <w:vAlign w:val="bottom"/>
            <w:gridSpan w:val="19"/>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2017 PROXY STATEMENT SUMMARY</w:t>
              </w:r>
            </w:hyperlink>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860" w:type="dxa"/>
            <w:vAlign w:val="bottom"/>
            <w:gridSpan w:val="19"/>
            <w:vMerge w:val="continue"/>
          </w:tcPr>
          <w:p>
            <w:pPr>
              <w:spacing w:after="0"/>
              <w:rPr>
                <w:sz w:val="13"/>
                <w:szCs w:val="13"/>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8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10">
              <w:r>
                <w:rPr>
                  <w:rFonts w:ascii="Arial" w:cs="Arial" w:eastAsia="Arial" w:hAnsi="Arial"/>
                  <w:sz w:val="18"/>
                  <w:szCs w:val="18"/>
                  <w:color w:val="0000EE"/>
                  <w:w w:val="98"/>
                </w:rPr>
                <w:t>INFORMATION CONCERNING VOTING AND SOLICITATION</w:t>
              </w:r>
            </w:hyperlink>
          </w:p>
        </w:tc>
        <w:tc>
          <w:tcPr>
            <w:tcW w:w="588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385"/>
        </w:trPr>
        <w:tc>
          <w:tcPr>
            <w:tcW w:w="1086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OUR BOARD OF DIRECTORS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385"/>
        </w:trPr>
        <w:tc>
          <w:tcPr>
            <w:tcW w:w="2500" w:type="dxa"/>
            <w:vAlign w:val="bottom"/>
            <w:tcBorders>
              <w:top w:val="single" w:sz="8" w:color="0000EE"/>
            </w:tcBorders>
            <w:gridSpan w:val="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CORPORATE GOVERNANCE</w:t>
              </w:r>
            </w:hyperlink>
          </w:p>
        </w:tc>
        <w:tc>
          <w:tcPr>
            <w:tcW w:w="8360" w:type="dxa"/>
            <w:vAlign w:val="bottom"/>
            <w:gridSpan w:val="14"/>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385"/>
        </w:trPr>
        <w:tc>
          <w:tcPr>
            <w:tcW w:w="24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OUR EXECUTIVE OFFICERS</w:t>
              </w:r>
            </w:hyperlink>
          </w:p>
        </w:tc>
        <w:tc>
          <w:tcPr>
            <w:tcW w:w="20" w:type="dxa"/>
            <w:vAlign w:val="bottom"/>
            <w:tcBorders>
              <w:top w:val="single" w:sz="8" w:color="0000EE"/>
            </w:tcBorders>
          </w:tcPr>
          <w:p>
            <w:pPr>
              <w:spacing w:after="0"/>
              <w:rPr>
                <w:sz w:val="24"/>
                <w:szCs w:val="24"/>
                <w:color w:val="auto"/>
              </w:rPr>
            </w:pPr>
          </w:p>
        </w:tc>
        <w:tc>
          <w:tcPr>
            <w:tcW w:w="840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385"/>
        </w:trPr>
        <w:tc>
          <w:tcPr>
            <w:tcW w:w="1086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EXECUTIVE COMPENSATION</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6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COMPENSATION COMMITTEE REPORT</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6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STOCK OWNERSHIP OF DIRECTORS, EXECUTIVE OFFICERS AND CERTAIN BENEFICIAL OWNERS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0" w:type="dxa"/>
            <w:vAlign w:val="bottom"/>
          </w:tcPr>
          <w:p>
            <w:pPr>
              <w:spacing w:after="0"/>
              <w:rPr>
                <w:sz w:val="1"/>
                <w:szCs w:val="1"/>
                <w:color w:val="auto"/>
              </w:rPr>
            </w:pPr>
          </w:p>
        </w:tc>
      </w:tr>
      <w:tr>
        <w:trPr>
          <w:trHeight w:val="385"/>
        </w:trPr>
        <w:tc>
          <w:tcPr>
            <w:tcW w:w="8480" w:type="dxa"/>
            <w:vAlign w:val="bottom"/>
            <w:tcBorders>
              <w:top w:val="single" w:sz="8" w:color="0000EE"/>
            </w:tcBorders>
            <w:gridSpan w:val="1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CERTAIN RELATIONSHIPS AND RELATED PERSON TRANSACTIONS</w:t>
              </w:r>
            </w:hyperlink>
          </w:p>
        </w:tc>
        <w:tc>
          <w:tcPr>
            <w:tcW w:w="238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0" w:type="dxa"/>
            <w:vAlign w:val="bottom"/>
          </w:tcPr>
          <w:p>
            <w:pPr>
              <w:spacing w:after="0"/>
              <w:rPr>
                <w:sz w:val="1"/>
                <w:szCs w:val="1"/>
                <w:color w:val="auto"/>
              </w:rPr>
            </w:pPr>
          </w:p>
        </w:tc>
      </w:tr>
      <w:tr>
        <w:trPr>
          <w:trHeight w:val="385"/>
        </w:trPr>
        <w:tc>
          <w:tcPr>
            <w:tcW w:w="5820" w:type="dxa"/>
            <w:vAlign w:val="bottom"/>
            <w:tcBorders>
              <w:top w:val="single" w:sz="8" w:color="0000EE"/>
            </w:tcBorders>
            <w:gridSpan w:val="1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REPORT OF THE AUDIT COMMITTEE</w:t>
              </w:r>
            </w:hyperlink>
          </w:p>
        </w:tc>
        <w:tc>
          <w:tcPr>
            <w:tcW w:w="504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68">
              <w:r>
                <w:rPr>
                  <w:rFonts w:ascii="Arial" w:cs="Arial" w:eastAsia="Arial" w:hAnsi="Arial"/>
                  <w:sz w:val="18"/>
                  <w:szCs w:val="18"/>
                  <w:color w:val="0000EE"/>
                  <w:w w:val="99"/>
                </w:rPr>
                <w:t>PROPOSAL 1: ELECTION OF DIRECTORS</w:t>
              </w:r>
            </w:hyperlink>
          </w:p>
        </w:tc>
        <w:tc>
          <w:tcPr>
            <w:tcW w:w="730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385"/>
        </w:trPr>
        <w:tc>
          <w:tcPr>
            <w:tcW w:w="10860" w:type="dxa"/>
            <w:vAlign w:val="bottom"/>
            <w:gridSpan w:val="1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PROPOSAL 2: RATIFICATION OF THE APPOINTMENT OF INDEPENDENT REGISTERED PUBLIC ACCOUNTING FIRM</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66</w:t>
            </w:r>
          </w:p>
        </w:tc>
        <w:tc>
          <w:tcPr>
            <w:tcW w:w="0" w:type="dxa"/>
            <w:vAlign w:val="bottom"/>
          </w:tcPr>
          <w:p>
            <w:pPr>
              <w:spacing w:after="0"/>
              <w:rPr>
                <w:sz w:val="1"/>
                <w:szCs w:val="1"/>
                <w:color w:val="auto"/>
              </w:rPr>
            </w:pPr>
          </w:p>
        </w:tc>
      </w:tr>
      <w:tr>
        <w:trPr>
          <w:trHeight w:val="385"/>
        </w:trPr>
        <w:tc>
          <w:tcPr>
            <w:tcW w:w="9840" w:type="dxa"/>
            <w:vAlign w:val="bottom"/>
            <w:tcBorders>
              <w:top w:val="single" w:sz="8" w:color="0000EE"/>
            </w:tcBorders>
            <w:gridSpan w:val="1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PROPOSAL 3: ADVISORY (NON-BINDING) VOTE ON EXECUTIVE COMPENSATION</w:t>
              </w:r>
            </w:hyperlink>
          </w:p>
        </w:tc>
        <w:tc>
          <w:tcPr>
            <w:tcW w:w="102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68</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520" w:type="dxa"/>
            <w:vAlign w:val="bottom"/>
            <w:gridSpan w:val="10"/>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60" w:type="dxa"/>
            <w:vAlign w:val="bottom"/>
            <w:gridSpan w:val="1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PROPOSAL 4: ADVISORY (NON-BINDING) VOTE ON HOW FREQUENTLY STOCKHOLDERS SHOULD VOTE TO APPROVE</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0" w:type="dxa"/>
            <w:vAlign w:val="bottom"/>
            <w:tcBorders>
              <w:top w:val="single" w:sz="8" w:color="0000EE"/>
            </w:tcBorders>
          </w:tcPr>
          <w:p>
            <w:pPr>
              <w:spacing w:after="0"/>
              <w:rPr>
                <w:sz w:val="15"/>
                <w:szCs w:val="15"/>
                <w:color w:val="auto"/>
              </w:rPr>
            </w:pPr>
          </w:p>
        </w:tc>
        <w:tc>
          <w:tcPr>
            <w:tcW w:w="490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COMPENSATION OF THE NAMED EXECUTIVE OFFICERS</w:t>
              </w:r>
            </w:hyperlink>
          </w:p>
        </w:tc>
        <w:tc>
          <w:tcPr>
            <w:tcW w:w="5180" w:type="dxa"/>
            <w:vAlign w:val="bottom"/>
            <w:tcBorders>
              <w:top w:val="single" w:sz="8" w:color="0000EE"/>
            </w:tcBorders>
            <w:gridSpan w:val="6"/>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69</w:t>
            </w:r>
          </w:p>
        </w:tc>
        <w:tc>
          <w:tcPr>
            <w:tcW w:w="0" w:type="dxa"/>
            <w:vAlign w:val="bottom"/>
          </w:tcPr>
          <w:p>
            <w:pPr>
              <w:spacing w:after="0"/>
              <w:rPr>
                <w:sz w:val="1"/>
                <w:szCs w:val="1"/>
                <w:color w:val="auto"/>
              </w:rPr>
            </w:pPr>
          </w:p>
        </w:tc>
      </w:tr>
      <w:tr>
        <w:trPr>
          <w:trHeight w:val="385"/>
        </w:trPr>
        <w:tc>
          <w:tcPr>
            <w:tcW w:w="820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73">
              <w:r>
                <w:rPr>
                  <w:rFonts w:ascii="Arial" w:cs="Arial" w:eastAsia="Arial" w:hAnsi="Arial"/>
                  <w:sz w:val="18"/>
                  <w:szCs w:val="18"/>
                  <w:color w:val="0000EE"/>
                  <w:w w:val="99"/>
                </w:rPr>
                <w:t>STOCKHOLDER PROPOSALS AND DIRECTOR NOMINATIONS FOR THE 2018 ANNUAL MEETING</w:t>
              </w:r>
            </w:hyperlink>
          </w:p>
        </w:tc>
        <w:tc>
          <w:tcPr>
            <w:tcW w:w="266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70</w:t>
            </w:r>
          </w:p>
        </w:tc>
        <w:tc>
          <w:tcPr>
            <w:tcW w:w="0" w:type="dxa"/>
            <w:vAlign w:val="bottom"/>
          </w:tcPr>
          <w:p>
            <w:pPr>
              <w:spacing w:after="0"/>
              <w:rPr>
                <w:sz w:val="1"/>
                <w:szCs w:val="1"/>
                <w:color w:val="auto"/>
              </w:rPr>
            </w:pPr>
          </w:p>
        </w:tc>
      </w:tr>
      <w:tr>
        <w:trPr>
          <w:trHeight w:val="385"/>
        </w:trPr>
        <w:tc>
          <w:tcPr>
            <w:tcW w:w="154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74">
              <w:r>
                <w:rPr>
                  <w:rFonts w:ascii="Arial" w:cs="Arial" w:eastAsia="Arial" w:hAnsi="Arial"/>
                  <w:sz w:val="18"/>
                  <w:szCs w:val="18"/>
                  <w:color w:val="0000EE"/>
                  <w:w w:val="99"/>
                </w:rPr>
                <w:t>MISCELLANEOUS</w:t>
              </w:r>
            </w:hyperlink>
          </w:p>
        </w:tc>
        <w:tc>
          <w:tcPr>
            <w:tcW w:w="9320" w:type="dxa"/>
            <w:vAlign w:val="bottom"/>
            <w:gridSpan w:val="17"/>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71</w:t>
            </w:r>
          </w:p>
        </w:tc>
        <w:tc>
          <w:tcPr>
            <w:tcW w:w="0" w:type="dxa"/>
            <w:vAlign w:val="bottom"/>
          </w:tcPr>
          <w:p>
            <w:pPr>
              <w:spacing w:after="0"/>
              <w:rPr>
                <w:sz w:val="1"/>
                <w:szCs w:val="1"/>
                <w:color w:val="auto"/>
              </w:rPr>
            </w:pPr>
          </w:p>
        </w:tc>
      </w:tr>
      <w:tr>
        <w:trPr>
          <w:trHeight w:val="385"/>
        </w:trPr>
        <w:tc>
          <w:tcPr>
            <w:tcW w:w="10860" w:type="dxa"/>
            <w:vAlign w:val="bottom"/>
            <w:gridSpan w:val="1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OTHER MATTERS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72</w:t>
            </w:r>
          </w:p>
        </w:tc>
        <w:tc>
          <w:tcPr>
            <w:tcW w:w="0" w:type="dxa"/>
            <w:vAlign w:val="bottom"/>
          </w:tcPr>
          <w:p>
            <w:pPr>
              <w:spacing w:after="0"/>
              <w:rPr>
                <w:sz w:val="1"/>
                <w:szCs w:val="1"/>
                <w:color w:val="auto"/>
              </w:rPr>
            </w:pPr>
          </w:p>
        </w:tc>
      </w:tr>
      <w:tr>
        <w:trPr>
          <w:trHeight w:val="628"/>
        </w:trPr>
        <w:tc>
          <w:tcPr>
            <w:tcW w:w="160" w:type="dxa"/>
            <w:vAlign w:val="bottom"/>
            <w:tcBorders>
              <w:top w:val="single" w:sz="8" w:color="0000EE"/>
              <w:bottom w:val="single" w:sz="8" w:color="auto"/>
            </w:tcBorders>
          </w:tcPr>
          <w:p>
            <w:pPr>
              <w:spacing w:after="0"/>
              <w:rPr>
                <w:sz w:val="24"/>
                <w:szCs w:val="24"/>
                <w:color w:val="auto"/>
              </w:rPr>
            </w:pPr>
          </w:p>
        </w:tc>
        <w:tc>
          <w:tcPr>
            <w:tcW w:w="1380" w:type="dxa"/>
            <w:vAlign w:val="bottom"/>
            <w:tcBorders>
              <w:top w:val="single" w:sz="8" w:color="0000EE"/>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508BC7"/>
        </w:rPr>
        <w:t>PROXY STATEMENT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08BC7"/>
        </w:rPr>
        <w:t>2017 PROXY STATEMENT SUMMARY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23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line="15"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Below is a summary of selected key components of this proxy statement, including information regarding this year’s stockholder meeting, nominees for our Board of Directors, summary of our business, performance highlights and selective executive compensation information. This summary does not contain all of the information that you should consider prior to submitting your proxy, and you should review the entire proxy statement and our Annual Report on Form 10-K for the fiscal year ended December 31, 2016 (the “2016 Form 10-K”).</w:t>
      </w:r>
    </w:p>
    <w:p>
      <w:pPr>
        <w:spacing w:after="0" w:line="200" w:lineRule="exact"/>
        <w:rPr>
          <w:sz w:val="20"/>
          <w:szCs w:val="20"/>
          <w:color w:val="auto"/>
        </w:rPr>
      </w:pP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60" w:type="dxa"/>
            <w:vAlign w:val="bottom"/>
            <w:tcBorders>
              <w:top w:val="single" w:sz="8" w:color="auto"/>
              <w:left w:val="single" w:sz="8" w:color="auto"/>
              <w:bottom w:val="single" w:sz="8" w:color="auto"/>
            </w:tcBorders>
            <w:shd w:val="clear" w:color="auto" w:fill="508BC7"/>
          </w:tcPr>
          <w:p>
            <w:pPr>
              <w:spacing w:after="0"/>
              <w:rPr>
                <w:sz w:val="22"/>
                <w:szCs w:val="22"/>
                <w:color w:val="auto"/>
              </w:rPr>
            </w:pPr>
          </w:p>
        </w:tc>
        <w:tc>
          <w:tcPr>
            <w:tcW w:w="9260" w:type="dxa"/>
            <w:vAlign w:val="bottom"/>
            <w:tcBorders>
              <w:top w:val="single" w:sz="8" w:color="auto"/>
              <w:bottom w:val="single" w:sz="8" w:color="auto"/>
              <w:right w:val="single" w:sz="8" w:color="auto"/>
            </w:tcBorders>
            <w:shd w:val="clear" w:color="auto" w:fill="508BC7"/>
          </w:tcPr>
          <w:p>
            <w:pPr>
              <w:ind w:left="2120"/>
              <w:spacing w:after="0"/>
              <w:rPr>
                <w:sz w:val="20"/>
                <w:szCs w:val="20"/>
                <w:color w:val="auto"/>
              </w:rPr>
            </w:pPr>
            <w:r>
              <w:rPr>
                <w:rFonts w:ascii="Arial" w:cs="Arial" w:eastAsia="Arial" w:hAnsi="Arial"/>
                <w:sz w:val="22"/>
                <w:szCs w:val="22"/>
                <w:b w:val="1"/>
                <w:bCs w:val="1"/>
                <w:color w:val="FFFFFF"/>
              </w:rPr>
              <w:t>Annual Meeting Information</w:t>
            </w:r>
          </w:p>
        </w:tc>
      </w:tr>
      <w:tr>
        <w:trPr>
          <w:trHeight w:val="210"/>
        </w:trPr>
        <w:tc>
          <w:tcPr>
            <w:tcW w:w="21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Time and Date:</w:t>
            </w:r>
          </w:p>
        </w:tc>
        <w:tc>
          <w:tcPr>
            <w:tcW w:w="92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9:00 AM (Eastern Time), June 22, 2017</w:t>
            </w:r>
          </w:p>
        </w:tc>
      </w:tr>
      <w:tr>
        <w:trPr>
          <w:trHeight w:val="404"/>
        </w:trPr>
        <w:tc>
          <w:tcPr>
            <w:tcW w:w="21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Record Date:</w:t>
            </w:r>
          </w:p>
        </w:tc>
        <w:tc>
          <w:tcPr>
            <w:tcW w:w="92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April 26, 2017</w:t>
            </w:r>
          </w:p>
        </w:tc>
      </w:tr>
      <w:tr>
        <w:trPr>
          <w:trHeight w:val="391"/>
        </w:trPr>
        <w:tc>
          <w:tcPr>
            <w:tcW w:w="21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Place:</w:t>
            </w:r>
          </w:p>
        </w:tc>
        <w:tc>
          <w:tcPr>
            <w:tcW w:w="92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ExlService Holdings, Inc.</w:t>
            </w:r>
          </w:p>
        </w:tc>
      </w:tr>
      <w:tr>
        <w:trPr>
          <w:trHeight w:val="203"/>
        </w:trPr>
        <w:tc>
          <w:tcPr>
            <w:tcW w:w="2160" w:type="dxa"/>
            <w:vAlign w:val="bottom"/>
            <w:tcBorders>
              <w:left w:val="single" w:sz="8" w:color="auto"/>
            </w:tcBorders>
          </w:tcPr>
          <w:p>
            <w:pPr>
              <w:spacing w:after="0"/>
              <w:rPr>
                <w:sz w:val="17"/>
                <w:szCs w:val="17"/>
                <w:color w:val="auto"/>
              </w:rPr>
            </w:pPr>
          </w:p>
        </w:tc>
        <w:tc>
          <w:tcPr>
            <w:tcW w:w="9260" w:type="dxa"/>
            <w:vAlign w:val="bottom"/>
            <w:tcBorders>
              <w:right w:val="single" w:sz="8" w:color="auto"/>
            </w:tcBorders>
          </w:tcPr>
          <w:p>
            <w:pPr>
              <w:ind w:left="820"/>
              <w:spacing w:after="0" w:line="202" w:lineRule="exact"/>
              <w:rPr>
                <w:sz w:val="20"/>
                <w:szCs w:val="20"/>
                <w:color w:val="auto"/>
              </w:rPr>
            </w:pPr>
            <w:r>
              <w:rPr>
                <w:rFonts w:ascii="Arial" w:cs="Arial" w:eastAsia="Arial" w:hAnsi="Arial"/>
                <w:sz w:val="18"/>
                <w:szCs w:val="18"/>
                <w:color w:val="auto"/>
              </w:rPr>
              <w:t>280 Park Avenue, 38th Floor</w:t>
            </w:r>
          </w:p>
        </w:tc>
      </w:tr>
      <w:tr>
        <w:trPr>
          <w:trHeight w:val="217"/>
        </w:trPr>
        <w:tc>
          <w:tcPr>
            <w:tcW w:w="2160" w:type="dxa"/>
            <w:vAlign w:val="bottom"/>
            <w:tcBorders>
              <w:left w:val="single" w:sz="8" w:color="auto"/>
            </w:tcBorders>
          </w:tcPr>
          <w:p>
            <w:pPr>
              <w:spacing w:after="0"/>
              <w:rPr>
                <w:sz w:val="18"/>
                <w:szCs w:val="18"/>
                <w:color w:val="auto"/>
              </w:rPr>
            </w:pPr>
          </w:p>
        </w:tc>
        <w:tc>
          <w:tcPr>
            <w:tcW w:w="92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New York, New York 10017</w:t>
            </w:r>
          </w:p>
        </w:tc>
      </w:tr>
      <w:tr>
        <w:trPr>
          <w:trHeight w:val="405"/>
        </w:trPr>
        <w:tc>
          <w:tcPr>
            <w:tcW w:w="21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Voting:</w:t>
            </w:r>
          </w:p>
        </w:tc>
        <w:tc>
          <w:tcPr>
            <w:tcW w:w="92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Stockholders as of the record date are entitled to vote</w:t>
            </w:r>
          </w:p>
        </w:tc>
      </w:tr>
      <w:tr>
        <w:trPr>
          <w:trHeight w:val="189"/>
        </w:trPr>
        <w:tc>
          <w:tcPr>
            <w:tcW w:w="2160" w:type="dxa"/>
            <w:vAlign w:val="bottom"/>
            <w:tcBorders>
              <w:left w:val="single" w:sz="8" w:color="auto"/>
              <w:bottom w:val="single" w:sz="8" w:color="auto"/>
            </w:tcBorders>
          </w:tcPr>
          <w:p>
            <w:pPr>
              <w:spacing w:after="0"/>
              <w:rPr>
                <w:sz w:val="16"/>
                <w:szCs w:val="16"/>
                <w:color w:val="auto"/>
              </w:rPr>
            </w:pPr>
          </w:p>
        </w:tc>
        <w:tc>
          <w:tcPr>
            <w:tcW w:w="9260" w:type="dxa"/>
            <w:vAlign w:val="bottom"/>
            <w:tcBorders>
              <w:bottom w:val="single" w:sz="8" w:color="auto"/>
              <w:right w:val="single" w:sz="8" w:color="auto"/>
            </w:tcBorders>
          </w:tcPr>
          <w:p>
            <w:pPr>
              <w:spacing w:after="0"/>
              <w:rPr>
                <w:sz w:val="16"/>
                <w:szCs w:val="16"/>
                <w:color w:val="auto"/>
              </w:rPr>
            </w:pPr>
          </w:p>
        </w:tc>
      </w:tr>
    </w:tbl>
    <w:p>
      <w:pPr>
        <w:spacing w:after="0" w:line="224"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FFFFFF"/>
        </w:rPr>
        <w:t>Meeting Agenda, Voting Matters and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2109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109470"/>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 xml:space="preserve"> the following proposals:</w:t>
      </w:r>
    </w:p>
    <w:p>
      <w:pPr>
        <w:spacing w:after="0" w:line="201" w:lineRule="exact"/>
        <w:rPr>
          <w:sz w:val="20"/>
          <w:szCs w:val="20"/>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three Class II members of the board of directors of the Company for a term of three years each (page 65);</w:t>
      </w:r>
    </w:p>
    <w:p>
      <w:pPr>
        <w:spacing w:after="0" w:line="198" w:lineRule="exact"/>
        <w:rPr>
          <w:rFonts w:ascii="Arial" w:cs="Arial" w:eastAsia="Arial" w:hAnsi="Arial"/>
          <w:sz w:val="18"/>
          <w:szCs w:val="18"/>
          <w:color w:val="auto"/>
        </w:rPr>
      </w:pPr>
    </w:p>
    <w:p>
      <w:pPr>
        <w:ind w:left="920" w:right="80" w:hanging="453"/>
        <w:spacing w:after="0" w:line="246"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the independent registered public accounting firm of the Company for fiscal year 2017 (page 66);</w:t>
      </w:r>
    </w:p>
    <w:p>
      <w:pPr>
        <w:spacing w:after="0" w:line="183" w:lineRule="exact"/>
        <w:rPr>
          <w:rFonts w:ascii="Arial" w:cs="Arial" w:eastAsia="Arial" w:hAnsi="Arial"/>
          <w:sz w:val="18"/>
          <w:szCs w:val="18"/>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on a non-binding advisory basis, of the compensation of the named executive officers of the Company (page 68);</w:t>
      </w:r>
    </w:p>
    <w:p>
      <w:pPr>
        <w:spacing w:after="0" w:line="198" w:lineRule="exact"/>
        <w:rPr>
          <w:rFonts w:ascii="Arial" w:cs="Arial" w:eastAsia="Arial" w:hAnsi="Arial"/>
          <w:sz w:val="18"/>
          <w:szCs w:val="18"/>
          <w:color w:val="auto"/>
        </w:rPr>
      </w:pPr>
    </w:p>
    <w:p>
      <w:pPr>
        <w:ind w:left="920" w:right="220" w:hanging="453"/>
        <w:spacing w:after="0" w:line="246"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determination, on a non-binding advisory basis, of how frequently the stockholders should hold a non-binding advisory vote to approve the compensation of the named executive officers of the Company (page 69); and</w:t>
      </w:r>
    </w:p>
    <w:p>
      <w:pPr>
        <w:spacing w:after="0" w:line="183" w:lineRule="exact"/>
        <w:rPr>
          <w:rFonts w:ascii="Arial" w:cs="Arial" w:eastAsia="Arial" w:hAnsi="Arial"/>
          <w:sz w:val="18"/>
          <w:szCs w:val="18"/>
          <w:color w:val="auto"/>
        </w:rPr>
      </w:pPr>
    </w:p>
    <w:p>
      <w:pPr>
        <w:ind w:left="920" w:right="480" w:hanging="453"/>
        <w:spacing w:after="0" w:line="246"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FFFFFF"/>
        </w:rPr>
        <w:t>Board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2263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26377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740" w:type="dxa"/>
            <w:vAlign w:val="bottom"/>
            <w:tcBorders>
              <w:top w:val="single" w:sz="8" w:color="auto"/>
              <w:right w:val="single" w:sz="8" w:color="auto"/>
            </w:tcBorders>
            <w:shd w:val="clear" w:color="auto" w:fill="D0E0F0"/>
          </w:tcPr>
          <w:p>
            <w:pPr>
              <w:spacing w:after="0"/>
              <w:rPr>
                <w:sz w:val="24"/>
                <w:szCs w:val="24"/>
                <w:color w:val="auto"/>
              </w:rPr>
            </w:pPr>
          </w:p>
        </w:tc>
        <w:tc>
          <w:tcPr>
            <w:tcW w:w="4560" w:type="dxa"/>
            <w:vAlign w:val="bottom"/>
            <w:tcBorders>
              <w:top w:val="single" w:sz="8" w:color="auto"/>
              <w:right w:val="single" w:sz="8" w:color="auto"/>
            </w:tcBorders>
            <w:shd w:val="clear" w:color="auto" w:fill="D0E0F0"/>
          </w:tcPr>
          <w:p>
            <w:pPr>
              <w:spacing w:after="0"/>
              <w:rPr>
                <w:sz w:val="24"/>
                <w:szCs w:val="24"/>
                <w:color w:val="auto"/>
              </w:rPr>
            </w:pPr>
          </w:p>
        </w:tc>
        <w:tc>
          <w:tcPr>
            <w:tcW w:w="1600" w:type="dxa"/>
            <w:vAlign w:val="bottom"/>
            <w:tcBorders>
              <w:top w:val="single" w:sz="8" w:color="auto"/>
              <w:right w:val="single" w:sz="8" w:color="auto"/>
            </w:tcBorders>
            <w:shd w:val="clear" w:color="auto" w:fill="D0E0F0"/>
          </w:tcPr>
          <w:p>
            <w:pPr>
              <w:spacing w:after="0"/>
              <w:rPr>
                <w:sz w:val="24"/>
                <w:szCs w:val="24"/>
                <w:color w:val="auto"/>
              </w:rPr>
            </w:pPr>
          </w:p>
        </w:tc>
        <w:tc>
          <w:tcPr>
            <w:tcW w:w="1700" w:type="dxa"/>
            <w:vAlign w:val="bottom"/>
            <w:tcBorders>
              <w:top w:val="single" w:sz="8" w:color="auto"/>
              <w:right w:val="single" w:sz="8" w:color="auto"/>
            </w:tcBorders>
            <w:shd w:val="clear" w:color="auto" w:fill="D0E0F0"/>
          </w:tcPr>
          <w:p>
            <w:pPr>
              <w:spacing w:after="0"/>
              <w:rPr>
                <w:sz w:val="24"/>
                <w:szCs w:val="24"/>
                <w:color w:val="auto"/>
              </w:rPr>
            </w:pPr>
          </w:p>
        </w:tc>
        <w:tc>
          <w:tcPr>
            <w:tcW w:w="1800" w:type="dxa"/>
            <w:vAlign w:val="bottom"/>
            <w:tcBorders>
              <w:top w:val="single" w:sz="8" w:color="auto"/>
            </w:tcBorders>
            <w:shd w:val="clear" w:color="auto" w:fill="D0E0F0"/>
          </w:tcPr>
          <w:p>
            <w:pPr>
              <w:jc w:val="center"/>
              <w:spacing w:after="0"/>
              <w:rPr>
                <w:sz w:val="20"/>
                <w:szCs w:val="20"/>
                <w:color w:val="auto"/>
              </w:rPr>
            </w:pPr>
            <w:r>
              <w:rPr>
                <w:rFonts w:ascii="Arial" w:cs="Arial" w:eastAsia="Arial" w:hAnsi="Arial"/>
                <w:sz w:val="18"/>
                <w:szCs w:val="18"/>
                <w:b w:val="1"/>
                <w:bCs w:val="1"/>
                <w:color w:val="auto"/>
                <w:w w:val="99"/>
              </w:rPr>
              <w:t>Nominating and</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40" w:type="dxa"/>
            <w:vAlign w:val="bottom"/>
            <w:tcBorders>
              <w:right w:val="single" w:sz="8" w:color="auto"/>
            </w:tcBorders>
            <w:shd w:val="clear" w:color="auto" w:fill="D0E0F0"/>
          </w:tcPr>
          <w:p>
            <w:pPr>
              <w:jc w:val="center"/>
              <w:spacing w:after="0" w:line="202" w:lineRule="exact"/>
              <w:rPr>
                <w:sz w:val="20"/>
                <w:szCs w:val="20"/>
                <w:color w:val="auto"/>
              </w:rPr>
            </w:pPr>
            <w:r>
              <w:rPr>
                <w:rFonts w:ascii="Arial" w:cs="Arial" w:eastAsia="Arial" w:hAnsi="Arial"/>
                <w:sz w:val="18"/>
                <w:szCs w:val="18"/>
                <w:b w:val="1"/>
                <w:bCs w:val="1"/>
                <w:color w:val="auto"/>
              </w:rPr>
              <w:t>Name</w:t>
            </w:r>
          </w:p>
        </w:tc>
        <w:tc>
          <w:tcPr>
            <w:tcW w:w="4560" w:type="dxa"/>
            <w:vAlign w:val="bottom"/>
            <w:tcBorders>
              <w:right w:val="single" w:sz="8" w:color="auto"/>
            </w:tcBorders>
            <w:shd w:val="clear" w:color="auto" w:fill="D0E0F0"/>
          </w:tcPr>
          <w:p>
            <w:pPr>
              <w:spacing w:after="0"/>
              <w:rPr>
                <w:sz w:val="17"/>
                <w:szCs w:val="17"/>
                <w:color w:val="auto"/>
              </w:rPr>
            </w:pPr>
          </w:p>
        </w:tc>
        <w:tc>
          <w:tcPr>
            <w:tcW w:w="1600" w:type="dxa"/>
            <w:vAlign w:val="bottom"/>
            <w:tcBorders>
              <w:right w:val="single" w:sz="8" w:color="auto"/>
            </w:tcBorders>
            <w:shd w:val="clear" w:color="auto" w:fill="D0E0F0"/>
          </w:tcPr>
          <w:p>
            <w:pPr>
              <w:spacing w:after="0"/>
              <w:rPr>
                <w:sz w:val="17"/>
                <w:szCs w:val="17"/>
                <w:color w:val="auto"/>
              </w:rPr>
            </w:pPr>
          </w:p>
        </w:tc>
        <w:tc>
          <w:tcPr>
            <w:tcW w:w="1700" w:type="dxa"/>
            <w:vAlign w:val="bottom"/>
            <w:tcBorders>
              <w:right w:val="single" w:sz="8" w:color="auto"/>
            </w:tcBorders>
            <w:shd w:val="clear" w:color="auto" w:fill="D0E0F0"/>
          </w:tcPr>
          <w:p>
            <w:pPr>
              <w:spacing w:after="0"/>
              <w:rPr>
                <w:sz w:val="17"/>
                <w:szCs w:val="17"/>
                <w:color w:val="auto"/>
              </w:rPr>
            </w:pPr>
          </w:p>
        </w:tc>
        <w:tc>
          <w:tcPr>
            <w:tcW w:w="1800" w:type="dxa"/>
            <w:vAlign w:val="bottom"/>
            <w:shd w:val="clear" w:color="auto" w:fill="D0E0F0"/>
          </w:tcPr>
          <w:p>
            <w:pPr>
              <w:jc w:val="center"/>
              <w:spacing w:after="0" w:line="202" w:lineRule="exact"/>
              <w:rPr>
                <w:sz w:val="20"/>
                <w:szCs w:val="20"/>
                <w:color w:val="auto"/>
              </w:rPr>
            </w:pPr>
            <w:r>
              <w:rPr>
                <w:rFonts w:ascii="Arial" w:cs="Arial" w:eastAsia="Arial" w:hAnsi="Arial"/>
                <w:sz w:val="18"/>
                <w:szCs w:val="18"/>
                <w:b w:val="1"/>
                <w:bCs w:val="1"/>
                <w:color w:val="auto"/>
                <w:w w:val="99"/>
              </w:rPr>
              <w:t>Corporate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Borders>
              <w:right w:val="single" w:sz="8" w:color="auto"/>
            </w:tcBorders>
            <w:shd w:val="clear" w:color="auto" w:fill="D0E0F0"/>
          </w:tcPr>
          <w:p>
            <w:pPr>
              <w:jc w:val="center"/>
              <w:spacing w:after="0" w:line="202" w:lineRule="exact"/>
              <w:rPr>
                <w:sz w:val="20"/>
                <w:szCs w:val="20"/>
                <w:color w:val="auto"/>
              </w:rPr>
            </w:pPr>
            <w:r>
              <w:rPr>
                <w:rFonts w:ascii="Arial" w:cs="Arial" w:eastAsia="Arial" w:hAnsi="Arial"/>
                <w:sz w:val="18"/>
                <w:szCs w:val="18"/>
                <w:b w:val="1"/>
                <w:bCs w:val="1"/>
                <w:color w:val="auto"/>
                <w:w w:val="98"/>
              </w:rPr>
              <w:t>(Year Joined</w:t>
            </w:r>
          </w:p>
        </w:tc>
        <w:tc>
          <w:tcPr>
            <w:tcW w:w="4560" w:type="dxa"/>
            <w:vAlign w:val="bottom"/>
            <w:tcBorders>
              <w:right w:val="single" w:sz="8" w:color="auto"/>
            </w:tcBorders>
            <w:shd w:val="clear" w:color="auto" w:fill="D0E0F0"/>
          </w:tcPr>
          <w:p>
            <w:pPr>
              <w:spacing w:after="0"/>
              <w:rPr>
                <w:sz w:val="17"/>
                <w:szCs w:val="17"/>
                <w:color w:val="auto"/>
              </w:rPr>
            </w:pPr>
          </w:p>
        </w:tc>
        <w:tc>
          <w:tcPr>
            <w:tcW w:w="1600" w:type="dxa"/>
            <w:vAlign w:val="bottom"/>
            <w:tcBorders>
              <w:right w:val="single" w:sz="8" w:color="auto"/>
            </w:tcBorders>
            <w:shd w:val="clear" w:color="auto" w:fill="D0E0F0"/>
          </w:tcPr>
          <w:p>
            <w:pPr>
              <w:jc w:val="center"/>
              <w:spacing w:after="0" w:line="202" w:lineRule="exact"/>
              <w:rPr>
                <w:sz w:val="20"/>
                <w:szCs w:val="20"/>
                <w:color w:val="auto"/>
              </w:rPr>
            </w:pPr>
            <w:r>
              <w:rPr>
                <w:rFonts w:ascii="Arial" w:cs="Arial" w:eastAsia="Arial" w:hAnsi="Arial"/>
                <w:sz w:val="18"/>
                <w:szCs w:val="18"/>
                <w:b w:val="1"/>
                <w:bCs w:val="1"/>
                <w:color w:val="auto"/>
                <w:w w:val="99"/>
              </w:rPr>
              <w:t>Audit</w:t>
            </w:r>
          </w:p>
        </w:tc>
        <w:tc>
          <w:tcPr>
            <w:tcW w:w="1700" w:type="dxa"/>
            <w:vAlign w:val="bottom"/>
            <w:tcBorders>
              <w:right w:val="single" w:sz="8" w:color="auto"/>
            </w:tcBorders>
            <w:shd w:val="clear" w:color="auto" w:fill="D0E0F0"/>
          </w:tcPr>
          <w:p>
            <w:pPr>
              <w:jc w:val="center"/>
              <w:spacing w:after="0" w:line="202" w:lineRule="exact"/>
              <w:rPr>
                <w:sz w:val="20"/>
                <w:szCs w:val="20"/>
                <w:color w:val="auto"/>
              </w:rPr>
            </w:pPr>
            <w:r>
              <w:rPr>
                <w:rFonts w:ascii="Arial" w:cs="Arial" w:eastAsia="Arial" w:hAnsi="Arial"/>
                <w:sz w:val="18"/>
                <w:szCs w:val="18"/>
                <w:b w:val="1"/>
                <w:bCs w:val="1"/>
                <w:color w:val="auto"/>
                <w:w w:val="99"/>
              </w:rPr>
              <w:t>Compensation</w:t>
            </w:r>
          </w:p>
        </w:tc>
        <w:tc>
          <w:tcPr>
            <w:tcW w:w="1800" w:type="dxa"/>
            <w:vAlign w:val="bottom"/>
            <w:shd w:val="clear" w:color="auto" w:fill="D0E0F0"/>
          </w:tcPr>
          <w:p>
            <w:pPr>
              <w:jc w:val="center"/>
              <w:spacing w:after="0" w:line="202" w:lineRule="exact"/>
              <w:rPr>
                <w:sz w:val="20"/>
                <w:szCs w:val="20"/>
                <w:color w:val="auto"/>
              </w:rPr>
            </w:pPr>
            <w:r>
              <w:rPr>
                <w:rFonts w:ascii="Arial" w:cs="Arial" w:eastAsia="Arial" w:hAnsi="Arial"/>
                <w:sz w:val="18"/>
                <w:szCs w:val="18"/>
                <w:b w:val="1"/>
                <w:bCs w:val="1"/>
                <w:color w:val="auto"/>
                <w:w w:val="99"/>
              </w:rPr>
              <w:t>Governance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40" w:type="dxa"/>
            <w:vAlign w:val="bottom"/>
            <w:tcBorders>
              <w:bottom w:val="single" w:sz="8" w:color="auto"/>
              <w:right w:val="single" w:sz="8" w:color="auto"/>
            </w:tcBorders>
            <w:shd w:val="clear" w:color="auto" w:fill="D0E0F0"/>
          </w:tcPr>
          <w:p>
            <w:pPr>
              <w:jc w:val="center"/>
              <w:spacing w:after="0"/>
              <w:rPr>
                <w:sz w:val="20"/>
                <w:szCs w:val="20"/>
                <w:color w:val="auto"/>
              </w:rPr>
            </w:pPr>
            <w:r>
              <w:rPr>
                <w:rFonts w:ascii="Arial" w:cs="Arial" w:eastAsia="Arial" w:hAnsi="Arial"/>
                <w:sz w:val="18"/>
                <w:szCs w:val="18"/>
                <w:b w:val="1"/>
                <w:bCs w:val="1"/>
                <w:color w:val="auto"/>
                <w:w w:val="99"/>
              </w:rPr>
              <w:t>Board)</w:t>
            </w:r>
          </w:p>
        </w:tc>
        <w:tc>
          <w:tcPr>
            <w:tcW w:w="4560" w:type="dxa"/>
            <w:vAlign w:val="bottom"/>
            <w:tcBorders>
              <w:bottom w:val="single" w:sz="8" w:color="auto"/>
              <w:right w:val="single" w:sz="8" w:color="auto"/>
            </w:tcBorders>
            <w:shd w:val="clear" w:color="auto" w:fill="D0E0F0"/>
          </w:tcPr>
          <w:p>
            <w:pPr>
              <w:ind w:left="1340"/>
              <w:spacing w:after="0"/>
              <w:rPr>
                <w:sz w:val="20"/>
                <w:szCs w:val="20"/>
                <w:color w:val="auto"/>
              </w:rPr>
            </w:pPr>
            <w:r>
              <w:rPr>
                <w:rFonts w:ascii="Arial" w:cs="Arial" w:eastAsia="Arial" w:hAnsi="Arial"/>
                <w:sz w:val="18"/>
                <w:szCs w:val="18"/>
                <w:b w:val="1"/>
                <w:bCs w:val="1"/>
                <w:color w:val="auto"/>
              </w:rPr>
              <w:t>Principal Occupation</w:t>
            </w:r>
          </w:p>
        </w:tc>
        <w:tc>
          <w:tcPr>
            <w:tcW w:w="1600" w:type="dxa"/>
            <w:vAlign w:val="bottom"/>
            <w:tcBorders>
              <w:bottom w:val="single" w:sz="8" w:color="auto"/>
              <w:right w:val="single" w:sz="8" w:color="auto"/>
            </w:tcBorders>
            <w:shd w:val="clear" w:color="auto" w:fill="D0E0F0"/>
          </w:tcPr>
          <w:p>
            <w:pPr>
              <w:jc w:val="center"/>
              <w:spacing w:after="0"/>
              <w:rPr>
                <w:sz w:val="20"/>
                <w:szCs w:val="20"/>
                <w:color w:val="auto"/>
              </w:rPr>
            </w:pPr>
            <w:r>
              <w:rPr>
                <w:rFonts w:ascii="Arial" w:cs="Arial" w:eastAsia="Arial" w:hAnsi="Arial"/>
                <w:sz w:val="18"/>
                <w:szCs w:val="18"/>
                <w:b w:val="1"/>
                <w:bCs w:val="1"/>
                <w:color w:val="auto"/>
              </w:rPr>
              <w:t>Committee</w:t>
            </w:r>
          </w:p>
        </w:tc>
        <w:tc>
          <w:tcPr>
            <w:tcW w:w="1700" w:type="dxa"/>
            <w:vAlign w:val="bottom"/>
            <w:tcBorders>
              <w:bottom w:val="single" w:sz="8" w:color="auto"/>
              <w:right w:val="single" w:sz="8" w:color="auto"/>
            </w:tcBorders>
            <w:shd w:val="clear" w:color="auto" w:fill="D0E0F0"/>
          </w:tcPr>
          <w:p>
            <w:pPr>
              <w:jc w:val="center"/>
              <w:spacing w:after="0"/>
              <w:rPr>
                <w:sz w:val="20"/>
                <w:szCs w:val="20"/>
                <w:color w:val="auto"/>
              </w:rPr>
            </w:pPr>
            <w:r>
              <w:rPr>
                <w:rFonts w:ascii="Arial" w:cs="Arial" w:eastAsia="Arial" w:hAnsi="Arial"/>
                <w:sz w:val="18"/>
                <w:szCs w:val="18"/>
                <w:b w:val="1"/>
                <w:bCs w:val="1"/>
                <w:color w:val="auto"/>
                <w:w w:val="98"/>
              </w:rPr>
              <w:t>Committee</w:t>
            </w:r>
          </w:p>
        </w:tc>
        <w:tc>
          <w:tcPr>
            <w:tcW w:w="1800" w:type="dxa"/>
            <w:vAlign w:val="bottom"/>
            <w:tcBorders>
              <w:bottom w:val="single" w:sz="8" w:color="auto"/>
            </w:tcBorders>
            <w:shd w:val="clear" w:color="auto" w:fill="D0E0F0"/>
          </w:tcPr>
          <w:p>
            <w:pPr>
              <w:jc w:val="center"/>
              <w:spacing w:after="0"/>
              <w:rPr>
                <w:sz w:val="20"/>
                <w:szCs w:val="20"/>
                <w:color w:val="auto"/>
              </w:rPr>
            </w:pPr>
            <w:r>
              <w:rPr>
                <w:rFonts w:ascii="Arial" w:cs="Arial" w:eastAsia="Arial" w:hAnsi="Arial"/>
                <w:sz w:val="18"/>
                <w:szCs w:val="18"/>
                <w:b w:val="1"/>
                <w:bCs w:val="1"/>
                <w:color w:val="auto"/>
                <w:w w:val="98"/>
              </w:rPr>
              <w:t>Committee</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David B. Kelso</w:t>
            </w:r>
          </w:p>
        </w:tc>
        <w:tc>
          <w:tcPr>
            <w:tcW w:w="45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Independent Director; financial advisor for Kelso</w:t>
            </w:r>
          </w:p>
        </w:tc>
        <w:tc>
          <w:tcPr>
            <w:tcW w:w="1600" w:type="dxa"/>
            <w:vAlign w:val="bottom"/>
            <w:tcBorders>
              <w:right w:val="single" w:sz="8" w:color="auto"/>
            </w:tcBorders>
            <w:vMerge w:val="restart"/>
          </w:tcPr>
          <w:p>
            <w:pPr>
              <w:ind w:left="640"/>
              <w:spacing w:after="0"/>
              <w:rPr>
                <w:sz w:val="20"/>
                <w:szCs w:val="20"/>
                <w:color w:val="auto"/>
              </w:rPr>
            </w:pPr>
            <w:r>
              <w:rPr>
                <w:rFonts w:ascii="Arial" w:cs="Arial" w:eastAsia="Arial" w:hAnsi="Arial"/>
                <w:sz w:val="18"/>
                <w:szCs w:val="18"/>
                <w:b w:val="1"/>
                <w:bCs w:val="1"/>
                <w:color w:val="4F81BD"/>
              </w:rPr>
              <w:t>ü</w:t>
            </w:r>
          </w:p>
        </w:tc>
        <w:tc>
          <w:tcPr>
            <w:tcW w:w="1700" w:type="dxa"/>
            <w:vAlign w:val="bottom"/>
            <w:tcBorders>
              <w:right w:val="single" w:sz="8" w:color="auto"/>
            </w:tcBorders>
          </w:tcPr>
          <w:p>
            <w:pPr>
              <w:spacing w:after="0"/>
              <w:rPr>
                <w:sz w:val="16"/>
                <w:szCs w:val="16"/>
                <w:color w:val="auto"/>
              </w:rPr>
            </w:pPr>
          </w:p>
        </w:tc>
        <w:tc>
          <w:tcPr>
            <w:tcW w:w="1800" w:type="dxa"/>
            <w:vAlign w:val="bottom"/>
            <w:vMerge w:val="restart"/>
          </w:tcPr>
          <w:p>
            <w:pPr>
              <w:jc w:val="center"/>
              <w:spacing w:after="0"/>
              <w:rPr>
                <w:sz w:val="20"/>
                <w:szCs w:val="20"/>
                <w:color w:val="auto"/>
              </w:rPr>
            </w:pPr>
            <w:r>
              <w:rPr>
                <w:rFonts w:ascii="Arial" w:cs="Arial" w:eastAsia="Arial" w:hAnsi="Arial"/>
                <w:sz w:val="18"/>
                <w:szCs w:val="18"/>
                <w:b w:val="1"/>
                <w:bCs w:val="1"/>
                <w:color w:val="4F81BD"/>
                <w:w w:val="90"/>
              </w:rPr>
              <w:t>ü</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(July 2006)</w:t>
            </w:r>
          </w:p>
        </w:tc>
        <w:tc>
          <w:tcPr>
            <w:tcW w:w="4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Advisory Services</w:t>
            </w:r>
          </w:p>
        </w:tc>
        <w:tc>
          <w:tcPr>
            <w:tcW w:w="1600" w:type="dxa"/>
            <w:vAlign w:val="bottom"/>
            <w:tcBorders>
              <w:right w:val="single" w:sz="8" w:color="auto"/>
            </w:tcBorders>
            <w:vMerge w:val="continue"/>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40" w:type="dxa"/>
            <w:vAlign w:val="bottom"/>
            <w:tcBorders>
              <w:bottom w:val="single" w:sz="8" w:color="auto"/>
              <w:right w:val="single" w:sz="8" w:color="auto"/>
            </w:tcBorders>
          </w:tcPr>
          <w:p>
            <w:pPr>
              <w:spacing w:after="0"/>
              <w:rPr>
                <w:sz w:val="17"/>
                <w:szCs w:val="17"/>
                <w:color w:val="auto"/>
              </w:rPr>
            </w:pPr>
          </w:p>
        </w:tc>
        <w:tc>
          <w:tcPr>
            <w:tcW w:w="456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(Chair)</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Som Mittal</w:t>
            </w:r>
          </w:p>
        </w:tc>
        <w:tc>
          <w:tcPr>
            <w:tcW w:w="45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Independent Director; formerly served as president of</w:t>
            </w:r>
          </w:p>
        </w:tc>
        <w:tc>
          <w:tcPr>
            <w:tcW w:w="16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4F81BD"/>
                <w:w w:val="90"/>
              </w:rPr>
              <w:t>ü</w:t>
            </w:r>
          </w:p>
        </w:tc>
        <w:tc>
          <w:tcPr>
            <w:tcW w:w="1800" w:type="dxa"/>
            <w:vAlign w:val="bottom"/>
            <w:vMerge w:val="restart"/>
          </w:tcPr>
          <w:p>
            <w:pPr>
              <w:jc w:val="center"/>
              <w:spacing w:after="0"/>
              <w:rPr>
                <w:sz w:val="20"/>
                <w:szCs w:val="20"/>
                <w:color w:val="auto"/>
              </w:rPr>
            </w:pPr>
            <w:r>
              <w:rPr>
                <w:rFonts w:ascii="Arial" w:cs="Arial" w:eastAsia="Arial" w:hAnsi="Arial"/>
                <w:sz w:val="18"/>
                <w:szCs w:val="18"/>
                <w:b w:val="1"/>
                <w:bCs w:val="1"/>
                <w:color w:val="4F81BD"/>
                <w:w w:val="90"/>
              </w:rPr>
              <w:t>ü</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(December 2013)</w:t>
            </w:r>
          </w:p>
        </w:tc>
        <w:tc>
          <w:tcPr>
            <w:tcW w:w="45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National Association of Software and Services</w:t>
            </w:r>
          </w:p>
        </w:tc>
        <w:tc>
          <w:tcPr>
            <w:tcW w:w="16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Borders>
              <w:bottom w:val="single" w:sz="8" w:color="auto"/>
              <w:right w:val="single" w:sz="8" w:color="auto"/>
            </w:tcBorders>
          </w:tcPr>
          <w:p>
            <w:pPr>
              <w:spacing w:after="0"/>
              <w:rPr>
                <w:sz w:val="17"/>
                <w:szCs w:val="17"/>
                <w:color w:val="auto"/>
              </w:rPr>
            </w:pPr>
          </w:p>
        </w:tc>
        <w:tc>
          <w:tcPr>
            <w:tcW w:w="4560" w:type="dxa"/>
            <w:vAlign w:val="bottom"/>
            <w:tcBorders>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Companies (NASSCOM)</w:t>
            </w:r>
          </w:p>
        </w:tc>
        <w:tc>
          <w:tcPr>
            <w:tcW w:w="16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Clyde Ostler</w:t>
            </w:r>
          </w:p>
        </w:tc>
        <w:tc>
          <w:tcPr>
            <w:tcW w:w="45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Independent Director; former Group Executive Vice</w:t>
            </w:r>
          </w:p>
        </w:tc>
        <w:tc>
          <w:tcPr>
            <w:tcW w:w="16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(December 2007)</w:t>
            </w:r>
          </w:p>
        </w:tc>
        <w:tc>
          <w:tcPr>
            <w:tcW w:w="45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President, Chief Financial Officer and Senior</w:t>
            </w:r>
          </w:p>
        </w:tc>
        <w:tc>
          <w:tcPr>
            <w:tcW w:w="16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45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Management Committee member at Wells Fargo &amp;</w:t>
            </w:r>
          </w:p>
        </w:tc>
        <w:tc>
          <w:tcPr>
            <w:tcW w:w="1600" w:type="dxa"/>
            <w:vAlign w:val="bottom"/>
            <w:tcBorders>
              <w:right w:val="single" w:sz="8" w:color="auto"/>
            </w:tcBorders>
          </w:tcPr>
          <w:p>
            <w:pPr>
              <w:ind w:left="620"/>
              <w:spacing w:after="0" w:line="202" w:lineRule="exact"/>
              <w:rPr>
                <w:sz w:val="20"/>
                <w:szCs w:val="20"/>
                <w:color w:val="auto"/>
              </w:rPr>
            </w:pPr>
            <w:r>
              <w:rPr>
                <w:rFonts w:ascii="Arial" w:cs="Arial" w:eastAsia="Arial" w:hAnsi="Arial"/>
                <w:sz w:val="18"/>
                <w:szCs w:val="18"/>
                <w:b w:val="1"/>
                <w:bCs w:val="1"/>
                <w:color w:val="4F81BD"/>
              </w:rPr>
              <w:t>ü</w:t>
            </w: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4F81BD"/>
                <w:w w:val="90"/>
              </w:rPr>
              <w:t>ü</w:t>
            </w: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4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(Chair)</w:t>
            </w:r>
          </w:p>
        </w:tc>
        <w:tc>
          <w:tcPr>
            <w:tcW w:w="170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740" w:type="dxa"/>
            <w:vAlign w:val="bottom"/>
            <w:tcBorders>
              <w:right w:val="single" w:sz="8" w:color="auto"/>
            </w:tcBorders>
          </w:tcPr>
          <w:p>
            <w:pPr>
              <w:spacing w:after="0"/>
              <w:rPr>
                <w:sz w:val="7"/>
                <w:szCs w:val="7"/>
                <w:color w:val="auto"/>
              </w:rPr>
            </w:pPr>
          </w:p>
        </w:tc>
        <w:tc>
          <w:tcPr>
            <w:tcW w:w="4560" w:type="dxa"/>
            <w:vAlign w:val="bottom"/>
            <w:tcBorders>
              <w:right w:val="single" w:sz="8" w:color="auto"/>
            </w:tcBorders>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40" w:type="dxa"/>
            <w:vAlign w:val="bottom"/>
            <w:tcBorders>
              <w:bottom w:val="single" w:sz="8" w:color="auto"/>
              <w:right w:val="single" w:sz="8" w:color="auto"/>
            </w:tcBorders>
          </w:tcPr>
          <w:p>
            <w:pPr>
              <w:spacing w:after="0"/>
              <w:rPr>
                <w:sz w:val="16"/>
                <w:szCs w:val="16"/>
                <w:color w:val="auto"/>
              </w:rPr>
            </w:pPr>
          </w:p>
        </w:tc>
        <w:tc>
          <w:tcPr>
            <w:tcW w:w="45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128905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Audit committee financial expert under applicable SEC rules and regulations.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508BC7"/>
        </w:rPr>
        <w:t>Our Business</w:t>
      </w:r>
    </w:p>
    <w:p>
      <w:pPr>
        <w:spacing w:after="0" w:line="22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are an operations management and analytics company that helps businesses enhance growth and profitability. Using our proprietary platforms, methodologies and tools we look deeper to help companies improve global operations, enhance data-driven insights, increase customer satisfaction, and manage risk and compliance. We serve our customers in the insurance, healthcare, travel, transportation and logistics, banking and financial services and utilities industries, among others. Headquartered in New York, we have approximately 26,000 professionals in locations throughout the United States, Europe, Asia (primarily India and the Philippines), Latin America, Australia and South Africa.</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508BC7"/>
        </w:rPr>
        <w:t>Performance Highlights for 2016</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FFFFFF"/>
        </w:rPr>
        <w:t>Company 3 Year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2229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2294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FFFFFF"/>
        </w:rPr>
        <w:t>Revenue and Segment Information ($ in millions)</w:t>
      </w:r>
    </w:p>
    <w:tbl>
      <w:tblPr>
        <w:tblLayout w:type="fixed"/>
        <w:tblInd w:w="0" w:type="dxa"/>
        <w:tblCellMar>
          <w:top w:w="0" w:type="dxa"/>
          <w:left w:w="0" w:type="dxa"/>
          <w:bottom w:w="0" w:type="dxa"/>
          <w:right w:w="0" w:type="dxa"/>
        </w:tblCellMar>
      </w:tblPr>
      <w:tr>
        <w:trPr>
          <w:trHeight w:val="304"/>
        </w:trPr>
        <w:tc>
          <w:tcPr>
            <w:tcW w:w="5620" w:type="dxa"/>
            <w:vAlign w:val="bottom"/>
            <w:tcBorders>
              <w:top w:val="single" w:sz="8" w:color="auto"/>
              <w:bottom w:val="single" w:sz="8" w:color="D0E0F0"/>
              <w:right w:val="single" w:sz="8" w:color="auto"/>
            </w:tcBorders>
            <w:shd w:val="clear" w:color="auto" w:fill="D0E0F0"/>
          </w:tcPr>
          <w:p>
            <w:pPr>
              <w:spacing w:after="0"/>
              <w:rPr>
                <w:sz w:val="24"/>
                <w:szCs w:val="24"/>
                <w:color w:val="auto"/>
              </w:rPr>
            </w:pPr>
          </w:p>
        </w:tc>
        <w:tc>
          <w:tcPr>
            <w:tcW w:w="1240" w:type="dxa"/>
            <w:vAlign w:val="bottom"/>
            <w:tcBorders>
              <w:top w:val="single" w:sz="8" w:color="auto"/>
              <w:bottom w:val="single" w:sz="8" w:color="auto"/>
            </w:tcBorders>
            <w:shd w:val="clear" w:color="auto" w:fill="D0E0F0"/>
          </w:tcPr>
          <w:p>
            <w:pPr>
              <w:spacing w:after="0"/>
              <w:rPr>
                <w:sz w:val="24"/>
                <w:szCs w:val="24"/>
                <w:color w:val="auto"/>
              </w:rPr>
            </w:pPr>
          </w:p>
        </w:tc>
        <w:tc>
          <w:tcPr>
            <w:tcW w:w="3440" w:type="dxa"/>
            <w:vAlign w:val="bottom"/>
            <w:tcBorders>
              <w:top w:val="single" w:sz="8" w:color="auto"/>
              <w:bottom w:val="single" w:sz="8" w:color="auto"/>
            </w:tcBorders>
            <w:gridSpan w:val="3"/>
            <w:shd w:val="clear" w:color="auto" w:fill="D0E0F0"/>
          </w:tcPr>
          <w:p>
            <w:pPr>
              <w:jc w:val="right"/>
              <w:ind w:right="190"/>
              <w:spacing w:after="0"/>
              <w:rPr>
                <w:sz w:val="20"/>
                <w:szCs w:val="20"/>
                <w:color w:val="auto"/>
              </w:rPr>
            </w:pPr>
            <w:r>
              <w:rPr>
                <w:rFonts w:ascii="Arial" w:cs="Arial" w:eastAsia="Arial" w:hAnsi="Arial"/>
                <w:sz w:val="18"/>
                <w:szCs w:val="18"/>
                <w:b w:val="1"/>
                <w:bCs w:val="1"/>
                <w:color w:val="auto"/>
              </w:rPr>
              <w:t>Revenue (Year-over-year growth %)</w:t>
            </w:r>
          </w:p>
        </w:tc>
        <w:tc>
          <w:tcPr>
            <w:tcW w:w="1100" w:type="dxa"/>
            <w:vAlign w:val="bottom"/>
            <w:tcBorders>
              <w:top w:val="single" w:sz="8" w:color="auto"/>
              <w:bottom w:val="single" w:sz="8" w:color="auto"/>
            </w:tcBorders>
            <w:shd w:val="clear" w:color="auto" w:fill="D0E0F0"/>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r>
      <w:tr>
        <w:trPr>
          <w:trHeight w:val="304"/>
        </w:trPr>
        <w:tc>
          <w:tcPr>
            <w:tcW w:w="5620" w:type="dxa"/>
            <w:vAlign w:val="bottom"/>
            <w:tcBorders>
              <w:bottom w:val="single" w:sz="8" w:color="auto"/>
              <w:right w:val="single" w:sz="8" w:color="auto"/>
            </w:tcBorders>
            <w:shd w:val="clear" w:color="auto" w:fill="D0E0F0"/>
          </w:tcPr>
          <w:p>
            <w:pPr>
              <w:spacing w:after="0"/>
              <w:rPr>
                <w:sz w:val="24"/>
                <w:szCs w:val="24"/>
                <w:color w:val="auto"/>
              </w:rPr>
            </w:pPr>
          </w:p>
        </w:tc>
        <w:tc>
          <w:tcPr>
            <w:tcW w:w="1240" w:type="dxa"/>
            <w:vAlign w:val="bottom"/>
            <w:tcBorders>
              <w:bottom w:val="single" w:sz="8" w:color="auto"/>
            </w:tcBorders>
            <w:shd w:val="clear" w:color="auto" w:fill="D0E0F0"/>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auto"/>
              <w:right w:val="single" w:sz="8" w:color="auto"/>
            </w:tcBorders>
            <w:shd w:val="clear" w:color="auto" w:fill="D0E0F0"/>
          </w:tcPr>
          <w:p>
            <w:pPr>
              <w:spacing w:after="0"/>
              <w:rPr>
                <w:sz w:val="24"/>
                <w:szCs w:val="24"/>
                <w:color w:val="auto"/>
              </w:rPr>
            </w:pPr>
          </w:p>
        </w:tc>
        <w:tc>
          <w:tcPr>
            <w:tcW w:w="2160" w:type="dxa"/>
            <w:vAlign w:val="bottom"/>
            <w:tcBorders>
              <w:bottom w:val="single" w:sz="8" w:color="auto"/>
              <w:right w:val="single" w:sz="8" w:color="auto"/>
            </w:tcBorders>
            <w:shd w:val="clear" w:color="auto" w:fill="D0E0F0"/>
          </w:tcPr>
          <w:p>
            <w:pPr>
              <w:jc w:val="center"/>
              <w:spacing w:after="0"/>
              <w:rPr>
                <w:sz w:val="20"/>
                <w:szCs w:val="20"/>
                <w:color w:val="auto"/>
              </w:rPr>
            </w:pPr>
            <w:r>
              <w:rPr>
                <w:rFonts w:ascii="Arial" w:cs="Arial" w:eastAsia="Arial" w:hAnsi="Arial"/>
                <w:sz w:val="18"/>
                <w:szCs w:val="18"/>
                <w:b w:val="1"/>
                <w:bCs w:val="1"/>
                <w:color w:val="auto"/>
                <w:w w:val="99"/>
              </w:rPr>
              <w:t>2015</w:t>
            </w:r>
          </w:p>
        </w:tc>
        <w:tc>
          <w:tcPr>
            <w:tcW w:w="2140" w:type="dxa"/>
            <w:vAlign w:val="bottom"/>
            <w:tcBorders>
              <w:bottom w:val="single" w:sz="8" w:color="auto"/>
            </w:tcBorders>
            <w:gridSpan w:val="2"/>
            <w:shd w:val="clear" w:color="auto" w:fill="D0E0F0"/>
          </w:tcPr>
          <w:p>
            <w:pPr>
              <w:jc w:val="center"/>
              <w:spacing w:after="0"/>
              <w:rPr>
                <w:sz w:val="20"/>
                <w:szCs w:val="20"/>
                <w:color w:val="auto"/>
              </w:rPr>
            </w:pPr>
            <w:r>
              <w:rPr>
                <w:rFonts w:ascii="Arial" w:cs="Arial" w:eastAsia="Arial" w:hAnsi="Arial"/>
                <w:sz w:val="18"/>
                <w:szCs w:val="18"/>
                <w:b w:val="1"/>
                <w:bCs w:val="1"/>
                <w:color w:val="auto"/>
                <w:w w:val="99"/>
              </w:rPr>
              <w:t>2016</w:t>
            </w:r>
          </w:p>
        </w:tc>
        <w:tc>
          <w:tcPr>
            <w:tcW w:w="20" w:type="dxa"/>
            <w:vAlign w:val="bottom"/>
            <w:tcBorders>
              <w:bottom w:val="single" w:sz="8" w:color="auto"/>
            </w:tcBorders>
          </w:tcPr>
          <w:p>
            <w:pPr>
              <w:spacing w:after="0"/>
              <w:rPr>
                <w:sz w:val="24"/>
                <w:szCs w:val="24"/>
                <w:color w:val="auto"/>
              </w:rPr>
            </w:pPr>
          </w:p>
        </w:tc>
      </w:tr>
      <w:tr>
        <w:trPr>
          <w:trHeight w:val="345"/>
        </w:trPr>
        <w:tc>
          <w:tcPr>
            <w:tcW w:w="5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Insurance Segment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$151.3</w:t>
            </w:r>
            <w:r>
              <w:rPr>
                <w:rFonts w:ascii="Arial" w:cs="Arial" w:eastAsia="Arial" w:hAnsi="Arial"/>
                <w:sz w:val="30"/>
                <w:szCs w:val="30"/>
                <w:color w:val="auto"/>
                <w:vertAlign w:val="superscript"/>
              </w:rPr>
              <w:t>(1)</w:t>
            </w:r>
          </w:p>
        </w:tc>
        <w:tc>
          <w:tcPr>
            <w:tcW w:w="24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$199.9 (32.1%)</w:t>
            </w: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$206.3 (3.2%)</w:t>
            </w:r>
          </w:p>
        </w:tc>
        <w:tc>
          <w:tcPr>
            <w:tcW w:w="20" w:type="dxa"/>
            <w:vAlign w:val="bottom"/>
            <w:tcBorders>
              <w:bottom w:val="single" w:sz="8" w:color="auto"/>
            </w:tcBorders>
          </w:tcPr>
          <w:p>
            <w:pPr>
              <w:spacing w:after="0"/>
              <w:rPr>
                <w:sz w:val="24"/>
                <w:szCs w:val="24"/>
                <w:color w:val="auto"/>
              </w:rPr>
            </w:pPr>
          </w:p>
        </w:tc>
      </w:tr>
      <w:tr>
        <w:trPr>
          <w:trHeight w:val="304"/>
        </w:trPr>
        <w:tc>
          <w:tcPr>
            <w:tcW w:w="5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Healthcare Segment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$42.9</w:t>
            </w:r>
          </w:p>
        </w:tc>
        <w:tc>
          <w:tcPr>
            <w:tcW w:w="24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$55.2 (28.7%)</w:t>
            </w: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$68.7 (24.5%)</w:t>
            </w:r>
          </w:p>
        </w:tc>
        <w:tc>
          <w:tcPr>
            <w:tcW w:w="20" w:type="dxa"/>
            <w:vAlign w:val="bottom"/>
            <w:tcBorders>
              <w:bottom w:val="single" w:sz="8" w:color="auto"/>
            </w:tcBorders>
          </w:tcPr>
          <w:p>
            <w:pPr>
              <w:spacing w:after="0"/>
              <w:rPr>
                <w:sz w:val="24"/>
                <w:szCs w:val="24"/>
                <w:color w:val="auto"/>
              </w:rPr>
            </w:pPr>
          </w:p>
        </w:tc>
      </w:tr>
      <w:tr>
        <w:trPr>
          <w:trHeight w:val="304"/>
        </w:trPr>
        <w:tc>
          <w:tcPr>
            <w:tcW w:w="5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Travel, Transportation and Logistics Segment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$47.5</w:t>
            </w:r>
          </w:p>
        </w:tc>
        <w:tc>
          <w:tcPr>
            <w:tcW w:w="24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$62.2 (30.9%)</w:t>
            </w: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$69.4 (11.6%)</w:t>
            </w:r>
          </w:p>
        </w:tc>
        <w:tc>
          <w:tcPr>
            <w:tcW w:w="20" w:type="dxa"/>
            <w:vAlign w:val="bottom"/>
            <w:tcBorders>
              <w:bottom w:val="single" w:sz="8" w:color="auto"/>
            </w:tcBorders>
          </w:tcPr>
          <w:p>
            <w:pPr>
              <w:spacing w:after="0"/>
              <w:rPr>
                <w:sz w:val="24"/>
                <w:szCs w:val="24"/>
                <w:color w:val="auto"/>
              </w:rPr>
            </w:pPr>
          </w:p>
        </w:tc>
      </w:tr>
      <w:tr>
        <w:trPr>
          <w:trHeight w:val="304"/>
        </w:trPr>
        <w:tc>
          <w:tcPr>
            <w:tcW w:w="5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Finance and Accounting Segment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$92.0</w:t>
            </w:r>
          </w:p>
        </w:tc>
        <w:tc>
          <w:tcPr>
            <w:tcW w:w="24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$78.5 (-14.7%)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rPr>
                <w:sz w:val="24"/>
                <w:szCs w:val="24"/>
                <w:color w:val="auto"/>
              </w:rPr>
            </w:pPr>
          </w:p>
        </w:tc>
      </w:tr>
      <w:tr>
        <w:trPr>
          <w:trHeight w:val="304"/>
        </w:trPr>
        <w:tc>
          <w:tcPr>
            <w:tcW w:w="5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Analytics</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$65.6</w:t>
            </w:r>
          </w:p>
        </w:tc>
        <w:tc>
          <w:tcPr>
            <w:tcW w:w="24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$122.2 (86.3%)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(35.6%)</w:t>
            </w:r>
          </w:p>
        </w:tc>
        <w:tc>
          <w:tcPr>
            <w:tcW w:w="20" w:type="dxa"/>
            <w:vAlign w:val="bottom"/>
            <w:tcBorders>
              <w:bottom w:val="single" w:sz="8" w:color="auto"/>
            </w:tcBorders>
          </w:tcPr>
          <w:p>
            <w:pPr>
              <w:spacing w:after="0"/>
              <w:rPr>
                <w:sz w:val="24"/>
                <w:szCs w:val="24"/>
                <w:color w:val="auto"/>
              </w:rPr>
            </w:pPr>
          </w:p>
        </w:tc>
      </w:tr>
      <w:tr>
        <w:trPr>
          <w:trHeight w:val="304"/>
        </w:trPr>
        <w:tc>
          <w:tcPr>
            <w:tcW w:w="5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All Other</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$110.5 (10.5%)</w:t>
            </w: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$96.5 (-12.7%)</w:t>
            </w:r>
          </w:p>
        </w:tc>
        <w:tc>
          <w:tcPr>
            <w:tcW w:w="20" w:type="dxa"/>
            <w:vAlign w:val="bottom"/>
            <w:tcBorders>
              <w:bottom w:val="single" w:sz="8" w:color="auto"/>
            </w:tcBorders>
          </w:tcPr>
          <w:p>
            <w:pPr>
              <w:spacing w:after="0"/>
              <w:rPr>
                <w:sz w:val="24"/>
                <w:szCs w:val="24"/>
                <w:color w:val="auto"/>
              </w:rPr>
            </w:pPr>
          </w:p>
        </w:tc>
      </w:tr>
      <w:tr>
        <w:trPr>
          <w:trHeight w:val="345"/>
        </w:trPr>
        <w:tc>
          <w:tcPr>
            <w:tcW w:w="5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Consolidated</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$499.3</w:t>
            </w:r>
            <w:r>
              <w:rPr>
                <w:rFonts w:ascii="Arial" w:cs="Arial" w:eastAsia="Arial" w:hAnsi="Arial"/>
                <w:sz w:val="30"/>
                <w:szCs w:val="30"/>
                <w:b w:val="1"/>
                <w:bCs w:val="1"/>
                <w:color w:val="auto"/>
                <w:vertAlign w:val="superscript"/>
              </w:rPr>
              <w:t>(1)</w:t>
            </w:r>
          </w:p>
        </w:tc>
        <w:tc>
          <w:tcPr>
            <w:tcW w:w="24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$628.5 (25.9%)</w:t>
            </w: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$686.0 (9.1%)</w:t>
            </w:r>
          </w:p>
        </w:tc>
        <w:tc>
          <w:tcPr>
            <w:tcW w:w="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4490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0" w:lineRule="exact"/>
        <w:rPr>
          <w:sz w:val="20"/>
          <w:szCs w:val="20"/>
          <w:color w:val="auto"/>
        </w:rPr>
      </w:pPr>
    </w:p>
    <w:p>
      <w:pPr>
        <w:jc w:val="both"/>
        <w:ind w:left="340" w:right="320" w:hanging="332"/>
        <w:spacing w:after="0" w:line="253"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reimbursement of disentanglement costs for a disclosed client issue, which negatively impacted revenue for this year by $26.3 million. Please refer to our filings with the Securities and Exchange Commission, including our Annual Reports on Form 10-K, for additional information regarding this reimbursement.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We improved our annual revenues from $628.5 million in fiscal year 2015 to $686.0 million in fiscal year 2016, and also achieved the following:</w:t>
      </w:r>
    </w:p>
    <w:p>
      <w:pPr>
        <w:spacing w:after="0" w:line="198" w:lineRule="exact"/>
        <w:rPr>
          <w:sz w:val="20"/>
          <w:szCs w:val="20"/>
          <w:color w:val="auto"/>
        </w:rPr>
      </w:pPr>
    </w:p>
    <w:p>
      <w:pPr>
        <w:ind w:left="660" w:right="12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completed the acquisition of Liss Systems Limited, a provider of digital customer acquisition and policy administration solutions for the insurance industry;</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completed the acquisition of IQR Consulting Inc., a provider of marketing analytics solutions for the banking industry;</w:t>
      </w:r>
    </w:p>
    <w:p>
      <w:pPr>
        <w:ind w:left="66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completed the acquisition of Datasource Consulting, LLC, a provider of enterprise management and business intelligence solutions;</w:t>
      </w:r>
    </w:p>
    <w:p>
      <w:pPr>
        <w:ind w:left="66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entered into a strategic partnership with Automation Anywhere to accelerate robotic process automation initiatives;</w:t>
      </w:r>
    </w:p>
    <w:p>
      <w:pPr>
        <w:ind w:left="66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won 40 new clients;</w:t>
      </w:r>
    </w:p>
    <w:p>
      <w:pPr>
        <w:ind w:left="66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received numerous awards and industry recognition; and</w:t>
      </w:r>
    </w:p>
    <w:p>
      <w:pPr>
        <w:ind w:left="660" w:right="440" w:hanging="328"/>
        <w:spacing w:after="0" w:line="24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launched CareRadius® Version 3.1, our cloud-based total population health platform that integrates data from multiple sources for health plans and practitioners.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regarding these and other business highlights, please see page 23 below and the 2016 Form 10-K.</w:t>
      </w:r>
    </w:p>
    <w:p>
      <w:pPr>
        <w:spacing w:after="0" w:line="19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graphs below compare our 1-year, 3-year and 5-year total stockholder return (“TSR”) with that of the companies comprising Nasdaq, S&amp;P 500 and our peer group. As shown in the table, our TSR outperformed all but one of our market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6877685" cy="2075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77685"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Cumulative growth rate as of December 31, 2016.</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Peer group TSR data excludes Solera Holdings, which was taken private in March 2016.</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508BC7"/>
        </w:rPr>
        <w:t>2016 Compensation Highlights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560" w:type="dxa"/>
            <w:vAlign w:val="bottom"/>
            <w:tcBorders>
              <w:top w:val="single" w:sz="8" w:color="auto"/>
              <w:left w:val="single" w:sz="8" w:color="auto"/>
              <w:bottom w:val="single" w:sz="8" w:color="auto"/>
              <w:right w:val="single" w:sz="8" w:color="508BC7"/>
            </w:tcBorders>
            <w:shd w:val="clear" w:color="auto" w:fill="508BC7"/>
          </w:tcPr>
          <w:p>
            <w:pPr>
              <w:spacing w:after="0"/>
              <w:rPr>
                <w:sz w:val="22"/>
                <w:szCs w:val="22"/>
                <w:color w:val="auto"/>
              </w:rPr>
            </w:pPr>
          </w:p>
        </w:tc>
        <w:tc>
          <w:tcPr>
            <w:tcW w:w="7860" w:type="dxa"/>
            <w:vAlign w:val="bottom"/>
            <w:tcBorders>
              <w:top w:val="single" w:sz="8" w:color="auto"/>
              <w:bottom w:val="single" w:sz="8" w:color="auto"/>
              <w:right w:val="single" w:sz="8" w:color="auto"/>
            </w:tcBorders>
            <w:shd w:val="clear" w:color="auto" w:fill="508BC7"/>
          </w:tcPr>
          <w:p>
            <w:pPr>
              <w:jc w:val="center"/>
              <w:ind w:right="3468"/>
              <w:spacing w:after="0"/>
              <w:rPr>
                <w:sz w:val="20"/>
                <w:szCs w:val="20"/>
                <w:color w:val="auto"/>
              </w:rPr>
            </w:pPr>
            <w:r>
              <w:rPr>
                <w:rFonts w:ascii="Arial" w:cs="Arial" w:eastAsia="Arial" w:hAnsi="Arial"/>
                <w:sz w:val="22"/>
                <w:szCs w:val="22"/>
                <w:b w:val="1"/>
                <w:bCs w:val="1"/>
                <w:color w:val="FFFFFF"/>
                <w:w w:val="97"/>
              </w:rPr>
              <w:t>Named Executive Officers</w:t>
            </w:r>
          </w:p>
        </w:tc>
      </w:tr>
      <w:tr>
        <w:trPr>
          <w:trHeight w:val="304"/>
        </w:trPr>
        <w:tc>
          <w:tcPr>
            <w:tcW w:w="3560" w:type="dxa"/>
            <w:vAlign w:val="bottom"/>
            <w:tcBorders>
              <w:left w:val="single" w:sz="8" w:color="auto"/>
              <w:bottom w:val="single" w:sz="8" w:color="auto"/>
              <w:right w:val="single" w:sz="8" w:color="auto"/>
            </w:tcBorders>
            <w:shd w:val="clear" w:color="auto" w:fill="D0E0F0"/>
          </w:tcPr>
          <w:p>
            <w:pPr>
              <w:ind w:left="1540"/>
              <w:spacing w:after="0"/>
              <w:rPr>
                <w:sz w:val="20"/>
                <w:szCs w:val="20"/>
                <w:color w:val="auto"/>
              </w:rPr>
            </w:pPr>
            <w:r>
              <w:rPr>
                <w:rFonts w:ascii="Arial" w:cs="Arial" w:eastAsia="Arial" w:hAnsi="Arial"/>
                <w:sz w:val="18"/>
                <w:szCs w:val="18"/>
                <w:b w:val="1"/>
                <w:bCs w:val="1"/>
                <w:color w:val="auto"/>
              </w:rPr>
              <w:t>Name</w:t>
            </w:r>
          </w:p>
        </w:tc>
        <w:tc>
          <w:tcPr>
            <w:tcW w:w="7860" w:type="dxa"/>
            <w:vAlign w:val="bottom"/>
            <w:tcBorders>
              <w:bottom w:val="single" w:sz="8" w:color="auto"/>
              <w:right w:val="single" w:sz="8" w:color="auto"/>
            </w:tcBorders>
            <w:shd w:val="clear" w:color="auto" w:fill="D0E0F0"/>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304"/>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Rohit Kapoor</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Vice Chairman and CEO</w:t>
            </w:r>
          </w:p>
        </w:tc>
      </w:tr>
      <w:tr>
        <w:trPr>
          <w:trHeight w:val="304"/>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Vishal Chhibbar</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Executive Vice President and CFO</w:t>
            </w:r>
          </w:p>
        </w:tc>
      </w:tr>
      <w:tr>
        <w:trPr>
          <w:trHeight w:val="304"/>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Pavan Bagai</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President and Chief Operating Officer</w:t>
            </w:r>
          </w:p>
        </w:tc>
      </w:tr>
      <w:tr>
        <w:trPr>
          <w:trHeight w:val="304"/>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Rembert de Villa</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Executive Vice President, Head of Healthcare</w:t>
            </w:r>
          </w:p>
        </w:tc>
      </w:tr>
      <w:tr>
        <w:trPr>
          <w:trHeight w:val="304"/>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Nalin Miglani</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Executive Vice President and Chief Human Resources Officer</w:t>
            </w:r>
          </w:p>
        </w:tc>
      </w:tr>
      <w:tr>
        <w:trPr>
          <w:trHeight w:val="628"/>
        </w:trPr>
        <w:tc>
          <w:tcPr>
            <w:tcW w:w="35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jc w:val="right"/>
              <w:ind w:right="5568"/>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9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FFFFFF"/>
        </w:rPr>
        <w:t>2016 Standard Annual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689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68973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100" w:type="dxa"/>
            <w:vAlign w:val="bottom"/>
            <w:tcBorders>
              <w:top w:val="single" w:sz="8" w:color="auto"/>
              <w:right w:val="single" w:sz="8" w:color="auto"/>
            </w:tcBorders>
            <w:shd w:val="clear" w:color="auto" w:fill="D0E0F0"/>
          </w:tcPr>
          <w:p>
            <w:pPr>
              <w:ind w:left="920"/>
              <w:spacing w:after="0"/>
              <w:rPr>
                <w:sz w:val="20"/>
                <w:szCs w:val="20"/>
                <w:color w:val="auto"/>
              </w:rPr>
            </w:pPr>
            <w:r>
              <w:rPr>
                <w:rFonts w:ascii="Arial" w:cs="Arial" w:eastAsia="Arial" w:hAnsi="Arial"/>
                <w:sz w:val="18"/>
                <w:szCs w:val="18"/>
                <w:b w:val="1"/>
                <w:bCs w:val="1"/>
                <w:color w:val="auto"/>
              </w:rPr>
              <w:t>Compensation</w:t>
            </w:r>
          </w:p>
        </w:tc>
        <w:tc>
          <w:tcPr>
            <w:tcW w:w="1620" w:type="dxa"/>
            <w:vAlign w:val="bottom"/>
            <w:tcBorders>
              <w:top w:val="single" w:sz="8" w:color="auto"/>
              <w:right w:val="single" w:sz="8" w:color="auto"/>
            </w:tcBorders>
            <w:shd w:val="clear" w:color="auto" w:fill="D0E0F0"/>
          </w:tcPr>
          <w:p>
            <w:pPr>
              <w:jc w:val="right"/>
              <w:ind w:right="510"/>
              <w:spacing w:after="0"/>
              <w:rPr>
                <w:sz w:val="20"/>
                <w:szCs w:val="20"/>
                <w:color w:val="auto"/>
              </w:rPr>
            </w:pPr>
            <w:r>
              <w:rPr>
                <w:rFonts w:ascii="Arial" w:cs="Arial" w:eastAsia="Arial" w:hAnsi="Arial"/>
                <w:sz w:val="18"/>
                <w:szCs w:val="18"/>
                <w:b w:val="1"/>
                <w:bCs w:val="1"/>
                <w:color w:val="auto"/>
              </w:rPr>
              <w:t>Rohit</w:t>
            </w:r>
          </w:p>
        </w:tc>
        <w:tc>
          <w:tcPr>
            <w:tcW w:w="1820" w:type="dxa"/>
            <w:vAlign w:val="bottom"/>
            <w:tcBorders>
              <w:top w:val="single" w:sz="8" w:color="auto"/>
              <w:right w:val="single" w:sz="8" w:color="auto"/>
            </w:tcBorders>
            <w:shd w:val="clear" w:color="auto" w:fill="D0E0F0"/>
          </w:tcPr>
          <w:p>
            <w:pPr>
              <w:jc w:val="right"/>
              <w:ind w:right="570"/>
              <w:spacing w:after="0"/>
              <w:rPr>
                <w:sz w:val="20"/>
                <w:szCs w:val="20"/>
                <w:color w:val="auto"/>
              </w:rPr>
            </w:pPr>
            <w:r>
              <w:rPr>
                <w:rFonts w:ascii="Arial" w:cs="Arial" w:eastAsia="Arial" w:hAnsi="Arial"/>
                <w:sz w:val="18"/>
                <w:szCs w:val="18"/>
                <w:b w:val="1"/>
                <w:bCs w:val="1"/>
                <w:color w:val="auto"/>
              </w:rPr>
              <w:t>Vishal</w:t>
            </w:r>
          </w:p>
        </w:tc>
        <w:tc>
          <w:tcPr>
            <w:tcW w:w="1600" w:type="dxa"/>
            <w:vAlign w:val="bottom"/>
            <w:tcBorders>
              <w:top w:val="single" w:sz="8" w:color="auto"/>
              <w:right w:val="single" w:sz="8" w:color="auto"/>
            </w:tcBorders>
            <w:shd w:val="clear" w:color="auto" w:fill="D0E0F0"/>
          </w:tcPr>
          <w:p>
            <w:pPr>
              <w:jc w:val="right"/>
              <w:ind w:right="470"/>
              <w:spacing w:after="0"/>
              <w:rPr>
                <w:sz w:val="20"/>
                <w:szCs w:val="20"/>
                <w:color w:val="auto"/>
              </w:rPr>
            </w:pPr>
            <w:r>
              <w:rPr>
                <w:rFonts w:ascii="Arial" w:cs="Arial" w:eastAsia="Arial" w:hAnsi="Arial"/>
                <w:sz w:val="18"/>
                <w:szCs w:val="18"/>
                <w:b w:val="1"/>
                <w:bCs w:val="1"/>
                <w:color w:val="auto"/>
              </w:rPr>
              <w:t>Pavan</w:t>
            </w:r>
          </w:p>
        </w:tc>
        <w:tc>
          <w:tcPr>
            <w:tcW w:w="1700" w:type="dxa"/>
            <w:vAlign w:val="bottom"/>
            <w:tcBorders>
              <w:top w:val="single" w:sz="8" w:color="auto"/>
              <w:right w:val="single" w:sz="8" w:color="auto"/>
            </w:tcBorders>
            <w:shd w:val="clear" w:color="auto" w:fill="D0E0F0"/>
          </w:tcPr>
          <w:p>
            <w:pPr>
              <w:jc w:val="right"/>
              <w:ind w:right="290"/>
              <w:spacing w:after="0"/>
              <w:rPr>
                <w:sz w:val="20"/>
                <w:szCs w:val="20"/>
                <w:color w:val="auto"/>
              </w:rPr>
            </w:pPr>
            <w:r>
              <w:rPr>
                <w:rFonts w:ascii="Arial" w:cs="Arial" w:eastAsia="Arial" w:hAnsi="Arial"/>
                <w:sz w:val="18"/>
                <w:szCs w:val="18"/>
                <w:b w:val="1"/>
                <w:bCs w:val="1"/>
                <w:color w:val="auto"/>
              </w:rPr>
              <w:t>Rembert de</w:t>
            </w:r>
          </w:p>
        </w:tc>
        <w:tc>
          <w:tcPr>
            <w:tcW w:w="1560" w:type="dxa"/>
            <w:vAlign w:val="bottom"/>
            <w:tcBorders>
              <w:top w:val="single" w:sz="8" w:color="auto"/>
            </w:tcBorders>
            <w:shd w:val="clear" w:color="auto" w:fill="D0E0F0"/>
          </w:tcPr>
          <w:p>
            <w:pPr>
              <w:jc w:val="right"/>
              <w:ind w:right="470"/>
              <w:spacing w:after="0"/>
              <w:rPr>
                <w:sz w:val="20"/>
                <w:szCs w:val="20"/>
                <w:color w:val="auto"/>
              </w:rPr>
            </w:pPr>
            <w:r>
              <w:rPr>
                <w:rFonts w:ascii="Arial" w:cs="Arial" w:eastAsia="Arial" w:hAnsi="Arial"/>
                <w:sz w:val="18"/>
                <w:szCs w:val="18"/>
                <w:b w:val="1"/>
                <w:bCs w:val="1"/>
                <w:color w:val="auto"/>
              </w:rPr>
              <w:t>Nalin</w:t>
            </w:r>
          </w:p>
        </w:tc>
        <w:tc>
          <w:tcPr>
            <w:tcW w:w="20" w:type="dxa"/>
            <w:vAlign w:val="bottom"/>
            <w:tcBorders>
              <w:top w:val="single" w:sz="8" w:color="auto"/>
            </w:tcBorders>
          </w:tcPr>
          <w:p>
            <w:pPr>
              <w:spacing w:after="0"/>
              <w:rPr>
                <w:sz w:val="24"/>
                <w:szCs w:val="24"/>
                <w:color w:val="auto"/>
              </w:rPr>
            </w:pPr>
          </w:p>
        </w:tc>
      </w:tr>
      <w:tr>
        <w:trPr>
          <w:trHeight w:val="225"/>
        </w:trPr>
        <w:tc>
          <w:tcPr>
            <w:tcW w:w="3100" w:type="dxa"/>
            <w:vAlign w:val="bottom"/>
            <w:tcBorders>
              <w:bottom w:val="single" w:sz="8" w:color="auto"/>
              <w:right w:val="single" w:sz="8" w:color="auto"/>
            </w:tcBorders>
            <w:shd w:val="clear" w:color="auto" w:fill="D0E0F0"/>
          </w:tcPr>
          <w:p>
            <w:pPr>
              <w:ind w:left="1060"/>
              <w:spacing w:after="0"/>
              <w:rPr>
                <w:sz w:val="20"/>
                <w:szCs w:val="20"/>
                <w:color w:val="auto"/>
              </w:rPr>
            </w:pPr>
            <w:r>
              <w:rPr>
                <w:rFonts w:ascii="Arial" w:cs="Arial" w:eastAsia="Arial" w:hAnsi="Arial"/>
                <w:sz w:val="18"/>
                <w:szCs w:val="18"/>
                <w:b w:val="1"/>
                <w:bCs w:val="1"/>
                <w:color w:val="auto"/>
              </w:rPr>
              <w:t>Component</w:t>
            </w:r>
          </w:p>
        </w:tc>
        <w:tc>
          <w:tcPr>
            <w:tcW w:w="1620" w:type="dxa"/>
            <w:vAlign w:val="bottom"/>
            <w:tcBorders>
              <w:bottom w:val="single" w:sz="8" w:color="auto"/>
              <w:right w:val="single" w:sz="8" w:color="auto"/>
            </w:tcBorders>
            <w:shd w:val="clear" w:color="auto" w:fill="D0E0F0"/>
          </w:tcPr>
          <w:p>
            <w:pPr>
              <w:jc w:val="right"/>
              <w:ind w:right="410"/>
              <w:spacing w:after="0"/>
              <w:rPr>
                <w:sz w:val="20"/>
                <w:szCs w:val="20"/>
                <w:color w:val="auto"/>
              </w:rPr>
            </w:pPr>
            <w:r>
              <w:rPr>
                <w:rFonts w:ascii="Arial" w:cs="Arial" w:eastAsia="Arial" w:hAnsi="Arial"/>
                <w:sz w:val="18"/>
                <w:szCs w:val="18"/>
                <w:b w:val="1"/>
                <w:bCs w:val="1"/>
                <w:color w:val="auto"/>
              </w:rPr>
              <w:t>Kapoor</w:t>
            </w:r>
          </w:p>
        </w:tc>
        <w:tc>
          <w:tcPr>
            <w:tcW w:w="1820" w:type="dxa"/>
            <w:vAlign w:val="bottom"/>
            <w:tcBorders>
              <w:bottom w:val="single" w:sz="8" w:color="auto"/>
              <w:right w:val="single" w:sz="8" w:color="auto"/>
            </w:tcBorders>
            <w:shd w:val="clear" w:color="auto" w:fill="D0E0F0"/>
          </w:tcPr>
          <w:p>
            <w:pPr>
              <w:jc w:val="right"/>
              <w:ind w:right="450"/>
              <w:spacing w:after="0"/>
              <w:rPr>
                <w:sz w:val="20"/>
                <w:szCs w:val="20"/>
                <w:color w:val="auto"/>
              </w:rPr>
            </w:pPr>
            <w:r>
              <w:rPr>
                <w:rFonts w:ascii="Arial" w:cs="Arial" w:eastAsia="Arial" w:hAnsi="Arial"/>
                <w:sz w:val="18"/>
                <w:szCs w:val="18"/>
                <w:b w:val="1"/>
                <w:bCs w:val="1"/>
                <w:color w:val="auto"/>
              </w:rPr>
              <w:t>Chhibbar</w:t>
            </w:r>
          </w:p>
        </w:tc>
        <w:tc>
          <w:tcPr>
            <w:tcW w:w="1600" w:type="dxa"/>
            <w:vAlign w:val="bottom"/>
            <w:tcBorders>
              <w:bottom w:val="single" w:sz="8" w:color="auto"/>
              <w:right w:val="single" w:sz="8" w:color="auto"/>
            </w:tcBorders>
            <w:shd w:val="clear" w:color="auto" w:fill="D0E0F0"/>
          </w:tcPr>
          <w:p>
            <w:pPr>
              <w:jc w:val="right"/>
              <w:ind w:right="490"/>
              <w:spacing w:after="0"/>
              <w:rPr>
                <w:sz w:val="20"/>
                <w:szCs w:val="20"/>
                <w:color w:val="auto"/>
              </w:rPr>
            </w:pPr>
            <w:r>
              <w:rPr>
                <w:rFonts w:ascii="Arial" w:cs="Arial" w:eastAsia="Arial" w:hAnsi="Arial"/>
                <w:sz w:val="18"/>
                <w:szCs w:val="18"/>
                <w:b w:val="1"/>
                <w:bCs w:val="1"/>
                <w:color w:val="auto"/>
              </w:rPr>
              <w:t>Bagai</w:t>
            </w:r>
          </w:p>
        </w:tc>
        <w:tc>
          <w:tcPr>
            <w:tcW w:w="1700" w:type="dxa"/>
            <w:vAlign w:val="bottom"/>
            <w:tcBorders>
              <w:bottom w:val="single" w:sz="8" w:color="auto"/>
              <w:right w:val="single" w:sz="8" w:color="auto"/>
            </w:tcBorders>
            <w:shd w:val="clear" w:color="auto" w:fill="D0E0F0"/>
          </w:tcPr>
          <w:p>
            <w:pPr>
              <w:jc w:val="right"/>
              <w:ind w:right="590"/>
              <w:spacing w:after="0"/>
              <w:rPr>
                <w:sz w:val="20"/>
                <w:szCs w:val="20"/>
                <w:color w:val="auto"/>
              </w:rPr>
            </w:pPr>
            <w:r>
              <w:rPr>
                <w:rFonts w:ascii="Arial" w:cs="Arial" w:eastAsia="Arial" w:hAnsi="Arial"/>
                <w:sz w:val="18"/>
                <w:szCs w:val="18"/>
                <w:b w:val="1"/>
                <w:bCs w:val="1"/>
                <w:color w:val="auto"/>
              </w:rPr>
              <w:t>Villa</w:t>
            </w:r>
          </w:p>
        </w:tc>
        <w:tc>
          <w:tcPr>
            <w:tcW w:w="1560" w:type="dxa"/>
            <w:vAlign w:val="bottom"/>
            <w:tcBorders>
              <w:bottom w:val="single" w:sz="8" w:color="auto"/>
            </w:tcBorders>
            <w:shd w:val="clear" w:color="auto" w:fill="D0E0F0"/>
          </w:tcPr>
          <w:p>
            <w:pPr>
              <w:jc w:val="right"/>
              <w:ind w:right="390"/>
              <w:spacing w:after="0"/>
              <w:rPr>
                <w:sz w:val="20"/>
                <w:szCs w:val="20"/>
                <w:color w:val="auto"/>
              </w:rPr>
            </w:pPr>
            <w:r>
              <w:rPr>
                <w:rFonts w:ascii="Arial" w:cs="Arial" w:eastAsia="Arial" w:hAnsi="Arial"/>
                <w:sz w:val="18"/>
                <w:szCs w:val="18"/>
                <w:b w:val="1"/>
                <w:bCs w:val="1"/>
                <w:color w:val="auto"/>
              </w:rPr>
              <w:t>Miglani</w:t>
            </w:r>
          </w:p>
        </w:tc>
        <w:tc>
          <w:tcPr>
            <w:tcW w:w="20" w:type="dxa"/>
            <w:vAlign w:val="bottom"/>
            <w:tcBorders>
              <w:bottom w:val="single" w:sz="8" w:color="auto"/>
            </w:tcBorders>
          </w:tcPr>
          <w:p>
            <w:pPr>
              <w:spacing w:after="0"/>
              <w:rPr>
                <w:sz w:val="19"/>
                <w:szCs w:val="19"/>
                <w:color w:val="auto"/>
              </w:rPr>
            </w:pPr>
          </w:p>
        </w:tc>
      </w:tr>
      <w:tr>
        <w:trPr>
          <w:trHeight w:val="304"/>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Salary</w:t>
            </w:r>
          </w:p>
        </w:tc>
        <w:tc>
          <w:tcPr>
            <w:tcW w:w="162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$615,027</w:t>
            </w:r>
          </w:p>
        </w:tc>
        <w:tc>
          <w:tcPr>
            <w:tcW w:w="1820" w:type="dxa"/>
            <w:vAlign w:val="bottom"/>
            <w:tcBorders>
              <w:bottom w:val="single" w:sz="8" w:color="auto"/>
              <w:right w:val="single" w:sz="8" w:color="auto"/>
            </w:tcBorders>
          </w:tcPr>
          <w:p>
            <w:pPr>
              <w:jc w:val="right"/>
              <w:ind w:right="30"/>
              <w:spacing w:after="0" w:line="304" w:lineRule="exact"/>
              <w:rPr>
                <w:sz w:val="20"/>
                <w:szCs w:val="20"/>
                <w:color w:val="auto"/>
              </w:rPr>
            </w:pPr>
            <w:r>
              <w:rPr>
                <w:rFonts w:ascii="Arial" w:cs="Arial" w:eastAsia="Arial" w:hAnsi="Arial"/>
                <w:sz w:val="18"/>
                <w:szCs w:val="18"/>
                <w:color w:val="auto"/>
              </w:rPr>
              <w:t>$411,054</w:t>
            </w:r>
            <w:r>
              <w:rPr>
                <w:rFonts w:ascii="Arial" w:cs="Arial" w:eastAsia="Arial" w:hAnsi="Arial"/>
                <w:sz w:val="30"/>
                <w:szCs w:val="30"/>
                <w:color w:val="auto"/>
                <w:vertAlign w:val="superscript"/>
              </w:rPr>
              <w:t>(1)</w:t>
            </w:r>
          </w:p>
        </w:tc>
        <w:tc>
          <w:tcPr>
            <w:tcW w:w="160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$262,895</w:t>
            </w:r>
          </w:p>
        </w:tc>
        <w:tc>
          <w:tcPr>
            <w:tcW w:w="170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$407,514</w:t>
            </w: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$407,514</w:t>
            </w:r>
          </w:p>
        </w:tc>
        <w:tc>
          <w:tcPr>
            <w:tcW w:w="20" w:type="dxa"/>
            <w:vAlign w:val="bottom"/>
            <w:tcBorders>
              <w:bottom w:val="single" w:sz="8" w:color="auto"/>
            </w:tcBorders>
          </w:tcPr>
          <w:p>
            <w:pPr>
              <w:spacing w:after="0"/>
              <w:rPr>
                <w:sz w:val="24"/>
                <w:szCs w:val="24"/>
                <w:color w:val="auto"/>
              </w:rPr>
            </w:pPr>
          </w:p>
        </w:tc>
      </w:tr>
      <w:tr>
        <w:trPr>
          <w:trHeight w:val="303"/>
        </w:trPr>
        <w:tc>
          <w:tcPr>
            <w:tcW w:w="3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Non-Equity Incentive Plan</w:t>
            </w:r>
          </w:p>
        </w:tc>
        <w:tc>
          <w:tcPr>
            <w:tcW w:w="162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310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Compensation</w:t>
            </w:r>
          </w:p>
        </w:tc>
        <w:tc>
          <w:tcPr>
            <w:tcW w:w="1620" w:type="dxa"/>
            <w:vAlign w:val="bottom"/>
            <w:tcBorders>
              <w:bottom w:val="single" w:sz="8" w:color="auto"/>
              <w:right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$525,043</w:t>
            </w:r>
          </w:p>
        </w:tc>
        <w:tc>
          <w:tcPr>
            <w:tcW w:w="1820" w:type="dxa"/>
            <w:vAlign w:val="bottom"/>
            <w:tcBorders>
              <w:bottom w:val="single" w:sz="8" w:color="auto"/>
              <w:right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$210,992</w:t>
            </w:r>
          </w:p>
        </w:tc>
        <w:tc>
          <w:tcPr>
            <w:tcW w:w="1600" w:type="dxa"/>
            <w:vAlign w:val="bottom"/>
            <w:tcBorders>
              <w:bottom w:val="single" w:sz="8" w:color="auto"/>
              <w:right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$200,449</w:t>
            </w:r>
          </w:p>
        </w:tc>
        <w:tc>
          <w:tcPr>
            <w:tcW w:w="1700" w:type="dxa"/>
            <w:vAlign w:val="bottom"/>
            <w:tcBorders>
              <w:bottom w:val="single" w:sz="8" w:color="auto"/>
              <w:right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$341,543</w:t>
            </w:r>
          </w:p>
        </w:tc>
        <w:tc>
          <w:tcPr>
            <w:tcW w:w="15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$231,104</w:t>
            </w:r>
          </w:p>
        </w:tc>
        <w:tc>
          <w:tcPr>
            <w:tcW w:w="20" w:type="dxa"/>
            <w:vAlign w:val="bottom"/>
            <w:tcBorders>
              <w:bottom w:val="single" w:sz="8" w:color="auto"/>
            </w:tcBorders>
          </w:tcPr>
          <w:p>
            <w:pPr>
              <w:spacing w:after="0"/>
              <w:rPr>
                <w:sz w:val="17"/>
                <w:szCs w:val="17"/>
                <w:color w:val="auto"/>
              </w:rPr>
            </w:pPr>
          </w:p>
        </w:tc>
      </w:tr>
      <w:tr>
        <w:trPr>
          <w:trHeight w:val="304"/>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Equity Awards</w:t>
            </w:r>
          </w:p>
        </w:tc>
        <w:tc>
          <w:tcPr>
            <w:tcW w:w="162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$4,005,938</w:t>
            </w:r>
          </w:p>
        </w:tc>
        <w:tc>
          <w:tcPr>
            <w:tcW w:w="18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$747,775</w:t>
            </w:r>
          </w:p>
        </w:tc>
        <w:tc>
          <w:tcPr>
            <w:tcW w:w="160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$1,335,313</w:t>
            </w:r>
          </w:p>
        </w:tc>
        <w:tc>
          <w:tcPr>
            <w:tcW w:w="170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$640,950</w:t>
            </w: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$640,950</w:t>
            </w:r>
          </w:p>
        </w:tc>
        <w:tc>
          <w:tcPr>
            <w:tcW w:w="20" w:type="dxa"/>
            <w:vAlign w:val="bottom"/>
            <w:tcBorders>
              <w:bottom w:val="single" w:sz="8" w:color="auto"/>
            </w:tcBorders>
          </w:tcPr>
          <w:p>
            <w:pPr>
              <w:spacing w:after="0"/>
              <w:rPr>
                <w:sz w:val="24"/>
                <w:szCs w:val="24"/>
                <w:color w:val="auto"/>
              </w:rPr>
            </w:pPr>
          </w:p>
        </w:tc>
      </w:tr>
      <w:tr>
        <w:trPr>
          <w:trHeight w:val="345"/>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Other Compensation</w:t>
            </w:r>
            <w:r>
              <w:rPr>
                <w:rFonts w:ascii="Arial" w:cs="Arial" w:eastAsia="Arial" w:hAnsi="Arial"/>
                <w:sz w:val="30"/>
                <w:szCs w:val="30"/>
                <w:color w:val="auto"/>
                <w:vertAlign w:val="superscript"/>
              </w:rPr>
              <w:t>(2)</w:t>
            </w:r>
          </w:p>
        </w:tc>
        <w:tc>
          <w:tcPr>
            <w:tcW w:w="162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$47,129</w:t>
            </w:r>
          </w:p>
        </w:tc>
        <w:tc>
          <w:tcPr>
            <w:tcW w:w="18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$108,340</w:t>
            </w:r>
          </w:p>
        </w:tc>
        <w:tc>
          <w:tcPr>
            <w:tcW w:w="160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$83,623</w:t>
            </w:r>
          </w:p>
        </w:tc>
        <w:tc>
          <w:tcPr>
            <w:tcW w:w="170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$8,340</w:t>
            </w: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$8,340</w:t>
            </w:r>
          </w:p>
        </w:tc>
        <w:tc>
          <w:tcPr>
            <w:tcW w:w="20" w:type="dxa"/>
            <w:vAlign w:val="bottom"/>
            <w:tcBorders>
              <w:bottom w:val="single" w:sz="8" w:color="auto"/>
            </w:tcBorders>
          </w:tcPr>
          <w:p>
            <w:pPr>
              <w:spacing w:after="0"/>
              <w:rPr>
                <w:sz w:val="24"/>
                <w:szCs w:val="24"/>
                <w:color w:val="auto"/>
              </w:rPr>
            </w:pPr>
          </w:p>
        </w:tc>
      </w:tr>
      <w:tr>
        <w:trPr>
          <w:trHeight w:val="304"/>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Total</w:t>
            </w:r>
          </w:p>
        </w:tc>
        <w:tc>
          <w:tcPr>
            <w:tcW w:w="162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$5,193,137</w:t>
            </w:r>
          </w:p>
        </w:tc>
        <w:tc>
          <w:tcPr>
            <w:tcW w:w="18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$1,478,161</w:t>
            </w:r>
          </w:p>
        </w:tc>
        <w:tc>
          <w:tcPr>
            <w:tcW w:w="160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$1,882,280</w:t>
            </w:r>
          </w:p>
        </w:tc>
        <w:tc>
          <w:tcPr>
            <w:tcW w:w="170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$1,398,347</w:t>
            </w: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$1,287,908</w:t>
            </w:r>
          </w:p>
        </w:tc>
        <w:tc>
          <w:tcPr>
            <w:tcW w:w="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490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0" w:lineRule="exact"/>
        <w:rPr>
          <w:sz w:val="20"/>
          <w:szCs w:val="20"/>
          <w:color w:val="auto"/>
        </w:rPr>
      </w:pPr>
    </w:p>
    <w:p>
      <w:pPr>
        <w:ind w:left="660" w:right="40" w:hanging="328"/>
        <w:spacing w:after="0" w:line="24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amount set forth in the “Salary” row for Mr. Chhibbar includes $11,504 paid in 2016 in lieu of vacation not taken in 2015 in accordance with Indian employment regulations.</w:t>
      </w:r>
    </w:p>
    <w:p>
      <w:pPr>
        <w:ind w:left="660" w:right="100" w:hanging="328"/>
        <w:spacing w:after="0" w:line="25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each named executive offer, this category includes, if applicable, his perquisites and personal benefits, vacation payout, changes in pension value, Company-paid life insurance premiums and Company contributions to our 401(k) plan. A detailed discussion of the compensation components for each named executive officer for fiscal year 2016 is provided in the “Summary Compensation Table for Fiscal Year 2016” beginning on page 40.</w:t>
      </w:r>
    </w:p>
    <w:p>
      <w:pPr>
        <w:spacing w:after="0" w:line="185"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On an annual basis, we submit to our stockholders a vote to approve, on a non-binding advisory basis, the compensation of our named executive officers as described in this proxy statement. We refer to this vote as “say-on-pay”. Please refer to our Compensation Discussion and Analysis, starting on page 23 for a complete description of our 2016 compensation program. Below are a few highlights of our executive compensation:</w:t>
      </w:r>
    </w:p>
    <w:p>
      <w:pPr>
        <w:spacing w:after="0" w:line="166" w:lineRule="exact"/>
        <w:rPr>
          <w:sz w:val="20"/>
          <w:szCs w:val="20"/>
          <w:color w:val="auto"/>
        </w:rPr>
      </w:pPr>
    </w:p>
    <w:p>
      <w:pPr>
        <w:ind w:left="340" w:right="60" w:hanging="332"/>
        <w:spacing w:after="0" w:line="25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99.7% Say-on-Pay Approval Last Year</w:t>
      </w:r>
      <w:r>
        <w:rPr>
          <w:rFonts w:ascii="Arial" w:cs="Arial" w:eastAsia="Arial" w:hAnsi="Arial"/>
          <w:sz w:val="18"/>
          <w:szCs w:val="18"/>
          <w:color w:val="auto"/>
        </w:rPr>
        <w:t>: At our 2016 Annual Meeting of Stockholders, our stockholders approved, on a non-binding</w:t>
      </w:r>
      <w:r>
        <w:rPr>
          <w:rFonts w:ascii="Arial" w:cs="Arial" w:eastAsia="Arial" w:hAnsi="Arial"/>
          <w:sz w:val="18"/>
          <w:szCs w:val="18"/>
          <w:b w:val="1"/>
          <w:bCs w:val="1"/>
          <w:color w:val="auto"/>
        </w:rPr>
        <w:t xml:space="preserve"> </w:t>
      </w:r>
      <w:r>
        <w:rPr>
          <w:rFonts w:ascii="Arial" w:cs="Arial" w:eastAsia="Arial" w:hAnsi="Arial"/>
          <w:sz w:val="18"/>
          <w:szCs w:val="18"/>
          <w:color w:val="auto"/>
        </w:rPr>
        <w:t>advisory basis, the compensation paid to our named executive officers for fiscal year 2015. Approximately 99.7% of the votes were in favor of fiscal year 2015 compensation.</w:t>
      </w:r>
    </w:p>
    <w:p>
      <w:pPr>
        <w:spacing w:after="0" w:line="155" w:lineRule="exact"/>
        <w:rPr>
          <w:rFonts w:ascii="Arial" w:cs="Arial" w:eastAsia="Arial" w:hAnsi="Arial"/>
          <w:sz w:val="18"/>
          <w:szCs w:val="18"/>
          <w:color w:val="auto"/>
        </w:rPr>
      </w:pPr>
    </w:p>
    <w:p>
      <w:pPr>
        <w:ind w:left="340" w:hanging="332"/>
        <w:spacing w:after="0" w:line="27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Annual Bonus Program Based Upon Financial Performance Criteria</w:t>
      </w:r>
      <w:r>
        <w:rPr>
          <w:rFonts w:ascii="Arial" w:cs="Arial" w:eastAsia="Arial" w:hAnsi="Arial"/>
          <w:sz w:val="18"/>
          <w:szCs w:val="18"/>
          <w:color w:val="auto"/>
        </w:rPr>
        <w:t>: Our Compensation Committee approved the continued use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annual bonus program, which was redesigned in 2014 to be based upon the following performance criteria:</w:t>
      </w:r>
    </w:p>
    <w:p>
      <w:pPr>
        <w:spacing w:after="0" w:line="157" w:lineRule="exact"/>
        <w:rPr>
          <w:rFonts w:ascii="Arial" w:cs="Arial" w:eastAsia="Arial" w:hAnsi="Arial"/>
          <w:sz w:val="18"/>
          <w:szCs w:val="18"/>
          <w:color w:val="auto"/>
        </w:rPr>
      </w:pPr>
    </w:p>
    <w:p>
      <w:pPr>
        <w:ind w:left="720" w:hanging="334"/>
        <w:spacing w:after="0"/>
        <w:tabs>
          <w:tab w:leader="none" w:pos="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Company Wide Metrics – Adjusted earnings per share (EPS) and revenue</w:t>
      </w:r>
    </w:p>
    <w:p>
      <w:pPr>
        <w:ind w:left="720" w:hanging="334"/>
        <w:spacing w:after="0" w:line="234" w:lineRule="auto"/>
        <w:tabs>
          <w:tab w:leader="none" w:pos="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Business Line Metrics – Revenues, new client revenues and margin achievement</w:t>
      </w:r>
    </w:p>
    <w:p>
      <w:pPr>
        <w:ind w:left="720" w:hanging="334"/>
        <w:spacing w:after="0"/>
        <w:tabs>
          <w:tab w:leader="none" w:pos="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Individual Metrics – Linked to areas of performance that are unique to each executive</w:t>
      </w:r>
    </w:p>
    <w:p>
      <w:pPr>
        <w:spacing w:after="0" w:line="176" w:lineRule="exact"/>
        <w:rPr>
          <w:rFonts w:ascii="Arial" w:cs="Arial" w:eastAsia="Arial" w:hAnsi="Arial"/>
          <w:sz w:val="18"/>
          <w:szCs w:val="18"/>
          <w:color w:val="auto"/>
        </w:rPr>
      </w:pPr>
    </w:p>
    <w:p>
      <w:pPr>
        <w:ind w:left="340" w:right="80" w:hanging="332"/>
        <w:spacing w:after="0" w:line="25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Long-Term Equity Incentive Program</w:t>
      </w:r>
      <w:r>
        <w:rPr>
          <w:rFonts w:ascii="Arial" w:cs="Arial" w:eastAsia="Arial" w:hAnsi="Arial"/>
          <w:sz w:val="18"/>
          <w:szCs w:val="18"/>
          <w:color w:val="auto"/>
        </w:rPr>
        <w:t>: We also continued our equity incentive program that we first implemented in 2014, which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granting a mix of time-vested restricted stock units and performance-based restricted stock units. The performance-based restricted stock units were comprised of:</w:t>
      </w:r>
    </w:p>
    <w:p>
      <w:pPr>
        <w:spacing w:after="0" w:line="173" w:lineRule="exact"/>
        <w:rPr>
          <w:rFonts w:ascii="Arial" w:cs="Arial" w:eastAsia="Arial" w:hAnsi="Arial"/>
          <w:sz w:val="18"/>
          <w:szCs w:val="18"/>
          <w:color w:val="auto"/>
        </w:rPr>
      </w:pPr>
    </w:p>
    <w:p>
      <w:pPr>
        <w:ind w:left="720" w:hanging="334"/>
        <w:spacing w:after="0"/>
        <w:tabs>
          <w:tab w:leader="none" w:pos="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Relative total stockholder return-linked restricted stock units, and</w:t>
      </w:r>
    </w:p>
    <w:p>
      <w:pPr>
        <w:ind w:left="720" w:hanging="334"/>
        <w:spacing w:after="0"/>
        <w:tabs>
          <w:tab w:leader="none" w:pos="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Revenue-linked restricted stock units.</w:t>
      </w:r>
    </w:p>
    <w:p>
      <w:pPr>
        <w:spacing w:after="0" w:line="198" w:lineRule="exact"/>
        <w:rPr>
          <w:sz w:val="20"/>
          <w:szCs w:val="20"/>
          <w:color w:val="auto"/>
        </w:rPr>
      </w:pPr>
    </w:p>
    <w:p>
      <w:pPr>
        <w:ind w:left="400" w:right="300"/>
        <w:spacing w:after="0" w:line="246" w:lineRule="auto"/>
        <w:rPr>
          <w:sz w:val="20"/>
          <w:szCs w:val="20"/>
          <w:color w:val="auto"/>
        </w:rPr>
      </w:pPr>
      <w:r>
        <w:rPr>
          <w:rFonts w:ascii="Arial" w:cs="Arial" w:eastAsia="Arial" w:hAnsi="Arial"/>
          <w:sz w:val="18"/>
          <w:szCs w:val="18"/>
          <w:color w:val="auto"/>
        </w:rPr>
        <w:t>Beginning with the 2016 revenue-linked restricted stock units, we altered our equity incentive grants to remove the banking feature that allowed an executive to earn a portion of the award prior to the vesting date if specific interim performance targets were achieved.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8" w:name="page9"/>
    <w:bookmarkEnd w:id="8"/>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2016 Performance</w:t>
      </w:r>
      <w:r>
        <w:rPr>
          <w:rFonts w:ascii="Arial" w:cs="Arial" w:eastAsia="Arial" w:hAnsi="Arial"/>
          <w:sz w:val="18"/>
          <w:szCs w:val="18"/>
          <w:color w:val="auto"/>
        </w:rPr>
        <w:t>: We delivered solid revenue and Adjusted EPS performance in 2016.</w:t>
      </w:r>
    </w:p>
    <w:p>
      <w:pPr>
        <w:spacing w:after="0" w:line="198" w:lineRule="exact"/>
        <w:rPr>
          <w:rFonts w:ascii="Arial" w:cs="Arial" w:eastAsia="Arial" w:hAnsi="Arial"/>
          <w:sz w:val="18"/>
          <w:szCs w:val="18"/>
          <w:color w:val="auto"/>
        </w:rPr>
      </w:pPr>
    </w:p>
    <w:p>
      <w:pPr>
        <w:ind w:left="720" w:right="120" w:hanging="334"/>
        <w:spacing w:after="0" w:line="271"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Annual Incentive Program</w:t>
      </w:r>
      <w:r>
        <w:rPr>
          <w:rFonts w:ascii="Arial" w:cs="Arial" w:eastAsia="Arial" w:hAnsi="Arial"/>
          <w:sz w:val="18"/>
          <w:szCs w:val="18"/>
          <w:color w:val="auto"/>
        </w:rPr>
        <w:t>: As measured under our annual incentive plan, we delivered 99% of our stretch Adjusted EPS target and</w:t>
      </w:r>
      <w:r>
        <w:rPr>
          <w:rFonts w:ascii="Arial" w:cs="Arial" w:eastAsia="Arial" w:hAnsi="Arial"/>
          <w:sz w:val="18"/>
          <w:szCs w:val="18"/>
          <w:b w:val="1"/>
          <w:bCs w:val="1"/>
          <w:color w:val="auto"/>
        </w:rPr>
        <w:t xml:space="preserve"> </w:t>
      </w:r>
      <w:r>
        <w:rPr>
          <w:rFonts w:ascii="Arial" w:cs="Arial" w:eastAsia="Arial" w:hAnsi="Arial"/>
          <w:sz w:val="18"/>
          <w:szCs w:val="18"/>
          <w:color w:val="auto"/>
        </w:rPr>
        <w:t>fell just short of our stretch total revenue performance target achieving 96.2% of target.</w:t>
      </w:r>
    </w:p>
    <w:p>
      <w:pPr>
        <w:spacing w:after="0" w:line="140" w:lineRule="exact"/>
        <w:rPr>
          <w:rFonts w:ascii="Arial" w:cs="Arial" w:eastAsia="Arial" w:hAnsi="Arial"/>
          <w:sz w:val="18"/>
          <w:szCs w:val="18"/>
          <w:color w:val="auto"/>
        </w:rPr>
      </w:pPr>
    </w:p>
    <w:p>
      <w:pPr>
        <w:ind w:left="720" w:right="100" w:hanging="334"/>
        <w:spacing w:after="0" w:line="226"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Equity Incentive Program</w:t>
      </w:r>
      <w:r>
        <w:rPr>
          <w:rFonts w:ascii="Arial" w:cs="Arial" w:eastAsia="Arial" w:hAnsi="Arial"/>
          <w:sz w:val="18"/>
          <w:szCs w:val="18"/>
          <w:color w:val="auto"/>
        </w:rPr>
        <w:t>: This was the third and final performance year for the 2014 performance-based restricted stock units. We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achieved 100.1% of the revenue target for the revenue-linked restricted stock units resulting in 100.69% funding of those grants. The Company’s TSR performance was in the 95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amongst its peer group, resulting in the executives earning 200% of the 2014 relative TSR-linked restricted stock units pursuant to the terms of the original grant. Our solid revenue achievement also resulted in our executives banking one-third of the revenue-linked restricted stock units for the 2015 revenue performance based grants, based on metrics set by the Compensation Committee in advance and under the terms of our equity plan. We removed this banking feature for the 2016 revenue-linked restricted stock units.</w:t>
      </w:r>
    </w:p>
    <w:p>
      <w:pPr>
        <w:spacing w:after="0" w:line="166"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140335</wp:posOffset>
            </wp:positionV>
            <wp:extent cx="5145405" cy="25387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540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508BC7"/>
        </w:rPr>
        <w:t>Auditor Matters</w:t>
      </w:r>
    </w:p>
    <w:p>
      <w:pPr>
        <w:spacing w:after="0" w:line="224" w:lineRule="exact"/>
        <w:rPr>
          <w:sz w:val="20"/>
          <w:szCs w:val="20"/>
          <w:color w:val="auto"/>
        </w:rPr>
      </w:pPr>
    </w:p>
    <w:p>
      <w:pPr>
        <w:jc w:val="both"/>
        <w:ind w:right="340" w:firstLine="648"/>
        <w:spacing w:after="0" w:line="246" w:lineRule="auto"/>
        <w:rPr>
          <w:sz w:val="20"/>
          <w:szCs w:val="20"/>
          <w:color w:val="auto"/>
        </w:rPr>
      </w:pPr>
      <w:r>
        <w:rPr>
          <w:rFonts w:ascii="Arial" w:cs="Arial" w:eastAsia="Arial" w:hAnsi="Arial"/>
          <w:sz w:val="18"/>
          <w:szCs w:val="18"/>
          <w:color w:val="auto"/>
        </w:rPr>
        <w:t>As a matter of good corporate practice, we are seeking your ratification of Ernst &amp; Young LLP as our independent registered public accounting firm for fiscal year 2017. For more information on our auditors, including individual components of 2016 audit fees, see page 66.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Borders>
              <w:right w:val="single" w:sz="8" w:color="auto"/>
            </w:tcBorders>
          </w:tcPr>
          <w:p>
            <w:pPr>
              <w:spacing w:after="0"/>
              <w:rPr>
                <w:sz w:val="14"/>
                <w:szCs w:val="14"/>
                <w:color w:val="auto"/>
              </w:rPr>
            </w:pPr>
          </w:p>
        </w:tc>
        <w:tc>
          <w:tcPr>
            <w:tcW w:w="3340" w:type="dxa"/>
            <w:vAlign w:val="bottom"/>
            <w:tcBorders>
              <w:top w:val="single" w:sz="8" w:color="auto"/>
            </w:tcBorders>
            <w:shd w:val="clear" w:color="auto" w:fill="508BC7"/>
          </w:tcPr>
          <w:p>
            <w:pPr>
              <w:spacing w:after="0"/>
              <w:rPr>
                <w:sz w:val="14"/>
                <w:szCs w:val="14"/>
                <w:color w:val="auto"/>
              </w:rPr>
            </w:pPr>
          </w:p>
        </w:tc>
        <w:tc>
          <w:tcPr>
            <w:tcW w:w="6920" w:type="dxa"/>
            <w:vAlign w:val="bottom"/>
            <w:tcBorders>
              <w:top w:val="single" w:sz="8" w:color="auto"/>
              <w:right w:val="single" w:sz="8" w:color="auto"/>
            </w:tcBorders>
            <w:shd w:val="clear" w:color="auto" w:fill="508BC7"/>
          </w:tcPr>
          <w:p>
            <w:pPr>
              <w:jc w:val="right"/>
              <w:ind w:right="494"/>
              <w:spacing w:after="0"/>
              <w:rPr>
                <w:sz w:val="20"/>
                <w:szCs w:val="20"/>
                <w:color w:val="auto"/>
              </w:rPr>
            </w:pPr>
            <w:r>
              <w:rPr>
                <w:rFonts w:ascii="Arial" w:cs="Arial" w:eastAsia="Arial" w:hAnsi="Arial"/>
                <w:sz w:val="14"/>
                <w:szCs w:val="14"/>
                <w:b w:val="1"/>
                <w:bCs w:val="1"/>
                <w:color w:val="FFFFFF"/>
              </w:rPr>
              <w:t>2016</w:t>
            </w:r>
          </w:p>
        </w:tc>
        <w:tc>
          <w:tcPr>
            <w:tcW w:w="560" w:type="dxa"/>
            <w:vAlign w:val="bottom"/>
          </w:tcPr>
          <w:p>
            <w:pPr>
              <w:spacing w:after="0"/>
              <w:rPr>
                <w:sz w:val="14"/>
                <w:szCs w:val="14"/>
                <w:color w:val="auto"/>
              </w:rPr>
            </w:pPr>
          </w:p>
        </w:tc>
      </w:tr>
      <w:tr>
        <w:trPr>
          <w:trHeight w:val="175"/>
        </w:trPr>
        <w:tc>
          <w:tcPr>
            <w:tcW w:w="600" w:type="dxa"/>
            <w:vAlign w:val="bottom"/>
            <w:tcBorders>
              <w:right w:val="single" w:sz="8" w:color="auto"/>
            </w:tcBorders>
          </w:tcPr>
          <w:p>
            <w:pPr>
              <w:spacing w:after="0"/>
              <w:rPr>
                <w:sz w:val="15"/>
                <w:szCs w:val="15"/>
                <w:color w:val="auto"/>
              </w:rPr>
            </w:pPr>
          </w:p>
        </w:tc>
        <w:tc>
          <w:tcPr>
            <w:tcW w:w="3340" w:type="dxa"/>
            <w:vAlign w:val="bottom"/>
            <w:tcBorders>
              <w:bottom w:val="single" w:sz="8" w:color="auto"/>
            </w:tcBorders>
            <w:shd w:val="clear" w:color="auto" w:fill="508BC7"/>
          </w:tcPr>
          <w:p>
            <w:pPr>
              <w:spacing w:after="0"/>
              <w:rPr>
                <w:sz w:val="15"/>
                <w:szCs w:val="15"/>
                <w:color w:val="auto"/>
              </w:rPr>
            </w:pPr>
          </w:p>
        </w:tc>
        <w:tc>
          <w:tcPr>
            <w:tcW w:w="6920" w:type="dxa"/>
            <w:vAlign w:val="bottom"/>
            <w:tcBorders>
              <w:bottom w:val="single" w:sz="8" w:color="auto"/>
              <w:right w:val="single" w:sz="8" w:color="auto"/>
            </w:tcBorders>
            <w:shd w:val="clear" w:color="auto" w:fill="508BC7"/>
          </w:tcPr>
          <w:p>
            <w:pPr>
              <w:jc w:val="right"/>
              <w:ind w:right="154"/>
              <w:spacing w:after="0"/>
              <w:rPr>
                <w:sz w:val="20"/>
                <w:szCs w:val="20"/>
                <w:color w:val="auto"/>
              </w:rPr>
            </w:pPr>
            <w:r>
              <w:rPr>
                <w:rFonts w:ascii="Arial" w:cs="Arial" w:eastAsia="Arial" w:hAnsi="Arial"/>
                <w:sz w:val="14"/>
                <w:szCs w:val="14"/>
                <w:b w:val="1"/>
                <w:bCs w:val="1"/>
                <w:color w:val="FFFFFF"/>
              </w:rPr>
              <w:t>(in thousands)</w:t>
            </w:r>
          </w:p>
        </w:tc>
        <w:tc>
          <w:tcPr>
            <w:tcW w:w="560" w:type="dxa"/>
            <w:vAlign w:val="bottom"/>
          </w:tcPr>
          <w:p>
            <w:pPr>
              <w:spacing w:after="0"/>
              <w:rPr>
                <w:sz w:val="15"/>
                <w:szCs w:val="15"/>
                <w:color w:val="auto"/>
              </w:rPr>
            </w:pPr>
          </w:p>
        </w:tc>
      </w:tr>
      <w:tr>
        <w:trPr>
          <w:trHeight w:val="210"/>
        </w:trPr>
        <w:tc>
          <w:tcPr>
            <w:tcW w:w="600" w:type="dxa"/>
            <w:vAlign w:val="bottom"/>
            <w:tcBorders>
              <w:right w:val="single" w:sz="8" w:color="auto"/>
            </w:tcBorders>
          </w:tcPr>
          <w:p>
            <w:pPr>
              <w:spacing w:after="0"/>
              <w:rPr>
                <w:sz w:val="18"/>
                <w:szCs w:val="18"/>
                <w:color w:val="auto"/>
              </w:rPr>
            </w:pPr>
          </w:p>
        </w:tc>
        <w:tc>
          <w:tcPr>
            <w:tcW w:w="3340" w:type="dxa"/>
            <w:vAlign w:val="bottom"/>
            <w:shd w:val="clear" w:color="auto" w:fill="D0E0F0"/>
          </w:tcPr>
          <w:p>
            <w:pPr>
              <w:ind w:left="80"/>
              <w:spacing w:after="0"/>
              <w:rPr>
                <w:sz w:val="20"/>
                <w:szCs w:val="20"/>
                <w:color w:val="auto"/>
              </w:rPr>
            </w:pPr>
            <w:r>
              <w:rPr>
                <w:rFonts w:ascii="Arial" w:cs="Arial" w:eastAsia="Arial" w:hAnsi="Arial"/>
                <w:sz w:val="18"/>
                <w:szCs w:val="18"/>
                <w:color w:val="auto"/>
              </w:rPr>
              <w:t>Audit Fees</w:t>
            </w:r>
          </w:p>
        </w:tc>
        <w:tc>
          <w:tcPr>
            <w:tcW w:w="6920" w:type="dxa"/>
            <w:vAlign w:val="bottom"/>
            <w:tcBorders>
              <w:right w:val="single" w:sz="8" w:color="auto"/>
            </w:tcBorders>
            <w:shd w:val="clear" w:color="auto" w:fill="D0E0F0"/>
          </w:tcPr>
          <w:p>
            <w:pPr>
              <w:jc w:val="right"/>
              <w:ind w:right="414"/>
              <w:spacing w:after="0"/>
              <w:rPr>
                <w:sz w:val="20"/>
                <w:szCs w:val="20"/>
                <w:color w:val="auto"/>
              </w:rPr>
            </w:pPr>
            <w:r>
              <w:rPr>
                <w:rFonts w:ascii="Arial" w:cs="Arial" w:eastAsia="Arial" w:hAnsi="Arial"/>
                <w:sz w:val="18"/>
                <w:szCs w:val="18"/>
                <w:color w:val="auto"/>
              </w:rPr>
              <w:t>$ 1,551</w:t>
            </w:r>
          </w:p>
        </w:tc>
        <w:tc>
          <w:tcPr>
            <w:tcW w:w="56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3340" w:type="dxa"/>
            <w:vAlign w:val="bottom"/>
          </w:tcPr>
          <w:p>
            <w:pPr>
              <w:ind w:left="80"/>
              <w:spacing w:after="0"/>
              <w:rPr>
                <w:sz w:val="20"/>
                <w:szCs w:val="20"/>
                <w:color w:val="auto"/>
              </w:rPr>
            </w:pPr>
            <w:r>
              <w:rPr>
                <w:rFonts w:ascii="Arial" w:cs="Arial" w:eastAsia="Arial" w:hAnsi="Arial"/>
                <w:sz w:val="18"/>
                <w:szCs w:val="18"/>
                <w:color w:val="auto"/>
              </w:rPr>
              <w:t>Audit-Related Fees</w:t>
            </w:r>
          </w:p>
        </w:tc>
        <w:tc>
          <w:tcPr>
            <w:tcW w:w="6920" w:type="dxa"/>
            <w:vAlign w:val="bottom"/>
            <w:tcBorders>
              <w:right w:val="single" w:sz="8" w:color="auto"/>
            </w:tcBorders>
          </w:tcPr>
          <w:p>
            <w:pPr>
              <w:jc w:val="right"/>
              <w:ind w:right="414"/>
              <w:spacing w:after="0"/>
              <w:rPr>
                <w:sz w:val="20"/>
                <w:szCs w:val="20"/>
                <w:color w:val="auto"/>
              </w:rPr>
            </w:pPr>
            <w:r>
              <w:rPr>
                <w:rFonts w:ascii="Arial" w:cs="Arial" w:eastAsia="Arial" w:hAnsi="Arial"/>
                <w:sz w:val="18"/>
                <w:szCs w:val="18"/>
                <w:color w:val="auto"/>
              </w:rPr>
              <w:t>266</w:t>
            </w:r>
          </w:p>
        </w:tc>
        <w:tc>
          <w:tcPr>
            <w:tcW w:w="56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3340" w:type="dxa"/>
            <w:vAlign w:val="bottom"/>
            <w:shd w:val="clear" w:color="auto" w:fill="D0E0F0"/>
          </w:tcPr>
          <w:p>
            <w:pPr>
              <w:ind w:left="80"/>
              <w:spacing w:after="0"/>
              <w:rPr>
                <w:sz w:val="20"/>
                <w:szCs w:val="20"/>
                <w:color w:val="auto"/>
              </w:rPr>
            </w:pPr>
            <w:r>
              <w:rPr>
                <w:rFonts w:ascii="Arial" w:cs="Arial" w:eastAsia="Arial" w:hAnsi="Arial"/>
                <w:sz w:val="18"/>
                <w:szCs w:val="18"/>
                <w:color w:val="auto"/>
              </w:rPr>
              <w:t>Tax Fees</w:t>
            </w:r>
          </w:p>
        </w:tc>
        <w:tc>
          <w:tcPr>
            <w:tcW w:w="6920" w:type="dxa"/>
            <w:vAlign w:val="bottom"/>
            <w:tcBorders>
              <w:right w:val="single" w:sz="8" w:color="auto"/>
            </w:tcBorders>
            <w:shd w:val="clear" w:color="auto" w:fill="D0E0F0"/>
          </w:tcPr>
          <w:p>
            <w:pPr>
              <w:jc w:val="right"/>
              <w:ind w:right="414"/>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3340" w:type="dxa"/>
            <w:vAlign w:val="bottom"/>
          </w:tcPr>
          <w:p>
            <w:pPr>
              <w:ind w:left="80"/>
              <w:spacing w:after="0"/>
              <w:rPr>
                <w:sz w:val="20"/>
                <w:szCs w:val="20"/>
                <w:color w:val="auto"/>
              </w:rPr>
            </w:pPr>
            <w:r>
              <w:rPr>
                <w:rFonts w:ascii="Arial" w:cs="Arial" w:eastAsia="Arial" w:hAnsi="Arial"/>
                <w:sz w:val="18"/>
                <w:szCs w:val="18"/>
                <w:color w:val="auto"/>
              </w:rPr>
              <w:t>All Other Fees</w:t>
            </w:r>
          </w:p>
        </w:tc>
        <w:tc>
          <w:tcPr>
            <w:tcW w:w="6920" w:type="dxa"/>
            <w:vAlign w:val="bottom"/>
            <w:tcBorders>
              <w:right w:val="single" w:sz="8" w:color="auto"/>
            </w:tcBorders>
          </w:tcPr>
          <w:p>
            <w:pPr>
              <w:jc w:val="right"/>
              <w:ind w:right="414"/>
              <w:spacing w:after="0"/>
              <w:rPr>
                <w:sz w:val="20"/>
                <w:szCs w:val="20"/>
                <w:color w:val="auto"/>
              </w:rPr>
            </w:pPr>
            <w:r>
              <w:rPr>
                <w:rFonts w:ascii="Arial" w:cs="Arial" w:eastAsia="Arial" w:hAnsi="Arial"/>
                <w:sz w:val="18"/>
                <w:szCs w:val="18"/>
                <w:color w:val="auto"/>
              </w:rPr>
              <w:t>92</w:t>
            </w:r>
          </w:p>
        </w:tc>
        <w:tc>
          <w:tcPr>
            <w:tcW w:w="56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3340" w:type="dxa"/>
            <w:vAlign w:val="bottom"/>
            <w:tcBorders>
              <w:bottom w:val="single" w:sz="8" w:color="auto"/>
            </w:tcBorders>
            <w:shd w:val="clear" w:color="auto" w:fill="D0E0F0"/>
          </w:tcPr>
          <w:p>
            <w:pPr>
              <w:ind w:left="80"/>
              <w:spacing w:after="0"/>
              <w:rPr>
                <w:sz w:val="20"/>
                <w:szCs w:val="20"/>
                <w:color w:val="auto"/>
              </w:rPr>
            </w:pPr>
            <w:r>
              <w:rPr>
                <w:rFonts w:ascii="Arial" w:cs="Arial" w:eastAsia="Arial" w:hAnsi="Arial"/>
                <w:sz w:val="18"/>
                <w:szCs w:val="18"/>
                <w:b w:val="1"/>
                <w:bCs w:val="1"/>
                <w:color w:val="auto"/>
              </w:rPr>
              <w:t>Total</w:t>
            </w:r>
          </w:p>
        </w:tc>
        <w:tc>
          <w:tcPr>
            <w:tcW w:w="6920" w:type="dxa"/>
            <w:vAlign w:val="bottom"/>
            <w:tcBorders>
              <w:bottom w:val="single" w:sz="8" w:color="auto"/>
              <w:right w:val="single" w:sz="8" w:color="auto"/>
            </w:tcBorders>
            <w:shd w:val="clear" w:color="auto" w:fill="D0E0F0"/>
          </w:tcPr>
          <w:p>
            <w:pPr>
              <w:jc w:val="right"/>
              <w:ind w:right="414"/>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1,953</w:t>
            </w:r>
          </w:p>
        </w:tc>
        <w:tc>
          <w:tcPr>
            <w:tcW w:w="560" w:type="dxa"/>
            <w:vAlign w:val="bottom"/>
          </w:tcPr>
          <w:p>
            <w:pPr>
              <w:spacing w:after="0"/>
              <w:rPr>
                <w:sz w:val="18"/>
                <w:szCs w:val="18"/>
                <w:color w:val="auto"/>
              </w:rPr>
            </w:pPr>
          </w:p>
        </w:tc>
      </w:tr>
      <w:tr>
        <w:trPr>
          <w:trHeight w:val="615"/>
        </w:trPr>
        <w:tc>
          <w:tcPr>
            <w:tcW w:w="6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jc w:val="right"/>
              <w:ind w:right="5014"/>
              <w:spacing w:after="0"/>
              <w:rPr>
                <w:sz w:val="20"/>
                <w:szCs w:val="20"/>
                <w:color w:val="auto"/>
              </w:rPr>
            </w:pPr>
            <w:r>
              <w:rPr>
                <w:rFonts w:ascii="Arial" w:cs="Arial" w:eastAsia="Arial" w:hAnsi="Arial"/>
                <w:sz w:val="18"/>
                <w:szCs w:val="18"/>
                <w:color w:val="auto"/>
              </w:rPr>
              <w:t>6</w:t>
            </w: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6"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508BC7"/>
        </w:rPr>
        <w:t>INFORMATION CONCERNING VOTING AND SOLICITATION</w:t>
      </w:r>
    </w:p>
    <w:p>
      <w:pPr>
        <w:spacing w:after="0" w:line="220" w:lineRule="exact"/>
        <w:rPr>
          <w:sz w:val="20"/>
          <w:szCs w:val="20"/>
          <w:color w:val="auto"/>
        </w:rPr>
      </w:pPr>
    </w:p>
    <w:p>
      <w:pPr>
        <w:ind w:right="120" w:firstLine="441"/>
        <w:spacing w:after="0" w:line="234" w:lineRule="auto"/>
        <w:rPr>
          <w:sz w:val="20"/>
          <w:szCs w:val="20"/>
          <w:color w:val="auto"/>
        </w:rPr>
      </w:pPr>
      <w:r>
        <w:rPr>
          <w:rFonts w:ascii="Arial" w:cs="Arial" w:eastAsia="Arial" w:hAnsi="Arial"/>
          <w:sz w:val="18"/>
          <w:szCs w:val="18"/>
          <w:color w:val="auto"/>
        </w:rPr>
        <w:t>This Proxy Statement is being furnished to you in connection with the solicitation by the board of directors of ExlService Holdings, Inc., a Delaware corporation (“us,” “we,” “our” or the “Company”), of proxies to be used at our 2017 Annual Meeting of Stockholders (the “Annual</w:t>
      </w:r>
    </w:p>
    <w:p>
      <w:pPr>
        <w:spacing w:after="0" w:line="2" w:lineRule="exact"/>
        <w:rPr>
          <w:sz w:val="20"/>
          <w:szCs w:val="20"/>
          <w:color w:val="auto"/>
        </w:rPr>
      </w:pPr>
    </w:p>
    <w:p>
      <w:pPr>
        <w:ind w:right="240"/>
        <w:spacing w:after="0" w:line="199" w:lineRule="auto"/>
        <w:rPr>
          <w:sz w:val="20"/>
          <w:szCs w:val="20"/>
          <w:color w:val="auto"/>
        </w:rPr>
      </w:pPr>
      <w:r>
        <w:rPr>
          <w:rFonts w:ascii="Arial" w:cs="Arial" w:eastAsia="Arial" w:hAnsi="Arial"/>
          <w:sz w:val="18"/>
          <w:szCs w:val="18"/>
          <w:color w:val="auto"/>
        </w:rPr>
        <w:t>Meeting”) to be held at the New York offices of the Company, 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on June 22, 2017, at 9:00 AM, Eastern Time, and any adjournments or postponements thereof.</w:t>
      </w:r>
    </w:p>
    <w:p>
      <w:pPr>
        <w:spacing w:after="0" w:line="190" w:lineRule="exact"/>
        <w:rPr>
          <w:sz w:val="20"/>
          <w:szCs w:val="20"/>
          <w:color w:val="auto"/>
        </w:rPr>
      </w:pPr>
    </w:p>
    <w:p>
      <w:pPr>
        <w:ind w:right="140" w:firstLine="441"/>
        <w:spacing w:after="0" w:line="237" w:lineRule="auto"/>
        <w:rPr>
          <w:sz w:val="20"/>
          <w:szCs w:val="20"/>
          <w:color w:val="auto"/>
        </w:rPr>
      </w:pPr>
      <w:r>
        <w:rPr>
          <w:rFonts w:ascii="Arial" w:cs="Arial" w:eastAsia="Arial" w:hAnsi="Arial"/>
          <w:sz w:val="18"/>
          <w:szCs w:val="18"/>
          <w:color w:val="auto"/>
        </w:rPr>
        <w:t>In accordance with rules and regulations adopted by the Securities and Exchange Commission (the “SEC”), instead of mailing a printed copy of our proxy materials to each stockholder of record, the Company furnishes proxy materials via the Internet. If you received a Notice of Internet Availability of Proxy Materials (the “Internet Notice”) by mail, you will not receive a printed copy of our proxy materials other than as described herein. Instead, the Internet Notice will instruct you as to how you may access and review all of the important information contained in the proxy materials. The Internet Notice also instructs you as to how you may submit your proxy over the Internet or by phone. If you received an Internet Notice by mail and would like to receive a printed copy of our proxy materials, you should follow the instructions for requesting proxy materials included in the Internet Notice.</w:t>
      </w:r>
    </w:p>
    <w:p>
      <w:pPr>
        <w:spacing w:after="0" w:line="190" w:lineRule="exact"/>
        <w:rPr>
          <w:sz w:val="20"/>
          <w:szCs w:val="20"/>
          <w:color w:val="auto"/>
        </w:rPr>
      </w:pPr>
    </w:p>
    <w:p>
      <w:pPr>
        <w:jc w:val="both"/>
        <w:ind w:right="40" w:firstLine="441"/>
        <w:spacing w:after="0" w:line="246" w:lineRule="auto"/>
        <w:rPr>
          <w:sz w:val="20"/>
          <w:szCs w:val="20"/>
          <w:color w:val="auto"/>
        </w:rPr>
      </w:pPr>
      <w:r>
        <w:rPr>
          <w:rFonts w:ascii="Arial" w:cs="Arial" w:eastAsia="Arial" w:hAnsi="Arial"/>
          <w:sz w:val="18"/>
          <w:szCs w:val="18"/>
          <w:color w:val="auto"/>
        </w:rPr>
        <w:t>It is anticipated that the Internet Notice will be sent to stockholders on or about April 28, 2017. This proxy statement and the form of proxy relating to the Annual Meeting will be made available via the Internet to stockholders on or prior to the date that the Internet Notice is first sent.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Who Can Vote</w:t>
      </w:r>
    </w:p>
    <w:p>
      <w:pPr>
        <w:spacing w:after="0" w:line="220" w:lineRule="exact"/>
        <w:rPr>
          <w:sz w:val="20"/>
          <w:szCs w:val="20"/>
          <w:color w:val="auto"/>
        </w:rPr>
      </w:pPr>
    </w:p>
    <w:p>
      <w:pPr>
        <w:ind w:right="40" w:firstLine="441"/>
        <w:spacing w:after="0" w:line="239" w:lineRule="auto"/>
        <w:rPr>
          <w:sz w:val="20"/>
          <w:szCs w:val="20"/>
          <w:color w:val="auto"/>
        </w:rPr>
      </w:pPr>
      <w:r>
        <w:rPr>
          <w:rFonts w:ascii="Arial" w:cs="Arial" w:eastAsia="Arial" w:hAnsi="Arial"/>
          <w:sz w:val="18"/>
          <w:szCs w:val="18"/>
          <w:color w:val="auto"/>
        </w:rPr>
        <w:t>Only stockholders who own shares of our common stock at the close of business on April 26, 2017, the record date for the Annual Meeting, can vote at the Annual Meeting. As of the close of business on April 26, 2017, the record date, we had 33,927,581 shares of common stock outstanding and entitled to vote. Each holder of common stock is entitled to one vote for each share held as of the record date for the Annual Meeting. There is no cumulative voting in the election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How You Can Vote</w:t>
      </w:r>
    </w:p>
    <w:p>
      <w:pPr>
        <w:spacing w:after="0" w:line="220" w:lineRule="exact"/>
        <w:rPr>
          <w:sz w:val="20"/>
          <w:szCs w:val="20"/>
          <w:color w:val="auto"/>
        </w:rPr>
      </w:pPr>
    </w:p>
    <w:p>
      <w:pPr>
        <w:ind w:right="140" w:firstLine="441"/>
        <w:spacing w:after="0" w:line="238" w:lineRule="auto"/>
        <w:rPr>
          <w:sz w:val="20"/>
          <w:szCs w:val="20"/>
          <w:color w:val="auto"/>
        </w:rPr>
      </w:pPr>
      <w:r>
        <w:rPr>
          <w:rFonts w:ascii="Arial" w:cs="Arial" w:eastAsia="Arial" w:hAnsi="Arial"/>
          <w:sz w:val="18"/>
          <w:szCs w:val="18"/>
          <w:color w:val="auto"/>
        </w:rPr>
        <w:t>If your shares are registered directly in your name with Computershare Trust Company, N.A., our transfer agent (which means you are a “stockholder of record”), you can vote your proxy by (i) Internet, (ii) by phone or (iii) by requesting that proxy materials be sent to you by mail that will include a proxy card that you can use to vote by completing, signing, dating and returning the proxy card in the prepaid postage envelope provided. Please refer to the specific instructions set forth in the Internet Notice. You will not be able to vote your shares unless you use one of the methods above to designate a proxy or by attending the Annual Meeting.</w:t>
      </w:r>
    </w:p>
    <w:p>
      <w:pPr>
        <w:spacing w:after="0" w:line="189"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 In addition to voting by mail, a number of banks and brokerage firms participate in a program provided through Broadridge Financial Solutions, Inc. (“Broadridge”) that offers telephone and Internet voting options. Votes submitted by telephone or by using the Internet through Broadridge’s program must be received by 11:59 p.m. Eastern Time, on June 21, 2017.</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0" w:name="page11"/>
    <w:bookmarkEnd w:id="10"/>
    <w:p>
      <w:pPr>
        <w:ind w:firstLine="441"/>
        <w:spacing w:after="0" w:line="242" w:lineRule="auto"/>
        <w:rPr>
          <w:sz w:val="20"/>
          <w:szCs w:val="20"/>
          <w:color w:val="auto"/>
        </w:rPr>
      </w:pPr>
      <w:r>
        <w:rPr>
          <w:rFonts w:ascii="Arial" w:cs="Arial" w:eastAsia="Arial" w:hAnsi="Arial"/>
          <w:sz w:val="18"/>
          <w:szCs w:val="18"/>
          <w:i w:val="1"/>
          <w:iCs w:val="1"/>
          <w:color w:val="auto"/>
        </w:rPr>
        <w:t>Voting at the Annual Meeting</w:t>
      </w:r>
      <w:r>
        <w:rPr>
          <w:rFonts w:ascii="Arial" w:cs="Arial" w:eastAsia="Arial" w:hAnsi="Arial"/>
          <w:sz w:val="18"/>
          <w:szCs w:val="18"/>
          <w:color w:val="auto"/>
        </w:rPr>
        <w:t>. Voting by Internet, phone or mail will not limit your right to vote at the Annual Meeting if you decide to attend</w:t>
      </w:r>
      <w:r>
        <w:rPr>
          <w:rFonts w:ascii="Arial" w:cs="Arial" w:eastAsia="Arial" w:hAnsi="Arial"/>
          <w:sz w:val="18"/>
          <w:szCs w:val="18"/>
          <w:i w:val="1"/>
          <w:iCs w:val="1"/>
          <w:color w:val="auto"/>
        </w:rPr>
        <w:t xml:space="preserve"> </w:t>
      </w:r>
      <w:r>
        <w:rPr>
          <w:rFonts w:ascii="Arial" w:cs="Arial" w:eastAsia="Arial" w:hAnsi="Arial"/>
          <w:sz w:val="18"/>
          <w:szCs w:val="18"/>
          <w:color w:val="auto"/>
        </w:rPr>
        <w:t>in person. Our board of directors recommends that you vote by Internet, phone or mail as it is not practical for most stockholders to attend the Annual Meeting. If you are a “stockholder of record,” you may vote your shares in person at the Annual Meeting. If you hold your shares in “street name,” you must obtain a proxy from your broker, bank, trustee or nominee giving you the right to vote the shares at the Annual Meeting or your vote at the Annual Meeting will not be counted.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Revocation of Proxies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can revoke your proxy at any time before it is exercised in any of the following ways:</w:t>
      </w:r>
    </w:p>
    <w:p>
      <w:pPr>
        <w:spacing w:after="0" w:line="198" w:lineRule="exact"/>
        <w:rPr>
          <w:sz w:val="20"/>
          <w:szCs w:val="20"/>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198"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inspector of elections prior to the Annual Meeting; or</w:t>
      </w:r>
    </w:p>
    <w:p>
      <w:pPr>
        <w:spacing w:after="0" w:line="198"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submitting another properly executed proxy of a later date to the inspector of elections prior to the Annual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Required Vote; Effect of Abstentions and Broker Non-Votes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Quorum</w:t>
      </w:r>
    </w:p>
    <w:p>
      <w:pPr>
        <w:spacing w:after="0" w:line="220" w:lineRule="exact"/>
        <w:rPr>
          <w:sz w:val="20"/>
          <w:szCs w:val="20"/>
          <w:color w:val="auto"/>
        </w:rPr>
      </w:pPr>
    </w:p>
    <w:p>
      <w:pPr>
        <w:ind w:right="80" w:firstLine="441"/>
        <w:spacing w:after="0" w:line="239" w:lineRule="auto"/>
        <w:rPr>
          <w:sz w:val="20"/>
          <w:szCs w:val="20"/>
          <w:color w:val="auto"/>
        </w:rPr>
      </w:pPr>
      <w:r>
        <w:rPr>
          <w:rFonts w:ascii="Arial" w:cs="Arial" w:eastAsia="Arial" w:hAnsi="Arial"/>
          <w:sz w:val="18"/>
          <w:szCs w:val="18"/>
          <w:color w:val="auto"/>
        </w:rPr>
        <w:t>A quorum, which is a majority of the issued and outstanding shares of our common stock as of April 26, 2017, must be present, in person or by proxy, to conduct business at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Proposal 1: Election of Directors</w:t>
      </w:r>
    </w:p>
    <w:p>
      <w:pPr>
        <w:spacing w:after="0" w:line="220" w:lineRule="exact"/>
        <w:rPr>
          <w:sz w:val="20"/>
          <w:szCs w:val="20"/>
          <w:color w:val="auto"/>
        </w:rPr>
      </w:pPr>
    </w:p>
    <w:p>
      <w:pPr>
        <w:ind w:right="40" w:firstLine="441"/>
        <w:spacing w:after="0" w:line="237" w:lineRule="auto"/>
        <w:rPr>
          <w:sz w:val="20"/>
          <w:szCs w:val="20"/>
          <w:color w:val="auto"/>
        </w:rPr>
      </w:pPr>
      <w:r>
        <w:rPr>
          <w:rFonts w:ascii="Arial" w:cs="Arial" w:eastAsia="Arial" w:hAnsi="Arial"/>
          <w:sz w:val="18"/>
          <w:szCs w:val="18"/>
          <w:color w:val="auto"/>
        </w:rPr>
        <w:t>Under our Fourth Amended and Restated By-Laws (our “by-laws”), directors who are standing for election at the Annual Meeting will be elected by the affirmative vote of a majority of votes cast (meaning the number of shares voted “for” a nominee must exceed the number of shares voted “against” such nominee) by stockholders in person or represented by proxy and entitled to vote at the Annual Meeting. If any incumbent nominee for director receives a greater number of votes “against” his or her election than votes “for” such election, our by-laws provide that such person shall tender to the board of directors his or her resignation as a director. You may cast your vote in favor of electing all of the nominees as directors, against one or more nominees, or abstain from voting your shares. For purposes of the vote on Proposal 1, abstentions and broker non-votes (as described below) will have no effect on the results of the vote.</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Proposals</w:t>
      </w:r>
    </w:p>
    <w:p>
      <w:pPr>
        <w:spacing w:after="0" w:line="220" w:lineRule="exact"/>
        <w:rPr>
          <w:sz w:val="20"/>
          <w:szCs w:val="20"/>
          <w:color w:val="auto"/>
        </w:rPr>
      </w:pPr>
    </w:p>
    <w:p>
      <w:pPr>
        <w:ind w:right="40" w:firstLine="441"/>
        <w:spacing w:after="0" w:line="236" w:lineRule="auto"/>
        <w:rPr>
          <w:sz w:val="20"/>
          <w:szCs w:val="20"/>
          <w:color w:val="auto"/>
        </w:rPr>
      </w:pPr>
      <w:r>
        <w:rPr>
          <w:rFonts w:ascii="Arial" w:cs="Arial" w:eastAsia="Arial" w:hAnsi="Arial"/>
          <w:sz w:val="18"/>
          <w:szCs w:val="18"/>
          <w:color w:val="auto"/>
        </w:rPr>
        <w:t>The ratification of the appointment of our independent registered public accounting firm, the approval of the compensation of our named executive officers, the determination of how frequently the stockholders should hold a non-binding advisory vote to approve the compensation of the named executive officers of the Company, and each other item to be acted upon at the Annual Meeting will require the affirmative vote of a majority of shares present in person or represented by proxy and entitled to vote at the Annual Meeting. You may cast your vote in favor of or against these proposals or you may abstain from voting your shares. For purposes of the vote on Proposals 2 (ratification of the appointment of our independent registered public accounting firm), 3 (approval of the compensation of our named executive officers), 4 (determination of how frequently the stockholders should hold a non-binding advisory vote to approve the compensation of our named executive officers), or such other items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1" w:name="page12"/>
    <w:bookmarkEnd w:id="11"/>
    <w:p>
      <w:pPr>
        <w:jc w:val="both"/>
        <w:ind w:right="80"/>
        <w:spacing w:after="0"/>
        <w:rPr>
          <w:sz w:val="20"/>
          <w:szCs w:val="20"/>
          <w:color w:val="auto"/>
        </w:rPr>
      </w:pPr>
      <w:r>
        <w:rPr>
          <w:rFonts w:ascii="Arial" w:cs="Arial" w:eastAsia="Arial" w:hAnsi="Arial"/>
          <w:sz w:val="18"/>
          <w:szCs w:val="18"/>
          <w:color w:val="auto"/>
        </w:rPr>
        <w:t>properly presented and to be acted upon at the Annual Meeting, abstentions will have the effect of a vote against these proposals. Broker non-votes will have the effect of a vote against Proposals 3 and 4, but because Proposal 2 is a “routine” proposal where brokers have discretionary authority to vote in the absence of instruction, there will be no broker non-votes.</w:t>
      </w:r>
    </w:p>
    <w:p>
      <w:pPr>
        <w:spacing w:after="0" w:line="189"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color w:val="auto"/>
        </w:rPr>
        <w:t xml:space="preserve">If you submit your proxy, but do not mark your voting preference, the proxy holders will vote your shares (i) FOR the election of the nominees for director, (ii) FOR the ratification of the appointment of our independent registered public accounting firm, (iii) FOR the approval of the compensation of our named executive officers, (iv) FOR holding a non-binding advisory vote </w:t>
      </w:r>
      <w:r>
        <w:rPr>
          <w:rFonts w:ascii="Arial" w:cs="Arial" w:eastAsia="Arial" w:hAnsi="Arial"/>
          <w:sz w:val="18"/>
          <w:szCs w:val="18"/>
          <w:u w:val="single" w:color="auto"/>
          <w:color w:val="auto"/>
        </w:rPr>
        <w:t>every year</w:t>
      </w:r>
      <w:r>
        <w:rPr>
          <w:rFonts w:ascii="Arial" w:cs="Arial" w:eastAsia="Arial" w:hAnsi="Arial"/>
          <w:sz w:val="18"/>
          <w:szCs w:val="18"/>
          <w:color w:val="auto"/>
        </w:rPr>
        <w:t xml:space="preserve"> to approve the compensation of our executive officers, and (v) as described below, in the judgment of the proxy holder on any other matters properly presented at the Annual Meeting.</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Shares Held in “Street Name” by a Broker</w:t>
      </w:r>
    </w:p>
    <w:p>
      <w:pPr>
        <w:spacing w:after="0" w:line="220" w:lineRule="exact"/>
        <w:rPr>
          <w:sz w:val="20"/>
          <w:szCs w:val="20"/>
          <w:color w:val="auto"/>
        </w:rPr>
      </w:pPr>
    </w:p>
    <w:p>
      <w:pPr>
        <w:ind w:right="40" w:firstLine="441"/>
        <w:spacing w:after="0" w:line="236" w:lineRule="auto"/>
        <w:rPr>
          <w:sz w:val="20"/>
          <w:szCs w:val="20"/>
          <w:color w:val="auto"/>
        </w:rPr>
      </w:pPr>
      <w:r>
        <w:rPr>
          <w:rFonts w:ascii="Arial" w:cs="Arial" w:eastAsia="Arial" w:hAnsi="Arial"/>
          <w:sz w:val="18"/>
          <w:szCs w:val="18"/>
          <w:color w:val="auto"/>
        </w:rPr>
        <w:t>If you are the beneficial owner of shares held in “street name” by a broker, then your broker, as the record holder of the shares, must vote those shares in accordance with your instructions. If you fail to provide instructions to your broker, under the New York Stock Exchange rules (which apply to brokers even though our shares are listed on the NASDAQ Stock Market), your broker will not be authorized to exercise its discretion and vote your shares on “non-routine” proposals, including the election of directors, approval of the compensation of our named executive officers and approval of how frequently the stockholders should hold a non-binding advisory vote to approve the compensation of our named executive officers. As a result, a “broker non-vote” occurs. However, without your instructions, your broker would have discretionary authority to vote your shares only with respect to “routine” proposals, which at the Annual Meeting is the ratification of the appointment of our independent registered public accounting firm.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Other Matters to Be Acted Upon at the Meeting</w:t>
      </w:r>
    </w:p>
    <w:p>
      <w:pPr>
        <w:spacing w:after="0" w:line="220" w:lineRule="exact"/>
        <w:rPr>
          <w:sz w:val="20"/>
          <w:szCs w:val="20"/>
          <w:color w:val="auto"/>
        </w:rPr>
      </w:pPr>
    </w:p>
    <w:p>
      <w:pPr>
        <w:ind w:right="40" w:firstLine="441"/>
        <w:spacing w:after="0" w:line="239" w:lineRule="auto"/>
        <w:rPr>
          <w:sz w:val="20"/>
          <w:szCs w:val="20"/>
          <w:color w:val="auto"/>
        </w:rPr>
      </w:pPr>
      <w:r>
        <w:rPr>
          <w:rFonts w:ascii="Arial" w:cs="Arial" w:eastAsia="Arial" w:hAnsi="Arial"/>
          <w:sz w:val="18"/>
          <w:szCs w:val="18"/>
          <w:color w:val="auto"/>
        </w:rPr>
        <w:t>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Adjournments and Postponements</w:t>
      </w:r>
    </w:p>
    <w:p>
      <w:pPr>
        <w:spacing w:after="0" w:line="220" w:lineRule="exact"/>
        <w:rPr>
          <w:sz w:val="20"/>
          <w:szCs w:val="20"/>
          <w:color w:val="auto"/>
        </w:rPr>
      </w:pPr>
    </w:p>
    <w:p>
      <w:pPr>
        <w:ind w:right="440" w:firstLine="441"/>
        <w:spacing w:after="0" w:line="246" w:lineRule="auto"/>
        <w:rPr>
          <w:sz w:val="20"/>
          <w:szCs w:val="20"/>
          <w:color w:val="auto"/>
        </w:rPr>
      </w:pPr>
      <w:r>
        <w:rPr>
          <w:rFonts w:ascii="Arial" w:cs="Arial" w:eastAsia="Arial" w:hAnsi="Arial"/>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Solicitation of Proxies</w:t>
      </w:r>
    </w:p>
    <w:p>
      <w:pPr>
        <w:spacing w:after="0" w:line="220" w:lineRule="exact"/>
        <w:rPr>
          <w:sz w:val="20"/>
          <w:szCs w:val="20"/>
          <w:color w:val="auto"/>
        </w:rPr>
      </w:pPr>
    </w:p>
    <w:p>
      <w:pPr>
        <w:ind w:right="60" w:firstLine="441"/>
        <w:spacing w:after="0"/>
        <w:rPr>
          <w:sz w:val="20"/>
          <w:szCs w:val="20"/>
          <w:color w:val="auto"/>
        </w:rPr>
      </w:pPr>
      <w:r>
        <w:rPr>
          <w:rFonts w:ascii="Arial" w:cs="Arial" w:eastAsia="Arial" w:hAnsi="Arial"/>
          <w:sz w:val="18"/>
          <w:szCs w:val="18"/>
          <w:color w:val="auto"/>
        </w:rPr>
        <w:t>We will pay the cost of printing and mailing proxy materials and posting them on the Internet. Upon request, we will reimburse brokers, dealers, banks and trustees, or their nominees, for reasonable expenses incurred by them in forwarding proxy materials to beneficial owners of shares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Internet Availability of Proxy Materials</w:t>
      </w:r>
    </w:p>
    <w:p>
      <w:pPr>
        <w:spacing w:after="0" w:line="220" w:lineRule="exact"/>
        <w:rPr>
          <w:sz w:val="20"/>
          <w:szCs w:val="20"/>
          <w:color w:val="auto"/>
        </w:rPr>
      </w:pPr>
    </w:p>
    <w:p>
      <w:pPr>
        <w:ind w:right="120" w:firstLine="441"/>
        <w:spacing w:after="0" w:line="246" w:lineRule="auto"/>
        <w:rPr>
          <w:sz w:val="20"/>
          <w:szCs w:val="20"/>
          <w:color w:val="auto"/>
        </w:rPr>
      </w:pPr>
      <w:r>
        <w:rPr>
          <w:rFonts w:ascii="Arial" w:cs="Arial" w:eastAsia="Arial" w:hAnsi="Arial"/>
          <w:sz w:val="18"/>
          <w:szCs w:val="18"/>
          <w:color w:val="auto"/>
        </w:rPr>
        <w:t xml:space="preserve">Our Notice of Annual Meeting, proxy statement and form of proxy card are each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You may access these materials and provide your proxy by following the instructions provided in the Internet Notice.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508BC7"/>
        </w:rPr>
        <w:t>Important</w:t>
      </w:r>
    </w:p>
    <w:p>
      <w:pPr>
        <w:spacing w:after="0" w:line="198" w:lineRule="exact"/>
        <w:rPr>
          <w:sz w:val="20"/>
          <w:szCs w:val="20"/>
          <w:color w:val="auto"/>
        </w:rPr>
      </w:pPr>
    </w:p>
    <w:p>
      <w:pPr>
        <w:ind w:firstLine="441"/>
        <w:spacing w:after="0"/>
        <w:rPr>
          <w:sz w:val="20"/>
          <w:szCs w:val="20"/>
          <w:color w:val="auto"/>
        </w:rPr>
      </w:pPr>
      <w:r>
        <w:rPr>
          <w:rFonts w:ascii="Arial" w:cs="Arial" w:eastAsia="Arial" w:hAnsi="Arial"/>
          <w:sz w:val="18"/>
          <w:szCs w:val="18"/>
          <w:b w:val="1"/>
          <w:bCs w:val="1"/>
          <w:color w:val="auto"/>
        </w:rPr>
        <w:t xml:space="preserve">Please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This will not limit your right to attend or vote at the Annual Meeting. </w:t>
      </w:r>
      <w:r>
        <w:rPr>
          <w:rFonts w:ascii="Arial" w:cs="Arial" w:eastAsia="Arial" w:hAnsi="Arial"/>
          <w:sz w:val="18"/>
          <w:szCs w:val="18"/>
          <w:b w:val="1"/>
          <w:bCs w:val="1"/>
          <w:i w:val="1"/>
          <w:iCs w:val="1"/>
          <w:color w:val="auto"/>
        </w:rPr>
        <w:t>All Annual Meeting attendees may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be asked to present valid, government-issued photo identification (federal, state or local), such as a driver’s license or passport, and proof of beneficial ownership if you hold your shares through a broker, bank, trust or other nominee, before entering the Annual Meeting. Attendees may be subject to security inspections. Video and audio recording devices and other electronic devices will not be permitted at the Annual Meeting.</w:t>
      </w:r>
    </w:p>
    <w:p>
      <w:pPr>
        <w:spacing w:after="0" w:line="189" w:lineRule="exact"/>
        <w:rPr>
          <w:sz w:val="20"/>
          <w:szCs w:val="20"/>
          <w:color w:val="auto"/>
        </w:rPr>
      </w:pPr>
    </w:p>
    <w:p>
      <w:pPr>
        <w:ind w:right="920" w:firstLine="441"/>
        <w:spacing w:after="0" w:line="246" w:lineRule="auto"/>
        <w:rPr>
          <w:sz w:val="20"/>
          <w:szCs w:val="20"/>
          <w:color w:val="auto"/>
        </w:rPr>
      </w:pPr>
      <w:r>
        <w:rPr>
          <w:rFonts w:ascii="Arial" w:cs="Arial" w:eastAsia="Arial" w:hAnsi="Arial"/>
          <w:sz w:val="18"/>
          <w:szCs w:val="18"/>
          <w:color w:val="auto"/>
        </w:rPr>
        <w:t>If you have any further questions about voting your shares or attending the Annual Meeting, please call our Investor Relations Department at (212) 624-5913.</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6" w:right="29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508BC7"/>
        </w:rPr>
        <w:t>OUR BOARD OF DIRECTORS</w:t>
      </w:r>
    </w:p>
    <w:p>
      <w:pPr>
        <w:spacing w:after="0" w:line="224" w:lineRule="exact"/>
        <w:rPr>
          <w:sz w:val="20"/>
          <w:szCs w:val="20"/>
          <w:color w:val="auto"/>
        </w:rPr>
      </w:pPr>
    </w:p>
    <w:p>
      <w:pPr>
        <w:ind w:right="60" w:firstLine="441"/>
        <w:spacing w:after="0" w:line="246" w:lineRule="auto"/>
        <w:rPr>
          <w:sz w:val="20"/>
          <w:szCs w:val="20"/>
          <w:color w:val="auto"/>
        </w:rPr>
      </w:pPr>
      <w:r>
        <w:rPr>
          <w:rFonts w:ascii="Arial" w:cs="Arial" w:eastAsia="Arial" w:hAnsi="Arial"/>
          <w:sz w:val="18"/>
          <w:szCs w:val="18"/>
          <w:color w:val="auto"/>
        </w:rPr>
        <w:t>Our board of directors currently consists of eight directors divided into three classes, with each director serving a three-year term and one class being elected at each year’s annual meeting of stockholders. The current composition of our board of directors is as follows: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Board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494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4942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760" w:type="dxa"/>
            <w:vAlign w:val="bottom"/>
            <w:tcBorders>
              <w:top w:val="single" w:sz="8" w:color="auto"/>
              <w:right w:val="single" w:sz="8" w:color="auto"/>
            </w:tcBorders>
            <w:shd w:val="clear" w:color="auto" w:fill="C6D9F1"/>
          </w:tcPr>
          <w:p>
            <w:pPr>
              <w:spacing w:after="0"/>
              <w:rPr>
                <w:sz w:val="24"/>
                <w:szCs w:val="24"/>
                <w:color w:val="auto"/>
              </w:rPr>
            </w:pPr>
          </w:p>
        </w:tc>
        <w:tc>
          <w:tcPr>
            <w:tcW w:w="1540" w:type="dxa"/>
            <w:vAlign w:val="bottom"/>
            <w:tcBorders>
              <w:top w:val="single" w:sz="8" w:color="auto"/>
            </w:tcBorders>
            <w:gridSpan w:val="2"/>
          </w:tcPr>
          <w:p>
            <w:pPr>
              <w:jc w:val="center"/>
              <w:ind w:left="710"/>
              <w:spacing w:after="0"/>
              <w:rPr>
                <w:sz w:val="20"/>
                <w:szCs w:val="20"/>
                <w:color w:val="auto"/>
              </w:rPr>
            </w:pPr>
            <w:r>
              <w:rPr>
                <w:rFonts w:ascii="Arial" w:cs="Arial" w:eastAsia="Arial" w:hAnsi="Arial"/>
                <w:sz w:val="18"/>
                <w:szCs w:val="18"/>
                <w:b w:val="1"/>
                <w:bCs w:val="1"/>
                <w:color w:val="auto"/>
                <w:w w:val="99"/>
              </w:rPr>
              <w:t>Class I</w:t>
            </w:r>
          </w:p>
        </w:tc>
        <w:tc>
          <w:tcPr>
            <w:tcW w:w="880" w:type="dxa"/>
            <w:vAlign w:val="bottom"/>
            <w:tcBorders>
              <w:top w:val="single" w:sz="8" w:color="auto"/>
              <w:right w:val="single" w:sz="8" w:color="auto"/>
            </w:tcBorders>
          </w:tcPr>
          <w:p>
            <w:pPr>
              <w:spacing w:after="0"/>
              <w:rPr>
                <w:sz w:val="24"/>
                <w:szCs w:val="24"/>
                <w:color w:val="auto"/>
              </w:rPr>
            </w:pPr>
          </w:p>
        </w:tc>
        <w:tc>
          <w:tcPr>
            <w:tcW w:w="1140" w:type="dxa"/>
            <w:vAlign w:val="bottom"/>
            <w:tcBorders>
              <w:top w:val="single" w:sz="8" w:color="auto"/>
              <w:right w:val="single" w:sz="8" w:color="C6D9F1"/>
            </w:tcBorders>
            <w:shd w:val="clear" w:color="auto" w:fill="C6D9F1"/>
          </w:tcPr>
          <w:p>
            <w:pPr>
              <w:spacing w:after="0"/>
              <w:rPr>
                <w:sz w:val="24"/>
                <w:szCs w:val="24"/>
                <w:color w:val="auto"/>
              </w:rPr>
            </w:pPr>
          </w:p>
        </w:tc>
        <w:tc>
          <w:tcPr>
            <w:tcW w:w="1300" w:type="dxa"/>
            <w:vAlign w:val="bottom"/>
            <w:tcBorders>
              <w:top w:val="single" w:sz="8" w:color="auto"/>
            </w:tcBorders>
            <w:gridSpan w:val="2"/>
            <w:shd w:val="clear" w:color="auto" w:fill="C6D9F1"/>
          </w:tcPr>
          <w:p>
            <w:pPr>
              <w:jc w:val="center"/>
              <w:ind w:right="460"/>
              <w:spacing w:after="0"/>
              <w:rPr>
                <w:sz w:val="20"/>
                <w:szCs w:val="20"/>
                <w:color w:val="auto"/>
              </w:rPr>
            </w:pPr>
            <w:r>
              <w:rPr>
                <w:rFonts w:ascii="Arial" w:cs="Arial" w:eastAsia="Arial" w:hAnsi="Arial"/>
                <w:sz w:val="18"/>
                <w:szCs w:val="18"/>
                <w:b w:val="1"/>
                <w:bCs w:val="1"/>
                <w:color w:val="auto"/>
              </w:rPr>
              <w:t>Class II</w:t>
            </w:r>
          </w:p>
        </w:tc>
        <w:tc>
          <w:tcPr>
            <w:tcW w:w="760" w:type="dxa"/>
            <w:vAlign w:val="bottom"/>
            <w:tcBorders>
              <w:top w:val="single" w:sz="8" w:color="auto"/>
              <w:right w:val="single" w:sz="8" w:color="auto"/>
            </w:tcBorders>
            <w:shd w:val="clear" w:color="auto" w:fill="C6D9F1"/>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Class III</w:t>
            </w: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760" w:type="dxa"/>
            <w:vAlign w:val="bottom"/>
            <w:tcBorders>
              <w:bottom w:val="single" w:sz="8" w:color="auto"/>
              <w:right w:val="single" w:sz="8" w:color="auto"/>
            </w:tcBorders>
            <w:shd w:val="clear" w:color="auto" w:fill="C6D9F1"/>
          </w:tcPr>
          <w:p>
            <w:pPr>
              <w:spacing w:after="0"/>
              <w:rPr>
                <w:sz w:val="19"/>
                <w:szCs w:val="19"/>
                <w:color w:val="auto"/>
              </w:rPr>
            </w:pPr>
          </w:p>
        </w:tc>
        <w:tc>
          <w:tcPr>
            <w:tcW w:w="24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(Term Expires 2019)</w:t>
            </w:r>
          </w:p>
        </w:tc>
        <w:tc>
          <w:tcPr>
            <w:tcW w:w="2440" w:type="dxa"/>
            <w:vAlign w:val="bottom"/>
            <w:tcBorders>
              <w:bottom w:val="single" w:sz="8" w:color="auto"/>
            </w:tcBorders>
            <w:gridSpan w:val="3"/>
            <w:shd w:val="clear" w:color="auto" w:fill="C6D9F1"/>
          </w:tcPr>
          <w:p>
            <w:pPr>
              <w:jc w:val="center"/>
              <w:ind w:left="570"/>
              <w:spacing w:after="0"/>
              <w:rPr>
                <w:sz w:val="20"/>
                <w:szCs w:val="20"/>
                <w:color w:val="auto"/>
              </w:rPr>
            </w:pPr>
            <w:r>
              <w:rPr>
                <w:rFonts w:ascii="Arial" w:cs="Arial" w:eastAsia="Arial" w:hAnsi="Arial"/>
                <w:sz w:val="18"/>
                <w:szCs w:val="18"/>
                <w:b w:val="1"/>
                <w:bCs w:val="1"/>
                <w:color w:val="auto"/>
                <w:w w:val="99"/>
              </w:rPr>
              <w:t>(Term Expires 2017)</w:t>
            </w:r>
          </w:p>
        </w:tc>
        <w:tc>
          <w:tcPr>
            <w:tcW w:w="760" w:type="dxa"/>
            <w:vAlign w:val="bottom"/>
            <w:tcBorders>
              <w:bottom w:val="single" w:sz="8" w:color="auto"/>
              <w:right w:val="single" w:sz="8" w:color="auto"/>
            </w:tcBorders>
            <w:shd w:val="clear" w:color="auto" w:fill="C6D9F1"/>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center"/>
              <w:ind w:right="590"/>
              <w:spacing w:after="0"/>
              <w:rPr>
                <w:sz w:val="20"/>
                <w:szCs w:val="20"/>
                <w:color w:val="auto"/>
              </w:rPr>
            </w:pPr>
            <w:r>
              <w:rPr>
                <w:rFonts w:ascii="Arial" w:cs="Arial" w:eastAsia="Arial" w:hAnsi="Arial"/>
                <w:sz w:val="18"/>
                <w:szCs w:val="18"/>
                <w:b w:val="1"/>
                <w:bCs w:val="1"/>
                <w:color w:val="auto"/>
                <w:w w:val="99"/>
              </w:rPr>
              <w:t>(Term Expires 2018)</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auto"/>
              <w:right w:val="single" w:sz="8" w:color="auto"/>
            </w:tcBorders>
            <w:shd w:val="clear" w:color="auto" w:fill="C6D9F1"/>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Kapoor</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center"/>
              <w:ind w:right="230"/>
              <w:spacing w:after="0" w:line="196" w:lineRule="exact"/>
              <w:rPr>
                <w:sz w:val="20"/>
                <w:szCs w:val="20"/>
                <w:color w:val="auto"/>
              </w:rPr>
            </w:pPr>
            <w:r>
              <w:rPr>
                <w:rFonts w:ascii="Arial" w:cs="Arial" w:eastAsia="Arial" w:hAnsi="Arial"/>
                <w:sz w:val="18"/>
                <w:szCs w:val="18"/>
                <w:color w:val="auto"/>
                <w:w w:val="99"/>
              </w:rPr>
              <w:t>Minto</w:t>
            </w:r>
          </w:p>
        </w:tc>
        <w:tc>
          <w:tcPr>
            <w:tcW w:w="1140" w:type="dxa"/>
            <w:vAlign w:val="bottom"/>
            <w:tcBorders>
              <w:bottom w:val="single" w:sz="8" w:color="auto"/>
              <w:right w:val="single" w:sz="8" w:color="auto"/>
            </w:tcBorders>
            <w:shd w:val="clear" w:color="auto" w:fill="C6D9F1"/>
          </w:tcPr>
          <w:p>
            <w:pPr>
              <w:jc w:val="center"/>
              <w:spacing w:after="0" w:line="196" w:lineRule="exact"/>
              <w:rPr>
                <w:sz w:val="20"/>
                <w:szCs w:val="20"/>
                <w:color w:val="auto"/>
              </w:rPr>
            </w:pPr>
            <w:r>
              <w:rPr>
                <w:rFonts w:ascii="Arial" w:cs="Arial" w:eastAsia="Arial" w:hAnsi="Arial"/>
                <w:sz w:val="18"/>
                <w:szCs w:val="18"/>
                <w:color w:val="auto"/>
              </w:rPr>
              <w:t>Kelso</w:t>
            </w:r>
          </w:p>
        </w:tc>
        <w:tc>
          <w:tcPr>
            <w:tcW w:w="1140" w:type="dxa"/>
            <w:vAlign w:val="bottom"/>
            <w:tcBorders>
              <w:bottom w:val="single" w:sz="8" w:color="auto"/>
              <w:right w:val="single" w:sz="8" w:color="auto"/>
            </w:tcBorders>
            <w:shd w:val="clear" w:color="auto" w:fill="C6D9F1"/>
          </w:tcPr>
          <w:p>
            <w:pPr>
              <w:jc w:val="center"/>
              <w:spacing w:after="0" w:line="196" w:lineRule="exact"/>
              <w:rPr>
                <w:sz w:val="20"/>
                <w:szCs w:val="20"/>
                <w:color w:val="auto"/>
              </w:rPr>
            </w:pPr>
            <w:r>
              <w:rPr>
                <w:rFonts w:ascii="Arial" w:cs="Arial" w:eastAsia="Arial" w:hAnsi="Arial"/>
                <w:sz w:val="18"/>
                <w:szCs w:val="18"/>
                <w:color w:val="auto"/>
              </w:rPr>
              <w:t>Mittal</w:t>
            </w:r>
          </w:p>
        </w:tc>
        <w:tc>
          <w:tcPr>
            <w:tcW w:w="160" w:type="dxa"/>
            <w:vAlign w:val="bottom"/>
            <w:tcBorders>
              <w:bottom w:val="single" w:sz="8" w:color="auto"/>
            </w:tcBorders>
            <w:shd w:val="clear" w:color="auto" w:fill="C6D9F1"/>
          </w:tcPr>
          <w:p>
            <w:pPr>
              <w:spacing w:after="0"/>
              <w:rPr>
                <w:sz w:val="17"/>
                <w:szCs w:val="17"/>
                <w:color w:val="auto"/>
              </w:rPr>
            </w:pPr>
          </w:p>
        </w:tc>
        <w:tc>
          <w:tcPr>
            <w:tcW w:w="760" w:type="dxa"/>
            <w:vAlign w:val="bottom"/>
            <w:tcBorders>
              <w:bottom w:val="single" w:sz="8" w:color="auto"/>
              <w:right w:val="single" w:sz="8" w:color="auto"/>
            </w:tcBorders>
            <w:shd w:val="clear" w:color="auto" w:fill="C6D9F1"/>
          </w:tcPr>
          <w:p>
            <w:pPr>
              <w:jc w:val="center"/>
              <w:ind w:right="110"/>
              <w:spacing w:after="0" w:line="196" w:lineRule="exact"/>
              <w:rPr>
                <w:sz w:val="20"/>
                <w:szCs w:val="20"/>
                <w:color w:val="auto"/>
              </w:rPr>
            </w:pPr>
            <w:r>
              <w:rPr>
                <w:rFonts w:ascii="Arial" w:cs="Arial" w:eastAsia="Arial" w:hAnsi="Arial"/>
                <w:sz w:val="18"/>
                <w:szCs w:val="18"/>
                <w:color w:val="auto"/>
                <w:w w:val="99"/>
              </w:rPr>
              <w:t>Ostler</w:t>
            </w:r>
          </w:p>
        </w:tc>
        <w:tc>
          <w:tcPr>
            <w:tcW w:w="620" w:type="dxa"/>
            <w:vAlign w:val="bottom"/>
            <w:tcBorders>
              <w:bottom w:val="single" w:sz="8" w:color="auto"/>
            </w:tcBorders>
          </w:tcPr>
          <w:p>
            <w:pPr>
              <w:jc w:val="center"/>
              <w:ind w:left="150"/>
              <w:spacing w:after="0" w:line="196" w:lineRule="exact"/>
              <w:rPr>
                <w:sz w:val="20"/>
                <w:szCs w:val="20"/>
                <w:color w:val="auto"/>
              </w:rPr>
            </w:pPr>
            <w:r>
              <w:rPr>
                <w:rFonts w:ascii="Arial" w:cs="Arial" w:eastAsia="Arial" w:hAnsi="Arial"/>
                <w:sz w:val="18"/>
                <w:szCs w:val="18"/>
                <w:color w:val="auto"/>
                <w:w w:val="99"/>
              </w:rPr>
              <w:t>Kerr</w:t>
            </w:r>
          </w:p>
        </w:tc>
        <w:tc>
          <w:tcPr>
            <w:tcW w:w="28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Sahney</w:t>
            </w:r>
          </w:p>
        </w:tc>
        <w:tc>
          <w:tcPr>
            <w:tcW w:w="10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Staglin</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High Level of Financial Literacy</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shd w:val="clear" w:color="auto" w:fill="C6D9F1"/>
          </w:tcPr>
          <w:p>
            <w:pPr>
              <w:ind w:left="400"/>
              <w:spacing w:after="0"/>
              <w:rPr>
                <w:sz w:val="20"/>
                <w:szCs w:val="20"/>
                <w:color w:val="auto"/>
              </w:rPr>
            </w:pPr>
            <w:r>
              <w:rPr>
                <w:rFonts w:ascii="Arial" w:cs="Arial" w:eastAsia="Arial" w:hAnsi="Arial"/>
                <w:sz w:val="18"/>
                <w:szCs w:val="18"/>
                <w:color w:val="auto"/>
              </w:rPr>
              <w:t>ü</w:t>
            </w:r>
          </w:p>
        </w:tc>
        <w:tc>
          <w:tcPr>
            <w:tcW w:w="1140" w:type="dxa"/>
            <w:vAlign w:val="bottom"/>
            <w:tcBorders>
              <w:bottom w:val="single" w:sz="8" w:color="auto"/>
              <w:right w:val="single" w:sz="8" w:color="auto"/>
            </w:tcBorders>
            <w:shd w:val="clear" w:color="auto" w:fill="C6D9F1"/>
          </w:tcPr>
          <w:p>
            <w:pPr>
              <w:spacing w:after="0"/>
              <w:rPr>
                <w:sz w:val="21"/>
                <w:szCs w:val="21"/>
                <w:color w:val="auto"/>
              </w:rPr>
            </w:pPr>
          </w:p>
        </w:tc>
        <w:tc>
          <w:tcPr>
            <w:tcW w:w="160" w:type="dxa"/>
            <w:vAlign w:val="bottom"/>
            <w:tcBorders>
              <w:bottom w:val="single" w:sz="8" w:color="auto"/>
            </w:tcBorders>
            <w:shd w:val="clear" w:color="auto" w:fill="C6D9F1"/>
          </w:tcPr>
          <w:p>
            <w:pPr>
              <w:spacing w:after="0"/>
              <w:rPr>
                <w:sz w:val="21"/>
                <w:szCs w:val="21"/>
                <w:color w:val="auto"/>
              </w:rPr>
            </w:pPr>
          </w:p>
        </w:tc>
        <w:tc>
          <w:tcPr>
            <w:tcW w:w="760" w:type="dxa"/>
            <w:vAlign w:val="bottom"/>
            <w:tcBorders>
              <w:bottom w:val="single" w:sz="8" w:color="auto"/>
              <w:right w:val="single" w:sz="8" w:color="auto"/>
            </w:tcBorders>
            <w:shd w:val="clear" w:color="auto" w:fill="C6D9F1"/>
          </w:tcPr>
          <w:p>
            <w:pPr>
              <w:ind w:left="140"/>
              <w:spacing w:after="0"/>
              <w:rPr>
                <w:sz w:val="20"/>
                <w:szCs w:val="20"/>
                <w:color w:val="auto"/>
              </w:rPr>
            </w:pPr>
            <w:r>
              <w:rPr>
                <w:rFonts w:ascii="Arial" w:cs="Arial" w:eastAsia="Arial" w:hAnsi="Arial"/>
                <w:sz w:val="18"/>
                <w:szCs w:val="18"/>
                <w:color w:val="auto"/>
              </w:rPr>
              <w:t>ü</w:t>
            </w:r>
          </w:p>
        </w:tc>
        <w:tc>
          <w:tcPr>
            <w:tcW w:w="6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9"/>
              </w:rPr>
              <w:t>ü</w:t>
            </w:r>
          </w:p>
        </w:tc>
        <w:tc>
          <w:tcPr>
            <w:tcW w:w="2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195"/>
        </w:trPr>
        <w:tc>
          <w:tcPr>
            <w:tcW w:w="2760" w:type="dxa"/>
            <w:vAlign w:val="bottom"/>
            <w:tcBorders>
              <w:right w:val="single" w:sz="8" w:color="auto"/>
            </w:tcBorders>
            <w:shd w:val="clear" w:color="auto" w:fill="C6D9F1"/>
          </w:tcPr>
          <w:p>
            <w:pPr>
              <w:ind w:left="120"/>
              <w:spacing w:after="0" w:line="195" w:lineRule="exact"/>
              <w:rPr>
                <w:sz w:val="20"/>
                <w:szCs w:val="20"/>
                <w:color w:val="auto"/>
              </w:rPr>
            </w:pPr>
            <w:r>
              <w:rPr>
                <w:rFonts w:ascii="Arial" w:cs="Arial" w:eastAsia="Arial" w:hAnsi="Arial"/>
                <w:sz w:val="18"/>
                <w:szCs w:val="18"/>
                <w:color w:val="auto"/>
              </w:rPr>
              <w:t>Executive Leadership &amp; Board</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ü</w:t>
            </w:r>
          </w:p>
        </w:tc>
        <w:tc>
          <w:tcPr>
            <w:tcW w:w="280" w:type="dxa"/>
            <w:vAlign w:val="bottom"/>
          </w:tcPr>
          <w:p>
            <w:pPr>
              <w:spacing w:after="0"/>
              <w:rPr>
                <w:sz w:val="16"/>
                <w:szCs w:val="16"/>
                <w:color w:val="auto"/>
              </w:rPr>
            </w:pPr>
          </w:p>
        </w:tc>
        <w:tc>
          <w:tcPr>
            <w:tcW w:w="88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9"/>
              </w:rPr>
              <w:t>ü</w:t>
            </w:r>
          </w:p>
        </w:tc>
        <w:tc>
          <w:tcPr>
            <w:tcW w:w="1140" w:type="dxa"/>
            <w:vAlign w:val="bottom"/>
            <w:tcBorders>
              <w:right w:val="single" w:sz="8" w:color="auto"/>
            </w:tcBorders>
            <w:vMerge w:val="restart"/>
            <w:shd w:val="clear" w:color="auto" w:fill="C6D9F1"/>
          </w:tcPr>
          <w:p>
            <w:pPr>
              <w:jc w:val="center"/>
              <w:spacing w:after="0"/>
              <w:rPr>
                <w:sz w:val="20"/>
                <w:szCs w:val="20"/>
                <w:color w:val="auto"/>
              </w:rPr>
            </w:pPr>
            <w:r>
              <w:rPr>
                <w:rFonts w:ascii="Arial" w:cs="Arial" w:eastAsia="Arial" w:hAnsi="Arial"/>
                <w:sz w:val="18"/>
                <w:szCs w:val="18"/>
                <w:color w:val="auto"/>
                <w:w w:val="99"/>
              </w:rPr>
              <w:t>ü</w:t>
            </w:r>
          </w:p>
        </w:tc>
        <w:tc>
          <w:tcPr>
            <w:tcW w:w="1140" w:type="dxa"/>
            <w:vAlign w:val="bottom"/>
            <w:tcBorders>
              <w:right w:val="single" w:sz="8" w:color="auto"/>
            </w:tcBorders>
            <w:vMerge w:val="restart"/>
            <w:shd w:val="clear" w:color="auto" w:fill="C6D9F1"/>
          </w:tcPr>
          <w:p>
            <w:pPr>
              <w:jc w:val="center"/>
              <w:spacing w:after="0"/>
              <w:rPr>
                <w:sz w:val="20"/>
                <w:szCs w:val="20"/>
                <w:color w:val="auto"/>
              </w:rPr>
            </w:pPr>
            <w:r>
              <w:rPr>
                <w:rFonts w:ascii="Arial" w:cs="Arial" w:eastAsia="Arial" w:hAnsi="Arial"/>
                <w:sz w:val="18"/>
                <w:szCs w:val="18"/>
                <w:color w:val="auto"/>
                <w:w w:val="79"/>
              </w:rPr>
              <w:t>ü</w:t>
            </w:r>
          </w:p>
        </w:tc>
        <w:tc>
          <w:tcPr>
            <w:tcW w:w="160" w:type="dxa"/>
            <w:vAlign w:val="bottom"/>
            <w:shd w:val="clear" w:color="auto" w:fill="C6D9F1"/>
          </w:tcPr>
          <w:p>
            <w:pPr>
              <w:spacing w:after="0"/>
              <w:rPr>
                <w:sz w:val="16"/>
                <w:szCs w:val="16"/>
                <w:color w:val="auto"/>
              </w:rPr>
            </w:pPr>
          </w:p>
        </w:tc>
        <w:tc>
          <w:tcPr>
            <w:tcW w:w="760" w:type="dxa"/>
            <w:vAlign w:val="bottom"/>
            <w:tcBorders>
              <w:right w:val="single" w:sz="8" w:color="auto"/>
            </w:tcBorders>
            <w:vMerge w:val="restart"/>
            <w:shd w:val="clear" w:color="auto" w:fill="C6D9F1"/>
          </w:tcPr>
          <w:p>
            <w:pPr>
              <w:jc w:val="center"/>
              <w:ind w:right="90"/>
              <w:spacing w:after="0"/>
              <w:rPr>
                <w:sz w:val="20"/>
                <w:szCs w:val="20"/>
                <w:color w:val="auto"/>
              </w:rPr>
            </w:pPr>
            <w:r>
              <w:rPr>
                <w:rFonts w:ascii="Arial" w:cs="Arial" w:eastAsia="Arial" w:hAnsi="Arial"/>
                <w:sz w:val="18"/>
                <w:szCs w:val="18"/>
                <w:color w:val="auto"/>
                <w:w w:val="99"/>
              </w:rPr>
              <w:t>ü</w:t>
            </w:r>
          </w:p>
        </w:tc>
        <w:tc>
          <w:tcPr>
            <w:tcW w:w="620" w:type="dxa"/>
            <w:vAlign w:val="bottom"/>
            <w:vMerge w:val="restart"/>
          </w:tcPr>
          <w:p>
            <w:pPr>
              <w:jc w:val="center"/>
              <w:ind w:left="150"/>
              <w:spacing w:after="0"/>
              <w:rPr>
                <w:sz w:val="20"/>
                <w:szCs w:val="20"/>
                <w:color w:val="auto"/>
              </w:rPr>
            </w:pPr>
            <w:r>
              <w:rPr>
                <w:rFonts w:ascii="Arial" w:cs="Arial" w:eastAsia="Arial" w:hAnsi="Arial"/>
                <w:sz w:val="18"/>
                <w:szCs w:val="18"/>
                <w:color w:val="auto"/>
                <w:w w:val="99"/>
              </w:rPr>
              <w:t>ü</w:t>
            </w:r>
          </w:p>
        </w:tc>
        <w:tc>
          <w:tcPr>
            <w:tcW w:w="28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ü</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109"/>
        </w:trPr>
        <w:tc>
          <w:tcPr>
            <w:tcW w:w="2760" w:type="dxa"/>
            <w:vAlign w:val="bottom"/>
            <w:tcBorders>
              <w:right w:val="single" w:sz="8" w:color="auto"/>
            </w:tcBorders>
            <w:vMerge w:val="restart"/>
            <w:shd w:val="clear" w:color="auto" w:fill="C6D9F1"/>
          </w:tcPr>
          <w:p>
            <w:pPr>
              <w:ind w:left="120"/>
              <w:spacing w:after="0" w:line="203" w:lineRule="exact"/>
              <w:rPr>
                <w:sz w:val="20"/>
                <w:szCs w:val="20"/>
                <w:color w:val="auto"/>
              </w:rPr>
            </w:pPr>
            <w:r>
              <w:rPr>
                <w:rFonts w:ascii="Arial" w:cs="Arial" w:eastAsia="Arial" w:hAnsi="Arial"/>
                <w:sz w:val="18"/>
                <w:szCs w:val="18"/>
                <w:color w:val="auto"/>
              </w:rPr>
              <w:t>Experience</w:t>
            </w:r>
          </w:p>
        </w:tc>
        <w:tc>
          <w:tcPr>
            <w:tcW w:w="1260" w:type="dxa"/>
            <w:vAlign w:val="bottom"/>
            <w:tcBorders>
              <w:right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shd w:val="clear" w:color="auto" w:fill="C6D9F1"/>
          </w:tcPr>
          <w:p>
            <w:pPr>
              <w:spacing w:after="0"/>
              <w:rPr>
                <w:sz w:val="9"/>
                <w:szCs w:val="9"/>
                <w:color w:val="auto"/>
              </w:rPr>
            </w:pPr>
          </w:p>
        </w:tc>
        <w:tc>
          <w:tcPr>
            <w:tcW w:w="1140" w:type="dxa"/>
            <w:vAlign w:val="bottom"/>
            <w:tcBorders>
              <w:right w:val="single" w:sz="8" w:color="auto"/>
            </w:tcBorders>
            <w:vMerge w:val="continue"/>
            <w:shd w:val="clear" w:color="auto" w:fill="C6D9F1"/>
          </w:tcPr>
          <w:p>
            <w:pPr>
              <w:spacing w:after="0"/>
              <w:rPr>
                <w:sz w:val="9"/>
                <w:szCs w:val="9"/>
                <w:color w:val="auto"/>
              </w:rPr>
            </w:pPr>
          </w:p>
        </w:tc>
        <w:tc>
          <w:tcPr>
            <w:tcW w:w="160" w:type="dxa"/>
            <w:vAlign w:val="bottom"/>
            <w:shd w:val="clear" w:color="auto" w:fill="C6D9F1"/>
          </w:tcPr>
          <w:p>
            <w:pPr>
              <w:spacing w:after="0"/>
              <w:rPr>
                <w:sz w:val="9"/>
                <w:szCs w:val="9"/>
                <w:color w:val="auto"/>
              </w:rPr>
            </w:pPr>
          </w:p>
        </w:tc>
        <w:tc>
          <w:tcPr>
            <w:tcW w:w="760" w:type="dxa"/>
            <w:vAlign w:val="bottom"/>
            <w:tcBorders>
              <w:right w:val="single" w:sz="8" w:color="auto"/>
            </w:tcBorders>
            <w:vMerge w:val="continue"/>
            <w:shd w:val="clear" w:color="auto" w:fill="C6D9F1"/>
          </w:tcPr>
          <w:p>
            <w:pPr>
              <w:spacing w:after="0"/>
              <w:rPr>
                <w:sz w:val="9"/>
                <w:szCs w:val="9"/>
                <w:color w:val="auto"/>
              </w:rPr>
            </w:pPr>
          </w:p>
        </w:tc>
        <w:tc>
          <w:tcPr>
            <w:tcW w:w="620" w:type="dxa"/>
            <w:vAlign w:val="bottom"/>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760" w:type="dxa"/>
            <w:vAlign w:val="bottom"/>
            <w:tcBorders>
              <w:bottom w:val="single" w:sz="8" w:color="auto"/>
              <w:right w:val="single" w:sz="8" w:color="auto"/>
            </w:tcBorders>
            <w:vMerge w:val="continue"/>
            <w:shd w:val="clear" w:color="auto" w:fill="C6D9F1"/>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shd w:val="clear" w:color="auto" w:fill="C6D9F1"/>
          </w:tcPr>
          <w:p>
            <w:pPr>
              <w:spacing w:after="0"/>
              <w:rPr>
                <w:sz w:val="8"/>
                <w:szCs w:val="8"/>
                <w:color w:val="auto"/>
              </w:rPr>
            </w:pPr>
          </w:p>
        </w:tc>
        <w:tc>
          <w:tcPr>
            <w:tcW w:w="1140" w:type="dxa"/>
            <w:vAlign w:val="bottom"/>
            <w:tcBorders>
              <w:bottom w:val="single" w:sz="8" w:color="auto"/>
              <w:right w:val="single" w:sz="8" w:color="auto"/>
            </w:tcBorders>
            <w:shd w:val="clear" w:color="auto" w:fill="C6D9F1"/>
          </w:tcPr>
          <w:p>
            <w:pPr>
              <w:spacing w:after="0"/>
              <w:rPr>
                <w:sz w:val="8"/>
                <w:szCs w:val="8"/>
                <w:color w:val="auto"/>
              </w:rPr>
            </w:pPr>
          </w:p>
        </w:tc>
        <w:tc>
          <w:tcPr>
            <w:tcW w:w="160" w:type="dxa"/>
            <w:vAlign w:val="bottom"/>
            <w:tcBorders>
              <w:bottom w:val="single" w:sz="8" w:color="auto"/>
            </w:tcBorders>
            <w:shd w:val="clear" w:color="auto" w:fill="C6D9F1"/>
          </w:tcPr>
          <w:p>
            <w:pPr>
              <w:spacing w:after="0"/>
              <w:rPr>
                <w:sz w:val="8"/>
                <w:szCs w:val="8"/>
                <w:color w:val="auto"/>
              </w:rPr>
            </w:pPr>
          </w:p>
        </w:tc>
        <w:tc>
          <w:tcPr>
            <w:tcW w:w="760" w:type="dxa"/>
            <w:vAlign w:val="bottom"/>
            <w:tcBorders>
              <w:bottom w:val="single" w:sz="8" w:color="auto"/>
              <w:right w:val="single" w:sz="8" w:color="auto"/>
            </w:tcBorders>
            <w:shd w:val="clear" w:color="auto" w:fill="C6D9F1"/>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760" w:type="dxa"/>
            <w:vAlign w:val="bottom"/>
            <w:tcBorders>
              <w:right w:val="single" w:sz="8" w:color="auto"/>
            </w:tcBorders>
            <w:shd w:val="clear" w:color="auto" w:fill="C6D9F1"/>
          </w:tcPr>
          <w:p>
            <w:pPr>
              <w:ind w:left="120"/>
              <w:spacing w:after="0" w:line="195" w:lineRule="exact"/>
              <w:rPr>
                <w:sz w:val="20"/>
                <w:szCs w:val="20"/>
                <w:color w:val="auto"/>
              </w:rPr>
            </w:pPr>
            <w:r>
              <w:rPr>
                <w:rFonts w:ascii="Arial" w:cs="Arial" w:eastAsia="Arial" w:hAnsi="Arial"/>
                <w:sz w:val="18"/>
                <w:szCs w:val="18"/>
                <w:color w:val="auto"/>
              </w:rPr>
              <w:t>International / Global</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ü</w:t>
            </w:r>
          </w:p>
        </w:tc>
        <w:tc>
          <w:tcPr>
            <w:tcW w:w="280" w:type="dxa"/>
            <w:vAlign w:val="bottom"/>
          </w:tcPr>
          <w:p>
            <w:pPr>
              <w:spacing w:after="0"/>
              <w:rPr>
                <w:sz w:val="16"/>
                <w:szCs w:val="16"/>
                <w:color w:val="auto"/>
              </w:rPr>
            </w:pPr>
          </w:p>
        </w:tc>
        <w:tc>
          <w:tcPr>
            <w:tcW w:w="88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9"/>
              </w:rPr>
              <w:t>ü</w:t>
            </w:r>
          </w:p>
        </w:tc>
        <w:tc>
          <w:tcPr>
            <w:tcW w:w="1140" w:type="dxa"/>
            <w:vAlign w:val="bottom"/>
            <w:tcBorders>
              <w:right w:val="single" w:sz="8" w:color="auto"/>
            </w:tcBorders>
            <w:vMerge w:val="restart"/>
            <w:shd w:val="clear" w:color="auto" w:fill="C6D9F1"/>
          </w:tcPr>
          <w:p>
            <w:pPr>
              <w:jc w:val="center"/>
              <w:spacing w:after="0"/>
              <w:rPr>
                <w:sz w:val="20"/>
                <w:szCs w:val="20"/>
                <w:color w:val="auto"/>
              </w:rPr>
            </w:pPr>
            <w:r>
              <w:rPr>
                <w:rFonts w:ascii="Arial" w:cs="Arial" w:eastAsia="Arial" w:hAnsi="Arial"/>
                <w:sz w:val="18"/>
                <w:szCs w:val="18"/>
                <w:color w:val="auto"/>
                <w:w w:val="99"/>
              </w:rPr>
              <w:t>ü</w:t>
            </w:r>
          </w:p>
        </w:tc>
        <w:tc>
          <w:tcPr>
            <w:tcW w:w="1140" w:type="dxa"/>
            <w:vAlign w:val="bottom"/>
            <w:tcBorders>
              <w:right w:val="single" w:sz="8" w:color="auto"/>
            </w:tcBorders>
            <w:vMerge w:val="restart"/>
            <w:shd w:val="clear" w:color="auto" w:fill="C6D9F1"/>
          </w:tcPr>
          <w:p>
            <w:pPr>
              <w:jc w:val="center"/>
              <w:spacing w:after="0"/>
              <w:rPr>
                <w:sz w:val="20"/>
                <w:szCs w:val="20"/>
                <w:color w:val="auto"/>
              </w:rPr>
            </w:pPr>
            <w:r>
              <w:rPr>
                <w:rFonts w:ascii="Arial" w:cs="Arial" w:eastAsia="Arial" w:hAnsi="Arial"/>
                <w:sz w:val="18"/>
                <w:szCs w:val="18"/>
                <w:color w:val="auto"/>
                <w:w w:val="79"/>
              </w:rPr>
              <w:t>ü</w:t>
            </w:r>
          </w:p>
        </w:tc>
        <w:tc>
          <w:tcPr>
            <w:tcW w:w="160" w:type="dxa"/>
            <w:vAlign w:val="bottom"/>
            <w:shd w:val="clear" w:color="auto" w:fill="C6D9F1"/>
          </w:tcPr>
          <w:p>
            <w:pPr>
              <w:spacing w:after="0"/>
              <w:rPr>
                <w:sz w:val="16"/>
                <w:szCs w:val="16"/>
                <w:color w:val="auto"/>
              </w:rPr>
            </w:pPr>
          </w:p>
        </w:tc>
        <w:tc>
          <w:tcPr>
            <w:tcW w:w="760" w:type="dxa"/>
            <w:vAlign w:val="bottom"/>
            <w:tcBorders>
              <w:right w:val="single" w:sz="8" w:color="auto"/>
            </w:tcBorders>
            <w:vMerge w:val="restart"/>
            <w:shd w:val="clear" w:color="auto" w:fill="C6D9F1"/>
          </w:tcPr>
          <w:p>
            <w:pPr>
              <w:jc w:val="center"/>
              <w:ind w:right="90"/>
              <w:spacing w:after="0"/>
              <w:rPr>
                <w:sz w:val="20"/>
                <w:szCs w:val="20"/>
                <w:color w:val="auto"/>
              </w:rPr>
            </w:pPr>
            <w:r>
              <w:rPr>
                <w:rFonts w:ascii="Arial" w:cs="Arial" w:eastAsia="Arial" w:hAnsi="Arial"/>
                <w:sz w:val="18"/>
                <w:szCs w:val="18"/>
                <w:color w:val="auto"/>
                <w:w w:val="99"/>
              </w:rPr>
              <w:t>ü</w:t>
            </w:r>
          </w:p>
        </w:tc>
        <w:tc>
          <w:tcPr>
            <w:tcW w:w="620" w:type="dxa"/>
            <w:vAlign w:val="bottom"/>
            <w:vMerge w:val="restart"/>
          </w:tcPr>
          <w:p>
            <w:pPr>
              <w:jc w:val="center"/>
              <w:ind w:left="150"/>
              <w:spacing w:after="0"/>
              <w:rPr>
                <w:sz w:val="20"/>
                <w:szCs w:val="20"/>
                <w:color w:val="auto"/>
              </w:rPr>
            </w:pPr>
            <w:r>
              <w:rPr>
                <w:rFonts w:ascii="Arial" w:cs="Arial" w:eastAsia="Arial" w:hAnsi="Arial"/>
                <w:sz w:val="18"/>
                <w:szCs w:val="18"/>
                <w:color w:val="auto"/>
                <w:w w:val="99"/>
              </w:rPr>
              <w:t>ü</w:t>
            </w:r>
          </w:p>
        </w:tc>
        <w:tc>
          <w:tcPr>
            <w:tcW w:w="28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109"/>
        </w:trPr>
        <w:tc>
          <w:tcPr>
            <w:tcW w:w="2760" w:type="dxa"/>
            <w:vAlign w:val="bottom"/>
            <w:tcBorders>
              <w:right w:val="single" w:sz="8" w:color="auto"/>
            </w:tcBorders>
            <w:vMerge w:val="restart"/>
            <w:shd w:val="clear" w:color="auto" w:fill="C6D9F1"/>
          </w:tcPr>
          <w:p>
            <w:pPr>
              <w:ind w:left="120"/>
              <w:spacing w:after="0" w:line="203" w:lineRule="exact"/>
              <w:rPr>
                <w:sz w:val="20"/>
                <w:szCs w:val="20"/>
                <w:color w:val="auto"/>
              </w:rPr>
            </w:pPr>
            <w:r>
              <w:rPr>
                <w:rFonts w:ascii="Arial" w:cs="Arial" w:eastAsia="Arial" w:hAnsi="Arial"/>
                <w:sz w:val="18"/>
                <w:szCs w:val="18"/>
                <w:color w:val="auto"/>
              </w:rPr>
              <w:t>Experience</w:t>
            </w:r>
          </w:p>
        </w:tc>
        <w:tc>
          <w:tcPr>
            <w:tcW w:w="1260" w:type="dxa"/>
            <w:vAlign w:val="bottom"/>
            <w:tcBorders>
              <w:right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shd w:val="clear" w:color="auto" w:fill="C6D9F1"/>
          </w:tcPr>
          <w:p>
            <w:pPr>
              <w:spacing w:after="0"/>
              <w:rPr>
                <w:sz w:val="9"/>
                <w:szCs w:val="9"/>
                <w:color w:val="auto"/>
              </w:rPr>
            </w:pPr>
          </w:p>
        </w:tc>
        <w:tc>
          <w:tcPr>
            <w:tcW w:w="1140" w:type="dxa"/>
            <w:vAlign w:val="bottom"/>
            <w:tcBorders>
              <w:right w:val="single" w:sz="8" w:color="auto"/>
            </w:tcBorders>
            <w:vMerge w:val="continue"/>
            <w:shd w:val="clear" w:color="auto" w:fill="C6D9F1"/>
          </w:tcPr>
          <w:p>
            <w:pPr>
              <w:spacing w:after="0"/>
              <w:rPr>
                <w:sz w:val="9"/>
                <w:szCs w:val="9"/>
                <w:color w:val="auto"/>
              </w:rPr>
            </w:pPr>
          </w:p>
        </w:tc>
        <w:tc>
          <w:tcPr>
            <w:tcW w:w="160" w:type="dxa"/>
            <w:vAlign w:val="bottom"/>
            <w:shd w:val="clear" w:color="auto" w:fill="C6D9F1"/>
          </w:tcPr>
          <w:p>
            <w:pPr>
              <w:spacing w:after="0"/>
              <w:rPr>
                <w:sz w:val="9"/>
                <w:szCs w:val="9"/>
                <w:color w:val="auto"/>
              </w:rPr>
            </w:pPr>
          </w:p>
        </w:tc>
        <w:tc>
          <w:tcPr>
            <w:tcW w:w="760" w:type="dxa"/>
            <w:vAlign w:val="bottom"/>
            <w:tcBorders>
              <w:right w:val="single" w:sz="8" w:color="auto"/>
            </w:tcBorders>
            <w:vMerge w:val="continue"/>
            <w:shd w:val="clear" w:color="auto" w:fill="C6D9F1"/>
          </w:tcPr>
          <w:p>
            <w:pPr>
              <w:spacing w:after="0"/>
              <w:rPr>
                <w:sz w:val="9"/>
                <w:szCs w:val="9"/>
                <w:color w:val="auto"/>
              </w:rPr>
            </w:pPr>
          </w:p>
        </w:tc>
        <w:tc>
          <w:tcPr>
            <w:tcW w:w="620" w:type="dxa"/>
            <w:vAlign w:val="bottom"/>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760" w:type="dxa"/>
            <w:vAlign w:val="bottom"/>
            <w:tcBorders>
              <w:bottom w:val="single" w:sz="8" w:color="auto"/>
              <w:right w:val="single" w:sz="8" w:color="auto"/>
            </w:tcBorders>
            <w:vMerge w:val="continue"/>
            <w:shd w:val="clear" w:color="auto" w:fill="C6D9F1"/>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shd w:val="clear" w:color="auto" w:fill="C6D9F1"/>
          </w:tcPr>
          <w:p>
            <w:pPr>
              <w:spacing w:after="0"/>
              <w:rPr>
                <w:sz w:val="8"/>
                <w:szCs w:val="8"/>
                <w:color w:val="auto"/>
              </w:rPr>
            </w:pPr>
          </w:p>
        </w:tc>
        <w:tc>
          <w:tcPr>
            <w:tcW w:w="1140" w:type="dxa"/>
            <w:vAlign w:val="bottom"/>
            <w:tcBorders>
              <w:bottom w:val="single" w:sz="8" w:color="auto"/>
              <w:right w:val="single" w:sz="8" w:color="auto"/>
            </w:tcBorders>
            <w:shd w:val="clear" w:color="auto" w:fill="C6D9F1"/>
          </w:tcPr>
          <w:p>
            <w:pPr>
              <w:spacing w:after="0"/>
              <w:rPr>
                <w:sz w:val="8"/>
                <w:szCs w:val="8"/>
                <w:color w:val="auto"/>
              </w:rPr>
            </w:pPr>
          </w:p>
        </w:tc>
        <w:tc>
          <w:tcPr>
            <w:tcW w:w="160" w:type="dxa"/>
            <w:vAlign w:val="bottom"/>
            <w:tcBorders>
              <w:bottom w:val="single" w:sz="8" w:color="auto"/>
            </w:tcBorders>
            <w:shd w:val="clear" w:color="auto" w:fill="C6D9F1"/>
          </w:tcPr>
          <w:p>
            <w:pPr>
              <w:spacing w:after="0"/>
              <w:rPr>
                <w:sz w:val="8"/>
                <w:szCs w:val="8"/>
                <w:color w:val="auto"/>
              </w:rPr>
            </w:pPr>
          </w:p>
        </w:tc>
        <w:tc>
          <w:tcPr>
            <w:tcW w:w="760" w:type="dxa"/>
            <w:vAlign w:val="bottom"/>
            <w:tcBorders>
              <w:bottom w:val="single" w:sz="8" w:color="auto"/>
              <w:right w:val="single" w:sz="8" w:color="auto"/>
            </w:tcBorders>
            <w:shd w:val="clear" w:color="auto" w:fill="C6D9F1"/>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760" w:type="dxa"/>
            <w:vAlign w:val="bottom"/>
            <w:tcBorders>
              <w:right w:val="single" w:sz="8" w:color="auto"/>
            </w:tcBorders>
            <w:shd w:val="clear" w:color="auto" w:fill="C6D9F1"/>
          </w:tcPr>
          <w:p>
            <w:pPr>
              <w:ind w:left="120"/>
              <w:spacing w:after="0" w:line="195" w:lineRule="exact"/>
              <w:rPr>
                <w:sz w:val="20"/>
                <w:szCs w:val="20"/>
                <w:color w:val="auto"/>
              </w:rPr>
            </w:pPr>
            <w:r>
              <w:rPr>
                <w:rFonts w:ascii="Arial" w:cs="Arial" w:eastAsia="Arial" w:hAnsi="Arial"/>
                <w:sz w:val="18"/>
                <w:szCs w:val="18"/>
                <w:color w:val="auto"/>
              </w:rPr>
              <w:t>Operations Management,</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ü</w:t>
            </w:r>
          </w:p>
        </w:tc>
        <w:tc>
          <w:tcPr>
            <w:tcW w:w="280" w:type="dxa"/>
            <w:vAlign w:val="bottom"/>
          </w:tcPr>
          <w:p>
            <w:pPr>
              <w:spacing w:after="0"/>
              <w:rPr>
                <w:sz w:val="16"/>
                <w:szCs w:val="16"/>
                <w:color w:val="auto"/>
              </w:rPr>
            </w:pPr>
          </w:p>
        </w:tc>
        <w:tc>
          <w:tcPr>
            <w:tcW w:w="88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9"/>
              </w:rPr>
              <w:t>ü</w:t>
            </w:r>
          </w:p>
        </w:tc>
        <w:tc>
          <w:tcPr>
            <w:tcW w:w="1140" w:type="dxa"/>
            <w:vAlign w:val="bottom"/>
            <w:tcBorders>
              <w:right w:val="single" w:sz="8" w:color="auto"/>
            </w:tcBorders>
            <w:vMerge w:val="restart"/>
            <w:shd w:val="clear" w:color="auto" w:fill="C6D9F1"/>
          </w:tcPr>
          <w:p>
            <w:pPr>
              <w:jc w:val="center"/>
              <w:spacing w:after="0"/>
              <w:rPr>
                <w:sz w:val="20"/>
                <w:szCs w:val="20"/>
                <w:color w:val="auto"/>
              </w:rPr>
            </w:pPr>
            <w:r>
              <w:rPr>
                <w:rFonts w:ascii="Arial" w:cs="Arial" w:eastAsia="Arial" w:hAnsi="Arial"/>
                <w:sz w:val="18"/>
                <w:szCs w:val="18"/>
                <w:color w:val="auto"/>
                <w:w w:val="99"/>
              </w:rPr>
              <w:t>ü</w:t>
            </w:r>
          </w:p>
        </w:tc>
        <w:tc>
          <w:tcPr>
            <w:tcW w:w="1140" w:type="dxa"/>
            <w:vAlign w:val="bottom"/>
            <w:tcBorders>
              <w:right w:val="single" w:sz="8" w:color="auto"/>
            </w:tcBorders>
            <w:vMerge w:val="restart"/>
            <w:shd w:val="clear" w:color="auto" w:fill="C6D9F1"/>
          </w:tcPr>
          <w:p>
            <w:pPr>
              <w:jc w:val="center"/>
              <w:spacing w:after="0"/>
              <w:rPr>
                <w:sz w:val="20"/>
                <w:szCs w:val="20"/>
                <w:color w:val="auto"/>
              </w:rPr>
            </w:pPr>
            <w:r>
              <w:rPr>
                <w:rFonts w:ascii="Arial" w:cs="Arial" w:eastAsia="Arial" w:hAnsi="Arial"/>
                <w:sz w:val="18"/>
                <w:szCs w:val="18"/>
                <w:color w:val="auto"/>
                <w:w w:val="79"/>
              </w:rPr>
              <w:t>ü</w:t>
            </w:r>
          </w:p>
        </w:tc>
        <w:tc>
          <w:tcPr>
            <w:tcW w:w="160" w:type="dxa"/>
            <w:vAlign w:val="bottom"/>
            <w:shd w:val="clear" w:color="auto" w:fill="C6D9F1"/>
          </w:tcPr>
          <w:p>
            <w:pPr>
              <w:spacing w:after="0"/>
              <w:rPr>
                <w:sz w:val="16"/>
                <w:szCs w:val="16"/>
                <w:color w:val="auto"/>
              </w:rPr>
            </w:pPr>
          </w:p>
        </w:tc>
        <w:tc>
          <w:tcPr>
            <w:tcW w:w="760" w:type="dxa"/>
            <w:vAlign w:val="bottom"/>
            <w:tcBorders>
              <w:right w:val="single" w:sz="8" w:color="auto"/>
            </w:tcBorders>
            <w:vMerge w:val="restart"/>
            <w:shd w:val="clear" w:color="auto" w:fill="C6D9F1"/>
          </w:tcPr>
          <w:p>
            <w:pPr>
              <w:jc w:val="center"/>
              <w:ind w:right="90"/>
              <w:spacing w:after="0"/>
              <w:rPr>
                <w:sz w:val="20"/>
                <w:szCs w:val="20"/>
                <w:color w:val="auto"/>
              </w:rPr>
            </w:pPr>
            <w:r>
              <w:rPr>
                <w:rFonts w:ascii="Arial" w:cs="Arial" w:eastAsia="Arial" w:hAnsi="Arial"/>
                <w:sz w:val="18"/>
                <w:szCs w:val="18"/>
                <w:color w:val="auto"/>
                <w:w w:val="99"/>
              </w:rPr>
              <w:t>ü</w:t>
            </w:r>
          </w:p>
        </w:tc>
        <w:tc>
          <w:tcPr>
            <w:tcW w:w="620" w:type="dxa"/>
            <w:vAlign w:val="bottom"/>
            <w:vMerge w:val="restart"/>
          </w:tcPr>
          <w:p>
            <w:pPr>
              <w:jc w:val="center"/>
              <w:ind w:left="150"/>
              <w:spacing w:after="0"/>
              <w:rPr>
                <w:sz w:val="20"/>
                <w:szCs w:val="20"/>
                <w:color w:val="auto"/>
              </w:rPr>
            </w:pPr>
            <w:r>
              <w:rPr>
                <w:rFonts w:ascii="Arial" w:cs="Arial" w:eastAsia="Arial" w:hAnsi="Arial"/>
                <w:sz w:val="18"/>
                <w:szCs w:val="18"/>
                <w:color w:val="auto"/>
                <w:w w:val="99"/>
              </w:rPr>
              <w:t>ü</w:t>
            </w:r>
          </w:p>
        </w:tc>
        <w:tc>
          <w:tcPr>
            <w:tcW w:w="28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ü</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03"/>
        </w:trPr>
        <w:tc>
          <w:tcPr>
            <w:tcW w:w="2760" w:type="dxa"/>
            <w:vAlign w:val="bottom"/>
            <w:tcBorders>
              <w:right w:val="single" w:sz="8" w:color="auto"/>
            </w:tcBorders>
            <w:shd w:val="clear" w:color="auto" w:fill="C6D9F1"/>
          </w:tcPr>
          <w:p>
            <w:pPr>
              <w:ind w:left="120"/>
              <w:spacing w:after="0" w:line="202" w:lineRule="exact"/>
              <w:rPr>
                <w:sz w:val="20"/>
                <w:szCs w:val="20"/>
                <w:color w:val="auto"/>
              </w:rPr>
            </w:pPr>
            <w:r>
              <w:rPr>
                <w:rFonts w:ascii="Arial" w:cs="Arial" w:eastAsia="Arial" w:hAnsi="Arial"/>
                <w:sz w:val="18"/>
                <w:szCs w:val="18"/>
                <w:color w:val="auto"/>
              </w:rPr>
              <w:t>Analytics and/or Industry</w:t>
            </w:r>
          </w:p>
        </w:tc>
        <w:tc>
          <w:tcPr>
            <w:tcW w:w="1260" w:type="dxa"/>
            <w:vAlign w:val="bottom"/>
            <w:tcBorders>
              <w:right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Borders>
              <w:right w:val="single" w:sz="8" w:color="auto"/>
            </w:tcBorders>
            <w:vMerge w:val="continue"/>
          </w:tcPr>
          <w:p>
            <w:pPr>
              <w:spacing w:after="0"/>
              <w:rPr>
                <w:sz w:val="17"/>
                <w:szCs w:val="17"/>
                <w:color w:val="auto"/>
              </w:rPr>
            </w:pPr>
          </w:p>
        </w:tc>
        <w:tc>
          <w:tcPr>
            <w:tcW w:w="1140" w:type="dxa"/>
            <w:vAlign w:val="bottom"/>
            <w:tcBorders>
              <w:right w:val="single" w:sz="8" w:color="auto"/>
            </w:tcBorders>
            <w:vMerge w:val="continue"/>
            <w:shd w:val="clear" w:color="auto" w:fill="C6D9F1"/>
          </w:tcPr>
          <w:p>
            <w:pPr>
              <w:spacing w:after="0"/>
              <w:rPr>
                <w:sz w:val="17"/>
                <w:szCs w:val="17"/>
                <w:color w:val="auto"/>
              </w:rPr>
            </w:pPr>
          </w:p>
        </w:tc>
        <w:tc>
          <w:tcPr>
            <w:tcW w:w="1140" w:type="dxa"/>
            <w:vAlign w:val="bottom"/>
            <w:tcBorders>
              <w:right w:val="single" w:sz="8" w:color="auto"/>
            </w:tcBorders>
            <w:vMerge w:val="continue"/>
            <w:shd w:val="clear" w:color="auto" w:fill="C6D9F1"/>
          </w:tcPr>
          <w:p>
            <w:pPr>
              <w:spacing w:after="0"/>
              <w:rPr>
                <w:sz w:val="17"/>
                <w:szCs w:val="17"/>
                <w:color w:val="auto"/>
              </w:rPr>
            </w:pPr>
          </w:p>
        </w:tc>
        <w:tc>
          <w:tcPr>
            <w:tcW w:w="160" w:type="dxa"/>
            <w:vAlign w:val="bottom"/>
            <w:shd w:val="clear" w:color="auto" w:fill="C6D9F1"/>
          </w:tcPr>
          <w:p>
            <w:pPr>
              <w:spacing w:after="0"/>
              <w:rPr>
                <w:sz w:val="17"/>
                <w:szCs w:val="17"/>
                <w:color w:val="auto"/>
              </w:rPr>
            </w:pPr>
          </w:p>
        </w:tc>
        <w:tc>
          <w:tcPr>
            <w:tcW w:w="760" w:type="dxa"/>
            <w:vAlign w:val="bottom"/>
            <w:tcBorders>
              <w:right w:val="single" w:sz="8" w:color="auto"/>
            </w:tcBorders>
            <w:vMerge w:val="continue"/>
            <w:shd w:val="clear" w:color="auto" w:fill="C6D9F1"/>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tcBorders>
              <w:bottom w:val="single" w:sz="8" w:color="auto"/>
              <w:right w:val="single" w:sz="8" w:color="auto"/>
            </w:tcBorders>
            <w:shd w:val="clear" w:color="auto" w:fill="C6D9F1"/>
          </w:tcPr>
          <w:p>
            <w:pPr>
              <w:ind w:left="120"/>
              <w:spacing w:after="0" w:line="203" w:lineRule="exact"/>
              <w:rPr>
                <w:sz w:val="20"/>
                <w:szCs w:val="20"/>
                <w:color w:val="auto"/>
              </w:rPr>
            </w:pPr>
            <w:r>
              <w:rPr>
                <w:rFonts w:ascii="Arial" w:cs="Arial" w:eastAsia="Arial" w:hAnsi="Arial"/>
                <w:sz w:val="18"/>
                <w:szCs w:val="18"/>
                <w:color w:val="auto"/>
              </w:rPr>
              <w:t>Vertical Experience</w:t>
            </w:r>
          </w:p>
        </w:tc>
        <w:tc>
          <w:tcPr>
            <w:tcW w:w="126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shd w:val="clear" w:color="auto" w:fill="C6D9F1"/>
          </w:tcPr>
          <w:p>
            <w:pPr>
              <w:spacing w:after="0"/>
              <w:rPr>
                <w:sz w:val="17"/>
                <w:szCs w:val="17"/>
                <w:color w:val="auto"/>
              </w:rPr>
            </w:pPr>
          </w:p>
        </w:tc>
        <w:tc>
          <w:tcPr>
            <w:tcW w:w="1140" w:type="dxa"/>
            <w:vAlign w:val="bottom"/>
            <w:tcBorders>
              <w:bottom w:val="single" w:sz="8" w:color="auto"/>
              <w:right w:val="single" w:sz="8" w:color="auto"/>
            </w:tcBorders>
            <w:shd w:val="clear" w:color="auto" w:fill="C6D9F1"/>
          </w:tcPr>
          <w:p>
            <w:pPr>
              <w:spacing w:after="0"/>
              <w:rPr>
                <w:sz w:val="17"/>
                <w:szCs w:val="17"/>
                <w:color w:val="auto"/>
              </w:rPr>
            </w:pPr>
          </w:p>
        </w:tc>
        <w:tc>
          <w:tcPr>
            <w:tcW w:w="160" w:type="dxa"/>
            <w:vAlign w:val="bottom"/>
            <w:tcBorders>
              <w:bottom w:val="single" w:sz="8" w:color="auto"/>
            </w:tcBorders>
            <w:shd w:val="clear" w:color="auto" w:fill="C6D9F1"/>
          </w:tcPr>
          <w:p>
            <w:pPr>
              <w:spacing w:after="0"/>
              <w:rPr>
                <w:sz w:val="17"/>
                <w:szCs w:val="17"/>
                <w:color w:val="auto"/>
              </w:rPr>
            </w:pPr>
          </w:p>
        </w:tc>
        <w:tc>
          <w:tcPr>
            <w:tcW w:w="760" w:type="dxa"/>
            <w:vAlign w:val="bottom"/>
            <w:tcBorders>
              <w:bottom w:val="single" w:sz="8" w:color="auto"/>
              <w:right w:val="single" w:sz="8" w:color="auto"/>
            </w:tcBorders>
            <w:shd w:val="clear" w:color="auto" w:fill="C6D9F1"/>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102870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Audit committee financial experts under applicable SEC rules and regulations.</w:t>
      </w:r>
    </w:p>
    <w:p>
      <w:pPr>
        <w:spacing w:after="0" w:line="212" w:lineRule="exact"/>
        <w:rPr>
          <w:sz w:val="20"/>
          <w:szCs w:val="20"/>
          <w:color w:val="auto"/>
        </w:rPr>
      </w:pPr>
    </w:p>
    <w:p>
      <w:pPr>
        <w:jc w:val="both"/>
        <w:ind w:right="100" w:firstLine="441"/>
        <w:spacing w:after="0"/>
        <w:rPr>
          <w:sz w:val="20"/>
          <w:szCs w:val="20"/>
          <w:color w:val="auto"/>
        </w:rPr>
      </w:pPr>
      <w:r>
        <w:rPr>
          <w:rFonts w:ascii="Arial" w:cs="Arial" w:eastAsia="Arial" w:hAnsi="Arial"/>
          <w:sz w:val="18"/>
          <w:szCs w:val="18"/>
          <w:color w:val="auto"/>
        </w:rPr>
        <w:t>The election of our Class II directors will take place at the Annual Meeting. If elected, each of the Class II director nominees will serve on our board of directors until our 2020 Annual Meeting of Stockholders or until their successors are duly elected and qualified in accordance with our by-laws.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Board of Directors</w:t>
      </w:r>
    </w:p>
    <w:p>
      <w:pPr>
        <w:spacing w:after="0" w:line="220" w:lineRule="exact"/>
        <w:rPr>
          <w:sz w:val="20"/>
          <w:szCs w:val="20"/>
          <w:color w:val="auto"/>
        </w:rPr>
      </w:pPr>
    </w:p>
    <w:p>
      <w:pPr>
        <w:jc w:val="both"/>
        <w:ind w:right="220" w:firstLine="441"/>
        <w:spacing w:after="0"/>
        <w:rPr>
          <w:sz w:val="20"/>
          <w:szCs w:val="20"/>
          <w:color w:val="auto"/>
        </w:rPr>
      </w:pPr>
      <w:r>
        <w:rPr>
          <w:rFonts w:ascii="Arial" w:cs="Arial" w:eastAsia="Arial" w:hAnsi="Arial"/>
          <w:sz w:val="18"/>
          <w:szCs w:val="18"/>
          <w:color w:val="auto"/>
        </w:rPr>
        <w:t>The names, ages and principal occupations (which have continued for at least the past five years unless otherwise indicated) and other information, including the specific experience, qualifications, attributes or skills that led to the conclusion that such person should serve as a director of the Company, with respect to each of the nominees and continuing directors are set forth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 Director Nominees (Terms Expiring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140335</wp:posOffset>
            </wp:positionV>
            <wp:extent cx="586613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66130" cy="43180"/>
                    </a:xfrm>
                    <a:prstGeom prst="rect">
                      <a:avLst/>
                    </a:prstGeom>
                    <a:noFill/>
                  </pic:spPr>
                </pic:pic>
              </a:graphicData>
            </a:graphic>
          </wp:anchor>
        </w:drawing>
      </w:r>
    </w:p>
    <w:p>
      <w:pPr>
        <w:spacing w:after="0" w:line="250" w:lineRule="exact"/>
        <w:rPr>
          <w:sz w:val="20"/>
          <w:szCs w:val="20"/>
          <w:color w:val="auto"/>
        </w:rPr>
      </w:pPr>
    </w:p>
    <w:p>
      <w:pPr>
        <w:ind w:left="2280" w:right="120"/>
        <w:spacing w:after="0"/>
        <w:rPr>
          <w:sz w:val="20"/>
          <w:szCs w:val="20"/>
          <w:color w:val="auto"/>
        </w:rPr>
      </w:pPr>
      <w:r>
        <w:rPr>
          <w:rFonts w:ascii="Arial" w:cs="Arial" w:eastAsia="Arial" w:hAnsi="Arial"/>
          <w:sz w:val="18"/>
          <w:szCs w:val="18"/>
          <w:i w:val="1"/>
          <w:iCs w:val="1"/>
          <w:color w:val="auto"/>
        </w:rPr>
        <w:t>David B. Kelso</w:t>
      </w:r>
      <w:r>
        <w:rPr>
          <w:rFonts w:ascii="Arial" w:cs="Arial" w:eastAsia="Arial" w:hAnsi="Arial"/>
          <w:sz w:val="18"/>
          <w:szCs w:val="18"/>
          <w:color w:val="auto"/>
        </w:rPr>
        <w:t>—Age: 64—has served as a member of our board of directors since July 2006. Mr. Kelso is a</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advisor for Kelso Advisory Services, a company he started in 2003. Mr. Kelso served as a senior advisor to Inductis, Inc. from June 2004 through June 2006 at which time the firm was acquired by the Company. From September 2001 through September 2003, Mr. Kelso served as Chairman of the Aetna Life Insurance Co. as well as the Executive Vice President, Strategy and Finance and a member of the Office of the Chairman for Aetna, Inc. From 1996 to 2001, Mr. Kelso was Executive Vice President, Chief Financial Officer and Managing Director of the Chubb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-907415</wp:posOffset>
            </wp:positionV>
            <wp:extent cx="1029335" cy="131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933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14" w:name="page15"/>
    <w:bookmarkEnd w:id="14"/>
    <w:p>
      <w:pPr>
        <w:ind w:left="1080"/>
        <w:spacing w:after="0" w:line="236" w:lineRule="auto"/>
        <w:rPr>
          <w:sz w:val="20"/>
          <w:szCs w:val="20"/>
          <w:color w:val="auto"/>
        </w:rPr>
      </w:pPr>
      <w:r>
        <w:rPr>
          <w:rFonts w:ascii="Arial" w:cs="Arial" w:eastAsia="Arial" w:hAnsi="Arial"/>
          <w:sz w:val="18"/>
          <w:szCs w:val="18"/>
          <w:color w:val="auto"/>
        </w:rPr>
        <w:t>Corporation. Mr. Kelso currently serves on the Board of Directors of the Sound Shore Fund where he is the lead independent director and Chair of the Audit, Nominating, and Valuation Committees and serves as a member of the Board of Trustees of the Darden School Foundation of the University of Virginia Darden School of Business. From 2005 to 2010, Mr. Kelso was a member of the Board of Directors of Aspen Holdings Limited. From 2007 to 2015, Mr. Kelso served on the Board of Assurant, Inc. and was a member of its Audit Committee and Finance &amp; Investment Committee. Mr. Kelso’s business experience with Inductis, his management and operating experience at major public companies, his expertise in finance, strategy and investments, and his board and committee service at other global companies led to the conclusion that he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124460</wp:posOffset>
            </wp:positionV>
            <wp:extent cx="586613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66130" cy="43180"/>
                    </a:xfrm>
                    <a:prstGeom prst="rect">
                      <a:avLst/>
                    </a:prstGeom>
                    <a:noFill/>
                  </pic:spPr>
                </pic:pic>
              </a:graphicData>
            </a:graphic>
          </wp:anchor>
        </w:drawing>
      </w:r>
    </w:p>
    <w:p>
      <w:pPr>
        <w:spacing w:after="0" w:line="224" w:lineRule="exact"/>
        <w:rPr>
          <w:sz w:val="20"/>
          <w:szCs w:val="20"/>
          <w:color w:val="auto"/>
        </w:rPr>
      </w:pPr>
    </w:p>
    <w:p>
      <w:pPr>
        <w:ind w:left="1080" w:right="560"/>
        <w:spacing w:after="0" w:line="245" w:lineRule="auto"/>
        <w:rPr>
          <w:sz w:val="20"/>
          <w:szCs w:val="20"/>
          <w:color w:val="auto"/>
        </w:rPr>
      </w:pPr>
      <w:r>
        <w:rPr>
          <w:rFonts w:ascii="Arial" w:cs="Arial" w:eastAsia="Arial" w:hAnsi="Arial"/>
          <w:sz w:val="18"/>
          <w:szCs w:val="18"/>
          <w:i w:val="1"/>
          <w:iCs w:val="1"/>
          <w:color w:val="auto"/>
        </w:rPr>
        <w:t>Som Mittal</w:t>
      </w:r>
      <w:r>
        <w:rPr>
          <w:rFonts w:ascii="Arial" w:cs="Arial" w:eastAsia="Arial" w:hAnsi="Arial"/>
          <w:sz w:val="18"/>
          <w:szCs w:val="18"/>
          <w:color w:val="auto"/>
        </w:rPr>
        <w:t>—Age: 65—has served as a member of our board of directors since December 2013. Mr. Mittal</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President of NASSCOM, a trade body for the IT and business process management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-255905</wp:posOffset>
            </wp:positionV>
            <wp:extent cx="1029335" cy="13462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9335" cy="1346200"/>
                    </a:xfrm>
                    <a:prstGeom prst="rect">
                      <a:avLst/>
                    </a:prstGeom>
                    <a:noFill/>
                  </pic:spPr>
                </pic:pic>
              </a:graphicData>
            </a:graphic>
          </wp:anchor>
        </w:drawing>
      </w:r>
    </w:p>
    <w:p>
      <w:pPr>
        <w:ind w:left="1080" w:right="20"/>
        <w:spacing w:after="0" w:line="234" w:lineRule="auto"/>
        <w:rPr>
          <w:sz w:val="20"/>
          <w:szCs w:val="20"/>
          <w:color w:val="auto"/>
        </w:rPr>
      </w:pPr>
      <w:r>
        <w:rPr>
          <w:rFonts w:ascii="Arial" w:cs="Arial" w:eastAsia="Arial" w:hAnsi="Arial"/>
          <w:sz w:val="18"/>
          <w:szCs w:val="18"/>
          <w:color w:val="auto"/>
        </w:rPr>
        <w:t>in India from 2008 through January 2014. Mr. Mittal has held various corporate leadership roles in the IT industry since 1989, including at companies such as Wipro, Digital India, Compaq and HP. He also has extensive experience in the engineering, manufacturing and automotive industries, having held executive roles with Larsen</w:t>
      </w:r>
    </w:p>
    <w:p>
      <w:pPr>
        <w:spacing w:after="0" w:line="2" w:lineRule="exact"/>
        <w:rPr>
          <w:sz w:val="20"/>
          <w:szCs w:val="20"/>
          <w:color w:val="auto"/>
        </w:rPr>
      </w:pPr>
    </w:p>
    <w:p>
      <w:pPr>
        <w:ind w:left="1080" w:right="40" w:hanging="1"/>
        <w:spacing w:after="0" w:line="236" w:lineRule="auto"/>
        <w:tabs>
          <w:tab w:leader="none" w:pos="12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Toubro, Escorts and Denso. Mr. Mittal became an Independent Director of Axis Bank (NSE: Axis) in October 2011, Cyient Ltd. (NSE: CYIENT) in April 2014, Tata SIA Airlines in July 2015, and Sheela Foam Pvt. Ltd. (NSE: SFL) in June 2016. He is a former member of the Board of Governors of the Indian Institute of Corporate Affairs. Mr. Mittal has been a committee member with the Indian Prime Minister’s National e-Governance Program and is part of several committees of the Government of India. Besides being an Advisor to several companies he is also deeply associated with education as he is on the Board of Governors of several of them. The Company has concluded, based in part on Mr. Mittal’s business experience as President of NASSCOM and his knowledge of the outsourcing industry, that Mr. Mittal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124460</wp:posOffset>
            </wp:positionV>
            <wp:extent cx="586613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66130" cy="43180"/>
                    </a:xfrm>
                    <a:prstGeom prst="rect">
                      <a:avLst/>
                    </a:prstGeom>
                    <a:noFill/>
                  </pic:spPr>
                </pic:pic>
              </a:graphicData>
            </a:graphic>
          </wp:anchor>
        </w:drawing>
      </w:r>
    </w:p>
    <w:p>
      <w:pPr>
        <w:spacing w:after="0" w:line="224" w:lineRule="exact"/>
        <w:rPr>
          <w:sz w:val="20"/>
          <w:szCs w:val="20"/>
          <w:color w:val="auto"/>
        </w:rPr>
      </w:pPr>
    </w:p>
    <w:p>
      <w:pPr>
        <w:ind w:left="1080" w:right="20"/>
        <w:spacing w:after="0" w:line="238" w:lineRule="auto"/>
        <w:rPr>
          <w:sz w:val="20"/>
          <w:szCs w:val="20"/>
          <w:color w:val="auto"/>
        </w:rPr>
      </w:pPr>
      <w:r>
        <w:rPr>
          <w:rFonts w:ascii="Arial" w:cs="Arial" w:eastAsia="Arial" w:hAnsi="Arial"/>
          <w:sz w:val="18"/>
          <w:szCs w:val="18"/>
          <w:i w:val="1"/>
          <w:iCs w:val="1"/>
          <w:color w:val="auto"/>
        </w:rPr>
        <w:t>Clyde W. Ostler</w:t>
      </w:r>
      <w:r>
        <w:rPr>
          <w:rFonts w:ascii="Arial" w:cs="Arial" w:eastAsia="Arial" w:hAnsi="Arial"/>
          <w:sz w:val="18"/>
          <w:szCs w:val="18"/>
          <w:color w:val="auto"/>
        </w:rPr>
        <w:t>—Age: 70—has served as a member of our board of directors since December 2007.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his retirement in 2011, Mr. Ostler was a Group Executive Vice President of Wells Fargo &amp; Co., Vice Chairman of Wells Fargo Bank California NA, and President of Wells Fargo Family Wealth. Mr. Ostler served in a number of capacities during his forty year tenure with Wells Fargo, including Vice Chairman in the Office of the President, Chief Financial Officer, Chief Auditor, Head of Retail Branch Banking, Head of Information Technology, Head of Institutional and Personal Investments and Head of Internet Services. Mr. Ostler also served on the Senior Management Committee of Wells Fargo for over twenty-five years. Mr. Ostler has also served on a number of for-profit and non-profit boards of directors. Mr. Ostler was appointed to the board of The McClatchy Company (NYSE: MNI) in March 2013. The Company has concluded, based in part on Mr. Ostler’s business experience through his positions at Wells Fargo &amp; Company that Mr. Ostler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-1290955</wp:posOffset>
            </wp:positionV>
            <wp:extent cx="1029335" cy="1337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9335" cy="13379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00"/>
          </w:cols>
          <w:pgMar w:left="1440" w:top="841"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Class III Directors (Terms Expiring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140335</wp:posOffset>
            </wp:positionV>
            <wp:extent cx="586613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66130" cy="43180"/>
                    </a:xfrm>
                    <a:prstGeom prst="rect">
                      <a:avLst/>
                    </a:prstGeom>
                    <a:noFill/>
                  </pic:spPr>
                </pic:pic>
              </a:graphicData>
            </a:graphic>
          </wp:anchor>
        </w:drawing>
      </w:r>
    </w:p>
    <w:p>
      <w:pPr>
        <w:spacing w:after="0" w:line="250" w:lineRule="exact"/>
        <w:rPr>
          <w:sz w:val="20"/>
          <w:szCs w:val="20"/>
          <w:color w:val="auto"/>
        </w:rPr>
      </w:pPr>
    </w:p>
    <w:p>
      <w:pPr>
        <w:ind w:left="2280"/>
        <w:spacing w:after="0" w:line="238" w:lineRule="auto"/>
        <w:rPr>
          <w:sz w:val="20"/>
          <w:szCs w:val="20"/>
          <w:color w:val="auto"/>
        </w:rPr>
      </w:pPr>
      <w:r>
        <w:rPr>
          <w:rFonts w:ascii="Arial" w:cs="Arial" w:eastAsia="Arial" w:hAnsi="Arial"/>
          <w:sz w:val="18"/>
          <w:szCs w:val="18"/>
          <w:i w:val="1"/>
          <w:iCs w:val="1"/>
          <w:color w:val="auto"/>
        </w:rPr>
        <w:t>Deborah Kerr—</w:t>
      </w:r>
      <w:r>
        <w:rPr>
          <w:rFonts w:ascii="Arial" w:cs="Arial" w:eastAsia="Arial" w:hAnsi="Arial"/>
          <w:sz w:val="18"/>
          <w:szCs w:val="18"/>
          <w:color w:val="auto"/>
        </w:rPr>
        <w:t>Age: 45— has served as a member of our board of directors since January 2015. Ms. Kerr is a</w:t>
      </w:r>
      <w:r>
        <w:rPr>
          <w:rFonts w:ascii="Arial" w:cs="Arial" w:eastAsia="Arial" w:hAnsi="Arial"/>
          <w:sz w:val="18"/>
          <w:szCs w:val="18"/>
          <w:i w:val="1"/>
          <w:iCs w:val="1"/>
          <w:color w:val="auto"/>
        </w:rPr>
        <w:t xml:space="preserve"> </w:t>
      </w:r>
      <w:r>
        <w:rPr>
          <w:rFonts w:ascii="Arial" w:cs="Arial" w:eastAsia="Arial" w:hAnsi="Arial"/>
          <w:sz w:val="18"/>
          <w:szCs w:val="18"/>
          <w:color w:val="auto"/>
        </w:rPr>
        <w:t>proven technology leader in the software industry with more than 25 years of diverse management experience. Ms. Kerr has served as the Executive Vice President and Chief Product and Technology Officer at Sabre Corporation (NASDAQ: SABR) from 2013 - 2017. Prior to her appointment at Sabre Corporation, Ms. Kerr served as Executive Vice President, Chief Product and Technology Officer at Fair Isaac Corporation (FICO) from 2009 until 2012. Ms. Kerr previously held senior leadership roles with Hewlett-Packard, Peregrine Systems and NASA’s Jet Propulsion Laboratory. From 2013 to present, Ms. Kerr serves as an Independent Director of D+H Corporation (TSX: DH), which provides technology solutions and products to the financial services industry. She was previously a member of the board of directors of Mitchell International Inc. and was Chair of the Technology Committee. The Company has concluded, based in part on Ms. Kerr’s experience driving business through innovative technology solutions and more than 25 years of diverse management experience that Ms. Kerr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120015</wp:posOffset>
            </wp:positionV>
            <wp:extent cx="586613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6613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-1551305</wp:posOffset>
            </wp:positionV>
            <wp:extent cx="1029335" cy="129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9335" cy="1294765"/>
                    </a:xfrm>
                    <a:prstGeom prst="rect">
                      <a:avLst/>
                    </a:prstGeom>
                    <a:noFill/>
                  </pic:spPr>
                </pic:pic>
              </a:graphicData>
            </a:graphic>
          </wp:anchor>
        </w:drawing>
      </w:r>
    </w:p>
    <w:p>
      <w:pPr>
        <w:spacing w:after="0" w:line="218" w:lineRule="exact"/>
        <w:rPr>
          <w:sz w:val="20"/>
          <w:szCs w:val="20"/>
          <w:color w:val="auto"/>
        </w:rPr>
      </w:pPr>
    </w:p>
    <w:p>
      <w:pPr>
        <w:ind w:left="2280" w:right="80"/>
        <w:spacing w:after="0" w:line="238" w:lineRule="auto"/>
        <w:rPr>
          <w:sz w:val="20"/>
          <w:szCs w:val="20"/>
          <w:color w:val="auto"/>
        </w:rPr>
      </w:pPr>
      <w:r>
        <w:rPr>
          <w:rFonts w:ascii="Arial" w:cs="Arial" w:eastAsia="Arial" w:hAnsi="Arial"/>
          <w:sz w:val="18"/>
          <w:szCs w:val="18"/>
          <w:i w:val="1"/>
          <w:iCs w:val="1"/>
          <w:color w:val="auto"/>
        </w:rPr>
        <w:t>Nitin Sahney—</w:t>
      </w:r>
      <w:r>
        <w:rPr>
          <w:rFonts w:ascii="Arial" w:cs="Arial" w:eastAsia="Arial" w:hAnsi="Arial"/>
          <w:sz w:val="18"/>
          <w:szCs w:val="18"/>
          <w:color w:val="auto"/>
        </w:rPr>
        <w:t>Age: 54—has served as a member of our board of directors since January 2016. He is a leader in</w:t>
      </w:r>
      <w:r>
        <w:rPr>
          <w:rFonts w:ascii="Arial" w:cs="Arial" w:eastAsia="Arial" w:hAnsi="Arial"/>
          <w:sz w:val="18"/>
          <w:szCs w:val="18"/>
          <w:i w:val="1"/>
          <w:iCs w:val="1"/>
          <w:color w:val="auto"/>
        </w:rPr>
        <w:t xml:space="preserve"> </w:t>
      </w:r>
      <w:r>
        <w:rPr>
          <w:rFonts w:ascii="Arial" w:cs="Arial" w:eastAsia="Arial" w:hAnsi="Arial"/>
          <w:sz w:val="18"/>
          <w:szCs w:val="18"/>
          <w:color w:val="auto"/>
        </w:rPr>
        <w:t>the healthcare industry with over 25 years of experience across all areas of healthcare. In 2016, Mr. Sahney founded PharmaCord, LLC, a company that helps biopharma manufacturers address product access hurdles, where he serves as the Member-Manager and Chief Executive Officer. He also served as Operating Advisor to Clayton Dubilier &amp; Rice funds. Mr. Sahney is the former President and CEO of Omnicare Inc., a former New York Stock Exchange-listed Fortune 500 company in the long-term care and specialty care industries. Prior to Omnicare, Mr. Sahney managed a healthcare investment fund, and was the founder and CEO of RxCrossroads, a specialty pharmaceutical company. He also held a series of leadership positions with Cardinal Healthcare, a global healthcare services and products company. The Company has concluded, based in part on Mr. Sahney’s experience as CEO of Omnicare, Inc. and his expertise in the healthcare industry garnered from more than two decades of experience that he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121920</wp:posOffset>
            </wp:positionV>
            <wp:extent cx="586613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6613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1029335" cy="1372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9335" cy="1372235"/>
                    </a:xfrm>
                    <a:prstGeom prst="rect">
                      <a:avLst/>
                    </a:prstGeom>
                    <a:noFill/>
                  </pic:spPr>
                </pic:pic>
              </a:graphicData>
            </a:graphic>
          </wp:anchor>
        </w:drawing>
      </w:r>
    </w:p>
    <w:p>
      <w:pPr>
        <w:spacing w:after="0" w:line="221" w:lineRule="exact"/>
        <w:rPr>
          <w:sz w:val="20"/>
          <w:szCs w:val="20"/>
          <w:color w:val="auto"/>
        </w:rPr>
      </w:pPr>
    </w:p>
    <w:p>
      <w:pPr>
        <w:ind w:left="2280" w:right="120"/>
        <w:spacing w:after="0" w:line="238" w:lineRule="auto"/>
        <w:rPr>
          <w:sz w:val="20"/>
          <w:szCs w:val="20"/>
          <w:color w:val="auto"/>
        </w:rPr>
      </w:pPr>
      <w:r>
        <w:rPr>
          <w:rFonts w:ascii="Arial" w:cs="Arial" w:eastAsia="Arial" w:hAnsi="Arial"/>
          <w:sz w:val="18"/>
          <w:szCs w:val="18"/>
          <w:i w:val="1"/>
          <w:iCs w:val="1"/>
          <w:color w:val="auto"/>
        </w:rPr>
        <w:t>Garen K. Staglin—</w:t>
      </w:r>
      <w:r>
        <w:rPr>
          <w:rFonts w:ascii="Arial" w:cs="Arial" w:eastAsia="Arial" w:hAnsi="Arial"/>
          <w:sz w:val="18"/>
          <w:szCs w:val="18"/>
          <w:color w:val="auto"/>
        </w:rPr>
        <w:t>Age: 72—has served as our Chairman since February 2014 and as a member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since June 2005. Mr. Staglin has over 40 years of experience in the financial services and technology industries. From 2001 to 2004 he was Chief Executive Officer of eONE Global LP, an emerging payments company, and from 1993 – 1999 he was CEO of Safelite Auto Glass, a provider of glass claim solutions. Mr. Staglin serves on the boards of directors of several public and private companies and non-profit corporations. In the past six years, Mr. Staglin has served on the public company board of directors of Bottomline Technologies, Inc. and of Solera Holdings, Inc. and is presently serving on the board of SVB Financial Group (NASDAQ: SIVB). Additional prior public board experience includes First Data Corporation, CyberCash, Inc., and Quick Response Services. Private board experience includes Specialized Bicycle, NVoice Payments, Profit Velocity Solutions, and Winecountry.com. Non-profit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-1290955</wp:posOffset>
            </wp:positionV>
            <wp:extent cx="1029335" cy="131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9335" cy="1311910"/>
                    </a:xfrm>
                    <a:prstGeom prst="rect">
                      <a:avLst/>
                    </a:prstGeom>
                    <a:noFill/>
                  </pic:spPr>
                </pic:pic>
              </a:graphicData>
            </a:graphic>
          </wp:anchor>
        </w:drawing>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778" w:right="339" w:bottom="1440" w:gutter="0" w:footer="0" w:header="0"/>
        </w:sectPr>
      </w:pPr>
    </w:p>
    <w:bookmarkStart w:id="16" w:name="page17"/>
    <w:bookmarkEnd w:id="16"/>
    <w:p>
      <w:pPr>
        <w:ind w:left="2280" w:right="40"/>
        <w:spacing w:after="0"/>
        <w:rPr>
          <w:sz w:val="20"/>
          <w:szCs w:val="20"/>
          <w:color w:val="auto"/>
        </w:rPr>
      </w:pPr>
      <w:r>
        <w:rPr>
          <w:rFonts w:ascii="Arial" w:cs="Arial" w:eastAsia="Arial" w:hAnsi="Arial"/>
          <w:sz w:val="18"/>
          <w:szCs w:val="18"/>
          <w:color w:val="auto"/>
        </w:rPr>
        <w:t>includes One Mind, IMHRO, and BringChange2Mind. The Company has concluded, based in part on Mr. Staglin’s experience in the financial services and technology industries and his past experience as a member of public company boards of directors that Mr. Staglin should serve as a director.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Directors (Terms Expiring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140335</wp:posOffset>
            </wp:positionV>
            <wp:extent cx="586613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66130" cy="43180"/>
                    </a:xfrm>
                    <a:prstGeom prst="rect">
                      <a:avLst/>
                    </a:prstGeom>
                    <a:noFill/>
                  </pic:spPr>
                </pic:pic>
              </a:graphicData>
            </a:graphic>
          </wp:anchor>
        </w:drawing>
      </w:r>
    </w:p>
    <w:p>
      <w:pPr>
        <w:spacing w:after="0" w:line="250" w:lineRule="exact"/>
        <w:rPr>
          <w:sz w:val="20"/>
          <w:szCs w:val="20"/>
          <w:color w:val="auto"/>
        </w:rPr>
      </w:pPr>
    </w:p>
    <w:p>
      <w:pPr>
        <w:ind w:left="2280" w:right="80"/>
        <w:spacing w:after="0" w:line="238" w:lineRule="auto"/>
        <w:rPr>
          <w:sz w:val="20"/>
          <w:szCs w:val="20"/>
          <w:color w:val="auto"/>
        </w:rPr>
      </w:pPr>
      <w:r>
        <w:rPr>
          <w:rFonts w:ascii="Arial" w:cs="Arial" w:eastAsia="Arial" w:hAnsi="Arial"/>
          <w:sz w:val="18"/>
          <w:szCs w:val="18"/>
          <w:i w:val="1"/>
          <w:iCs w:val="1"/>
          <w:color w:val="auto"/>
        </w:rPr>
        <w:t>Rohit Kapoor—</w:t>
      </w:r>
      <w:r>
        <w:rPr>
          <w:rFonts w:ascii="Arial" w:cs="Arial" w:eastAsia="Arial" w:hAnsi="Arial"/>
          <w:sz w:val="18"/>
          <w:szCs w:val="18"/>
          <w:color w:val="auto"/>
        </w:rPr>
        <w:t>Age: 52—co-founded EXL Inc. in April 1999 and has served as our Vice Chairman and CEO since</w:t>
      </w:r>
      <w:r>
        <w:rPr>
          <w:rFonts w:ascii="Arial" w:cs="Arial" w:eastAsia="Arial" w:hAnsi="Arial"/>
          <w:sz w:val="18"/>
          <w:szCs w:val="18"/>
          <w:i w:val="1"/>
          <w:iCs w:val="1"/>
          <w:color w:val="auto"/>
        </w:rPr>
        <w:t xml:space="preserve"> </w:t>
      </w:r>
      <w:r>
        <w:rPr>
          <w:rFonts w:ascii="Arial" w:cs="Arial" w:eastAsia="Arial" w:hAnsi="Arial"/>
          <w:sz w:val="18"/>
          <w:szCs w:val="18"/>
          <w:color w:val="auto"/>
        </w:rPr>
        <w:t>April 2012 and as a director since November 2002. Mr. Kapoor served as our President and CEO from May 2008 to March 2012, as our Chief Financial Officer (“CFO”) from November 2002 until June 2005 and from September 2006 to March 2007, as our Chief Operating Officer from June 2007 until April 2008 and as President and CFO of EXL Inc. since August 2000. Prior to founding EXL Inc., Mr. Kapoor served as a business head of Deutsche Bank from July 1999 to July 2000. From 1991 to 2000, Mr. Kapoor served in various capacities at Bank of America in the United States and Asia, including India. Mr. Kapoor was appointed as a member of the board of directors of CA Technologies, Inc. (NASDAQ: CA) on April 7, 2011 and is an active member of the National Association of Software and Services Companies (“NASSCOM”) BPM Forum. The Company has concluded that in connection with Mr. Kapoor’s experience as a founder and current role as CEO of the Company, he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121920</wp:posOffset>
            </wp:positionV>
            <wp:extent cx="586613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6613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1029335" cy="13462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9335" cy="1346200"/>
                    </a:xfrm>
                    <a:prstGeom prst="rect">
                      <a:avLst/>
                    </a:prstGeom>
                    <a:noFill/>
                  </pic:spPr>
                </pic:pic>
              </a:graphicData>
            </a:graphic>
          </wp:anchor>
        </w:drawing>
      </w:r>
    </w:p>
    <w:p>
      <w:pPr>
        <w:spacing w:after="0" w:line="221" w:lineRule="exact"/>
        <w:rPr>
          <w:sz w:val="20"/>
          <w:szCs w:val="20"/>
          <w:color w:val="auto"/>
        </w:rPr>
      </w:pPr>
    </w:p>
    <w:p>
      <w:pPr>
        <w:ind w:left="2280"/>
        <w:spacing w:after="0" w:line="237" w:lineRule="auto"/>
        <w:rPr>
          <w:sz w:val="20"/>
          <w:szCs w:val="20"/>
          <w:color w:val="auto"/>
        </w:rPr>
      </w:pPr>
      <w:r>
        <w:rPr>
          <w:rFonts w:ascii="Arial" w:cs="Arial" w:eastAsia="Arial" w:hAnsi="Arial"/>
          <w:sz w:val="18"/>
          <w:szCs w:val="18"/>
          <w:i w:val="1"/>
          <w:iCs w:val="1"/>
          <w:color w:val="auto"/>
        </w:rPr>
        <w:t>Anne E. Minto—</w:t>
      </w:r>
      <w:r>
        <w:rPr>
          <w:rFonts w:ascii="Arial" w:cs="Arial" w:eastAsia="Arial" w:hAnsi="Arial"/>
          <w:sz w:val="18"/>
          <w:szCs w:val="18"/>
          <w:color w:val="auto"/>
        </w:rPr>
        <w:t>Age: 63—has served as a member of our board of directors since March 2013. Ms. Minto is a</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lawyer and member of the Law Society of Scotland. She is a Fellow of the Chartered Institute of Personnel &amp; Development, the Chartered Institute of Management and the City and Guilds of London Institute. She was Group Director Human Resources and a member of the executive committee at Centrica plc from 2002 until her retirement in 2011. Ms. Minto previously held senior management roles at Shell UK and Smiths Group plc and was Deputy Director-General of the Engineering Employers’ Federation. Based in the UK, Ms. Minto is a non-executive director of Shire plc (NASDAQ: SHPG; LSE: SHP) and a non-executive director of Tate &amp; Lyle plc (LSE: TATE) where she serves as Chairman of the Remuneration Committees of both companies. She is also a non-executive director of the Court of the University of Aberdeen and Vice Chairman of the University of Aberdeen Development Trust. She was awarded an OBE in 2000 for services to the engineering industry in the UK. The Company has concluded, based in part on Ms. Minto’s extensive experience as a member of international company boards and of management in the human resources field, together with her knowledge and experience of the European business and regulatory environment that she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-1674495</wp:posOffset>
            </wp:positionV>
            <wp:extent cx="1029335" cy="132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9335" cy="1320800"/>
                    </a:xfrm>
                    <a:prstGeom prst="rect">
                      <a:avLst/>
                    </a:prstGeom>
                    <a:noFill/>
                  </pic:spPr>
                </pic:pic>
              </a:graphicData>
            </a:graphic>
          </wp:anchor>
        </w:drawing>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2"/>
          <w:szCs w:val="22"/>
          <w:b w:val="1"/>
          <w:bCs w:val="1"/>
          <w:color w:val="508BC7"/>
        </w:rPr>
        <w:t>CORPORATE GOVERNANCE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Director Independence</w:t>
      </w:r>
    </w:p>
    <w:p>
      <w:pPr>
        <w:spacing w:after="0" w:line="220" w:lineRule="exact"/>
        <w:rPr>
          <w:sz w:val="20"/>
          <w:szCs w:val="20"/>
          <w:color w:val="auto"/>
        </w:rPr>
      </w:pPr>
    </w:p>
    <w:p>
      <w:pPr>
        <w:ind w:right="320" w:firstLine="324"/>
        <w:spacing w:after="0" w:line="246" w:lineRule="auto"/>
        <w:rPr>
          <w:sz w:val="20"/>
          <w:szCs w:val="20"/>
          <w:color w:val="auto"/>
        </w:rPr>
      </w:pPr>
      <w:r>
        <w:rPr>
          <w:rFonts w:ascii="Arial" w:cs="Arial" w:eastAsia="Arial" w:hAnsi="Arial"/>
          <w:sz w:val="18"/>
          <w:szCs w:val="18"/>
          <w:color w:val="auto"/>
        </w:rPr>
        <w:t>Our board of directors has determined that all of the members on our board of directors, other than Mr. Kapoor, meet the independence requirements of the Nasdaq Stock Market and federal securities 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Meeting Attendance</w:t>
      </w:r>
    </w:p>
    <w:p>
      <w:pPr>
        <w:spacing w:after="0" w:line="220" w:lineRule="exact"/>
        <w:rPr>
          <w:sz w:val="20"/>
          <w:szCs w:val="20"/>
          <w:color w:val="auto"/>
        </w:rPr>
      </w:pPr>
    </w:p>
    <w:p>
      <w:pPr>
        <w:ind w:right="60" w:firstLine="324"/>
        <w:spacing w:after="0" w:line="237" w:lineRule="auto"/>
        <w:rPr>
          <w:sz w:val="20"/>
          <w:szCs w:val="20"/>
          <w:color w:val="auto"/>
        </w:rPr>
      </w:pPr>
      <w:r>
        <w:rPr>
          <w:rFonts w:ascii="Arial" w:cs="Arial" w:eastAsia="Arial" w:hAnsi="Arial"/>
          <w:sz w:val="18"/>
          <w:szCs w:val="18"/>
          <w:color w:val="auto"/>
        </w:rPr>
        <w:t>Our directors are expected to attend all board of directors meetings and meetings of committees on which they serve. Directors are also expected to spend sufficient time and meet as frequently as necessary to discharge their responsibilities properly. Overall, during 2016, our board of directors met seven times. Each member of our board of directors attended at least 75% of the aggregate meetings of our board of directors and the committees on which they served during 2016. It is our policy that all of our directors should attend our Annual Meetings of Stockholders absent exceptional cause. All of the persons who were members of the board of directors at the time of our 2016 Annual Meeting of Stockholders attended such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Board Leadership Structure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of directors is currently led by Garen K. Staglin, our Chairman, and Rohit Kapoor, our Vice Chairman and CEO.</w:t>
      </w:r>
    </w:p>
    <w:p>
      <w:pPr>
        <w:spacing w:after="0" w:line="198"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Our by-laws provide that our Chairman or, in the absence of our Chairman, our Lead Director (if there is a Lead Director serving at such time), or in the absence of both our Chairman and Lead Director, our CEO, shall call meetings of our board of directors to order and shall act as the chairman thereof. In the absence of our Chairman, our Lead Director (if there is a Lead Director serving at such time), and our CEO, a majority of our directors present may elect as chairman of the meeting any director present. Independent directors meet at least quarterly in executive session without any management directors or members of the Company’s management present. The Lead Director or, in the absence of the Lead Director, a director chosen by the directors meeting in executive session, presides at all executive sessions.</w:t>
      </w:r>
    </w:p>
    <w:p>
      <w:pPr>
        <w:spacing w:after="0" w:line="192" w:lineRule="exact"/>
        <w:rPr>
          <w:sz w:val="20"/>
          <w:szCs w:val="20"/>
          <w:color w:val="auto"/>
        </w:rPr>
      </w:pPr>
    </w:p>
    <w:p>
      <w:pPr>
        <w:ind w:right="120" w:firstLine="324"/>
        <w:spacing w:after="0" w:line="237" w:lineRule="auto"/>
        <w:rPr>
          <w:sz w:val="20"/>
          <w:szCs w:val="20"/>
          <w:color w:val="auto"/>
        </w:rPr>
      </w:pPr>
      <w:r>
        <w:rPr>
          <w:rFonts w:ascii="Arial" w:cs="Arial" w:eastAsia="Arial" w:hAnsi="Arial"/>
          <w:sz w:val="18"/>
          <w:szCs w:val="18"/>
          <w:color w:val="auto"/>
        </w:rPr>
        <w:t>Consolidating the Vice Chairman and CEO positions allows our CEO to contribute his experience and perspective regarding management and leadership of the Company towards the goals of improved corporate governance and greater management accountability. In addition, the presence of our Chairman ensures that the board can retain sufficient delineation of responsibilities, such that our Chairman and our Vice Chairman and CEO may each successfully and effectively perform and discharge their respective duties and, as a corollary, enhance our prospects for success. The Company will thus benefit from the ability to integrate the collective leadership and corporate governance experience of our Chairman and our Vice Chairman and CEO, while retaining the ability to facilitate the functioning of the board of directors independently of our management and to focus on our commitment to corporate governance.</w:t>
      </w:r>
    </w:p>
    <w:p>
      <w:pPr>
        <w:spacing w:after="0" w:line="190" w:lineRule="exact"/>
        <w:rPr>
          <w:sz w:val="20"/>
          <w:szCs w:val="20"/>
          <w:color w:val="auto"/>
        </w:rPr>
      </w:pPr>
    </w:p>
    <w:p>
      <w:pPr>
        <w:jc w:val="both"/>
        <w:ind w:right="80" w:firstLine="324"/>
        <w:spacing w:after="0" w:line="246" w:lineRule="auto"/>
        <w:rPr>
          <w:sz w:val="20"/>
          <w:szCs w:val="20"/>
          <w:color w:val="auto"/>
        </w:rPr>
      </w:pPr>
      <w:r>
        <w:rPr>
          <w:rFonts w:ascii="Arial" w:cs="Arial" w:eastAsia="Arial" w:hAnsi="Arial"/>
          <w:sz w:val="18"/>
          <w:szCs w:val="18"/>
          <w:color w:val="auto"/>
        </w:rPr>
        <w:t>For the foregoing reasons, our board of directors has determined that its leadership structure is appropriate and in the best interests of our stockholders at this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Majority Voting in Director Elections</w:t>
      </w:r>
    </w:p>
    <w:p>
      <w:pPr>
        <w:spacing w:after="0" w:line="220" w:lineRule="exact"/>
        <w:rPr>
          <w:sz w:val="20"/>
          <w:szCs w:val="20"/>
          <w:color w:val="auto"/>
        </w:rPr>
      </w:pPr>
    </w:p>
    <w:p>
      <w:pPr>
        <w:jc w:val="both"/>
        <w:ind w:right="80" w:firstLine="324"/>
        <w:spacing w:after="0"/>
        <w:rPr>
          <w:sz w:val="20"/>
          <w:szCs w:val="20"/>
          <w:color w:val="auto"/>
        </w:rPr>
      </w:pPr>
      <w:r>
        <w:rPr>
          <w:rFonts w:ascii="Arial" w:cs="Arial" w:eastAsia="Arial" w:hAnsi="Arial"/>
          <w:sz w:val="18"/>
          <w:szCs w:val="18"/>
          <w:color w:val="auto"/>
        </w:rPr>
        <w:t>New for 2017, under our by-laws, directors who are standing for election in an uncontested election are elected by the affirmative vote of a majority of votes cast (meaning the number of shares voted “for” a nominee must exceed the number of shares voted “against” such nominee) in person or represented by proxy and entitled to vote at the meeting. If any</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9" w:right="259" w:bottom="1440" w:gutter="0" w:footer="0" w:header="0"/>
        </w:sectPr>
      </w:pPr>
    </w:p>
    <w:bookmarkStart w:id="18" w:name="page19"/>
    <w:bookmarkEnd w:id="18"/>
    <w:p>
      <w:pPr>
        <w:ind w:right="40"/>
        <w:spacing w:after="0" w:line="238" w:lineRule="auto"/>
        <w:rPr>
          <w:sz w:val="20"/>
          <w:szCs w:val="20"/>
          <w:color w:val="auto"/>
        </w:rPr>
      </w:pPr>
      <w:r>
        <w:rPr>
          <w:rFonts w:ascii="Arial" w:cs="Arial" w:eastAsia="Arial" w:hAnsi="Arial"/>
          <w:sz w:val="18"/>
          <w:szCs w:val="18"/>
          <w:color w:val="auto"/>
        </w:rPr>
        <w:t>incumbent nominee for director in an uncontested election receives a greater number of votes “against” his or her election than votes “for” such election, our by-laws provide that such person shall tender to the board of directors his or her resignation as a director. (In contested elections, directors will be elected by the affirmative vote of a plurality of votes cast in person or represented by proxy and entitled to vote at the Annual Meeting.) An uncontested election means an election in which the number of nominees for director is not greater than the number to be elected.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Committees</w:t>
      </w:r>
    </w:p>
    <w:p>
      <w:pPr>
        <w:spacing w:after="0" w:line="220" w:lineRule="exact"/>
        <w:rPr>
          <w:sz w:val="20"/>
          <w:szCs w:val="20"/>
          <w:color w:val="auto"/>
        </w:rPr>
      </w:pPr>
    </w:p>
    <w:p>
      <w:pPr>
        <w:ind w:right="100" w:firstLine="324"/>
        <w:spacing w:after="0" w:line="246" w:lineRule="auto"/>
        <w:rPr>
          <w:sz w:val="20"/>
          <w:szCs w:val="20"/>
          <w:color w:val="auto"/>
        </w:rPr>
      </w:pPr>
      <w:r>
        <w:rPr>
          <w:rFonts w:ascii="Arial" w:cs="Arial" w:eastAsia="Arial" w:hAnsi="Arial"/>
          <w:sz w:val="18"/>
          <w:szCs w:val="18"/>
          <w:color w:val="auto"/>
        </w:rPr>
        <w:t>Our board of directors currently has three standing committees: the Audit Committee, the Nominating and Governance Committee and the Compensation Committee.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Committee Composition</w:t>
      </w:r>
      <w:r>
        <w:rPr>
          <w:rFonts w:ascii="Arial" w:cs="Arial" w:eastAsia="Arial" w:hAnsi="Arial"/>
          <w:sz w:val="36"/>
          <w:szCs w:val="36"/>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20237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0237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3680" w:type="dxa"/>
            <w:vAlign w:val="bottom"/>
            <w:tcBorders>
              <w:top w:val="single" w:sz="8" w:color="auto"/>
              <w:right w:val="single" w:sz="8" w:color="auto"/>
            </w:tcBorders>
          </w:tcPr>
          <w:p>
            <w:pPr>
              <w:spacing w:after="0"/>
              <w:rPr>
                <w:sz w:val="16"/>
                <w:szCs w:val="16"/>
                <w:color w:val="auto"/>
              </w:rPr>
            </w:pPr>
          </w:p>
        </w:tc>
        <w:tc>
          <w:tcPr>
            <w:tcW w:w="2520" w:type="dxa"/>
            <w:vAlign w:val="bottom"/>
            <w:tcBorders>
              <w:top w:val="single" w:sz="8" w:color="auto"/>
              <w:right w:val="single" w:sz="8" w:color="auto"/>
            </w:tcBorders>
          </w:tcPr>
          <w:p>
            <w:pPr>
              <w:spacing w:after="0"/>
              <w:rPr>
                <w:sz w:val="16"/>
                <w:szCs w:val="16"/>
                <w:color w:val="auto"/>
              </w:rPr>
            </w:pPr>
          </w:p>
        </w:tc>
        <w:tc>
          <w:tcPr>
            <w:tcW w:w="2500" w:type="dxa"/>
            <w:vAlign w:val="bottom"/>
            <w:tcBorders>
              <w:top w:val="single" w:sz="8" w:color="auto"/>
              <w:right w:val="single" w:sz="8" w:color="auto"/>
            </w:tcBorders>
          </w:tcPr>
          <w:p>
            <w:pPr>
              <w:spacing w:after="0"/>
              <w:rPr>
                <w:sz w:val="16"/>
                <w:szCs w:val="16"/>
                <w:color w:val="auto"/>
              </w:rPr>
            </w:pPr>
          </w:p>
        </w:tc>
        <w:tc>
          <w:tcPr>
            <w:tcW w:w="272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9"/>
              </w:rPr>
              <w:t>Nominating and</w:t>
            </w:r>
          </w:p>
        </w:tc>
        <w:tc>
          <w:tcPr>
            <w:tcW w:w="0" w:type="dxa"/>
            <w:vAlign w:val="bottom"/>
          </w:tcPr>
          <w:p>
            <w:pPr>
              <w:spacing w:after="0"/>
              <w:rPr>
                <w:sz w:val="1"/>
                <w:szCs w:val="1"/>
                <w:color w:val="auto"/>
              </w:rPr>
            </w:pPr>
          </w:p>
        </w:tc>
      </w:tr>
      <w:tr>
        <w:trPr>
          <w:trHeight w:val="203"/>
        </w:trPr>
        <w:tc>
          <w:tcPr>
            <w:tcW w:w="3680" w:type="dxa"/>
            <w:vAlign w:val="bottom"/>
            <w:tcBorders>
              <w:right w:val="single" w:sz="8" w:color="auto"/>
            </w:tcBorders>
          </w:tcPr>
          <w:p>
            <w:pPr>
              <w:spacing w:after="0"/>
              <w:rPr>
                <w:sz w:val="17"/>
                <w:szCs w:val="17"/>
                <w:color w:val="auto"/>
              </w:rPr>
            </w:pPr>
          </w:p>
        </w:tc>
        <w:tc>
          <w:tcPr>
            <w:tcW w:w="2520" w:type="dxa"/>
            <w:vAlign w:val="bottom"/>
            <w:tcBorders>
              <w:right w:val="single" w:sz="8" w:color="auto"/>
            </w:tcBorders>
          </w:tcPr>
          <w:p>
            <w:pPr>
              <w:spacing w:after="0"/>
              <w:rPr>
                <w:sz w:val="17"/>
                <w:szCs w:val="17"/>
                <w:color w:val="auto"/>
              </w:rPr>
            </w:pPr>
          </w:p>
        </w:tc>
        <w:tc>
          <w:tcPr>
            <w:tcW w:w="2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Compensation</w:t>
            </w:r>
          </w:p>
        </w:tc>
        <w:tc>
          <w:tcPr>
            <w:tcW w:w="2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Corporate Governance</w:t>
            </w:r>
          </w:p>
        </w:tc>
        <w:tc>
          <w:tcPr>
            <w:tcW w:w="0" w:type="dxa"/>
            <w:vAlign w:val="bottom"/>
          </w:tcPr>
          <w:p>
            <w:pPr>
              <w:spacing w:after="0"/>
              <w:rPr>
                <w:sz w:val="1"/>
                <w:szCs w:val="1"/>
                <w:color w:val="auto"/>
              </w:rPr>
            </w:pPr>
          </w:p>
        </w:tc>
      </w:tr>
      <w:tr>
        <w:trPr>
          <w:trHeight w:val="225"/>
        </w:trPr>
        <w:tc>
          <w:tcPr>
            <w:tcW w:w="3680" w:type="dxa"/>
            <w:vAlign w:val="bottom"/>
            <w:tcBorders>
              <w:bottom w:val="single" w:sz="8" w:color="auto"/>
              <w:right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Audit Committee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Committee</w:t>
            </w: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Committee</w:t>
            </w:r>
          </w:p>
        </w:tc>
        <w:tc>
          <w:tcPr>
            <w:tcW w:w="0" w:type="dxa"/>
            <w:vAlign w:val="bottom"/>
          </w:tcPr>
          <w:p>
            <w:pPr>
              <w:spacing w:after="0"/>
              <w:rPr>
                <w:sz w:val="1"/>
                <w:szCs w:val="1"/>
                <w:color w:val="auto"/>
              </w:rPr>
            </w:pPr>
          </w:p>
        </w:tc>
      </w:tr>
      <w:tr>
        <w:trPr>
          <w:trHeight w:val="223"/>
        </w:trPr>
        <w:tc>
          <w:tcPr>
            <w:tcW w:w="3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David B. Kelso</w:t>
            </w:r>
          </w:p>
        </w:tc>
        <w:tc>
          <w:tcPr>
            <w:tcW w:w="252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2720" w:type="dxa"/>
            <w:vAlign w:val="bottom"/>
            <w:vMerge w:val="restart"/>
          </w:tcPr>
          <w:p>
            <w:pPr>
              <w:ind w:left="1120"/>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108"/>
        </w:trPr>
        <w:tc>
          <w:tcPr>
            <w:tcW w:w="3680" w:type="dxa"/>
            <w:vAlign w:val="bottom"/>
            <w:tcBorders>
              <w:bottom w:val="single" w:sz="8" w:color="auto"/>
              <w:right w:val="single" w:sz="8" w:color="auto"/>
            </w:tcBorders>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7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Deborah Kerr</w:t>
            </w:r>
          </w:p>
        </w:tc>
        <w:tc>
          <w:tcPr>
            <w:tcW w:w="252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68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Anne Minto</w:t>
            </w:r>
          </w:p>
        </w:tc>
        <w:tc>
          <w:tcPr>
            <w:tcW w:w="252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vMerge w:val="restart"/>
          </w:tcPr>
          <w:p>
            <w:pPr>
              <w:ind w:left="800"/>
              <w:spacing w:after="0"/>
              <w:rPr>
                <w:sz w:val="20"/>
                <w:szCs w:val="20"/>
                <w:color w:val="auto"/>
              </w:rPr>
            </w:pPr>
            <w:r>
              <w:rPr>
                <w:rFonts w:ascii="Arial" w:cs="Arial" w:eastAsia="Arial" w:hAnsi="Arial"/>
                <w:sz w:val="18"/>
                <w:szCs w:val="18"/>
                <w:color w:val="auto"/>
              </w:rPr>
              <w:t>(Chair)</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3680" w:type="dxa"/>
            <w:vAlign w:val="bottom"/>
            <w:tcBorders>
              <w:bottom w:val="single" w:sz="8" w:color="auto"/>
              <w:right w:val="single" w:sz="8" w:color="auto"/>
            </w:tcBorders>
          </w:tcPr>
          <w:p>
            <w:pPr>
              <w:spacing w:after="0"/>
              <w:rPr>
                <w:sz w:val="8"/>
                <w:szCs w:val="8"/>
                <w:color w:val="auto"/>
              </w:rPr>
            </w:pPr>
          </w:p>
        </w:tc>
        <w:tc>
          <w:tcPr>
            <w:tcW w:w="2520" w:type="dxa"/>
            <w:vAlign w:val="bottom"/>
            <w:tcBorders>
              <w:bottom w:val="single" w:sz="8" w:color="auto"/>
              <w:right w:val="single" w:sz="8" w:color="auto"/>
            </w:tcBorders>
          </w:tcPr>
          <w:p>
            <w:pPr>
              <w:spacing w:after="0"/>
              <w:rPr>
                <w:sz w:val="8"/>
                <w:szCs w:val="8"/>
                <w:color w:val="auto"/>
              </w:rPr>
            </w:pPr>
          </w:p>
        </w:tc>
        <w:tc>
          <w:tcPr>
            <w:tcW w:w="2500" w:type="dxa"/>
            <w:vAlign w:val="bottom"/>
            <w:tcBorders>
              <w:bottom w:val="single" w:sz="8" w:color="auto"/>
              <w:right w:val="single" w:sz="8" w:color="auto"/>
            </w:tcBorders>
            <w:vMerge w:val="continue"/>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Som Mittal</w:t>
            </w:r>
          </w:p>
        </w:tc>
        <w:tc>
          <w:tcPr>
            <w:tcW w:w="252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68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Clyde Ostler</w:t>
            </w:r>
          </w:p>
        </w:tc>
        <w:tc>
          <w:tcPr>
            <w:tcW w:w="2520" w:type="dxa"/>
            <w:vAlign w:val="bottom"/>
            <w:tcBorders>
              <w:right w:val="single" w:sz="8" w:color="auto"/>
            </w:tcBorders>
            <w:vMerge w:val="restart"/>
          </w:tcPr>
          <w:p>
            <w:pPr>
              <w:ind w:left="1040"/>
              <w:spacing w:after="0"/>
              <w:rPr>
                <w:sz w:val="20"/>
                <w:szCs w:val="20"/>
                <w:color w:val="auto"/>
              </w:rPr>
            </w:pPr>
            <w:r>
              <w:rPr>
                <w:rFonts w:ascii="Arial" w:cs="Arial" w:eastAsia="Arial" w:hAnsi="Arial"/>
                <w:sz w:val="18"/>
                <w:szCs w:val="18"/>
                <w:color w:val="auto"/>
              </w:rPr>
              <w:t>(Chair)</w:t>
            </w:r>
          </w:p>
        </w:tc>
        <w:tc>
          <w:tcPr>
            <w:tcW w:w="2500" w:type="dxa"/>
            <w:vAlign w:val="bottom"/>
            <w:tcBorders>
              <w:right w:val="single" w:sz="8" w:color="auto"/>
            </w:tcBorders>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3680" w:type="dxa"/>
            <w:vAlign w:val="bottom"/>
            <w:tcBorders>
              <w:bottom w:val="single" w:sz="8" w:color="auto"/>
              <w:right w:val="single" w:sz="8" w:color="auto"/>
            </w:tcBorders>
          </w:tcPr>
          <w:p>
            <w:pPr>
              <w:spacing w:after="0"/>
              <w:rPr>
                <w:sz w:val="9"/>
                <w:szCs w:val="9"/>
                <w:color w:val="auto"/>
              </w:rPr>
            </w:pPr>
          </w:p>
        </w:tc>
        <w:tc>
          <w:tcPr>
            <w:tcW w:w="2520" w:type="dxa"/>
            <w:vAlign w:val="bottom"/>
            <w:tcBorders>
              <w:bottom w:val="single" w:sz="8" w:color="auto"/>
              <w:right w:val="single" w:sz="8" w:color="auto"/>
            </w:tcBorders>
            <w:vMerge w:val="continue"/>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Nitin Sahney</w:t>
            </w:r>
          </w:p>
        </w:tc>
        <w:tc>
          <w:tcPr>
            <w:tcW w:w="252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68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Garen K. Staglin</w:t>
            </w:r>
          </w:p>
        </w:tc>
        <w:tc>
          <w:tcPr>
            <w:tcW w:w="252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68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128905</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Audit committee financial expert under applicable SEC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4490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  Our standing committees consist of independent directors. As such, Mr. Kapoor is not included in the table.</w:t>
      </w:r>
    </w:p>
    <w:p>
      <w:pPr>
        <w:spacing w:after="0" w:line="183" w:lineRule="exact"/>
        <w:rPr>
          <w:sz w:val="20"/>
          <w:szCs w:val="20"/>
          <w:color w:val="auto"/>
        </w:rPr>
      </w:pPr>
    </w:p>
    <w:p>
      <w:pPr>
        <w:ind w:right="80" w:firstLine="324"/>
        <w:spacing w:after="0" w:line="244"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oversees and assists our board of directors in fulfilling its oversight responsibilities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stock exchanges and others; our compliance with legal and regulatory requirements; our independent registered public accounting firm’s qualifications and independence; the audit of our financial statements; the performance of our internal audit function and independent registered public accounting firm; and the Company’s cyber security program and cyber strategy-related risks.</w:t>
      </w:r>
    </w:p>
    <w:p>
      <w:pPr>
        <w:spacing w:after="0" w:line="185" w:lineRule="exact"/>
        <w:rPr>
          <w:sz w:val="20"/>
          <w:szCs w:val="20"/>
          <w:color w:val="auto"/>
        </w:rPr>
      </w:pPr>
    </w:p>
    <w:p>
      <w:pPr>
        <w:ind w:right="100" w:firstLine="324"/>
        <w:spacing w:after="0" w:line="237" w:lineRule="auto"/>
        <w:rPr>
          <w:sz w:val="20"/>
          <w:szCs w:val="20"/>
          <w:color w:val="auto"/>
        </w:rPr>
      </w:pPr>
      <w:r>
        <w:rPr>
          <w:rFonts w:ascii="Arial" w:cs="Arial" w:eastAsia="Arial" w:hAnsi="Arial"/>
          <w:sz w:val="18"/>
          <w:szCs w:val="18"/>
          <w:color w:val="auto"/>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specified related-party transactions as required by the rules of the Nasdaq Stock Market, and oversees the Company’s cyber security program and cyber strategy-related risks. The Audit Committee was established in accordance with Section 3(a)(58)(A) of the Securities Exchange Act of 1934 (the “Exchange Act”). Our Audit Committee annually reviews and assesses the adequacy of the Audit Committee charter and its own performance. A copy of our Audit Committee charter can be found on our website at www.exlservice.com. Information on our website referred to in this proxy statement does not constitute a part of this proxy statement.</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right="440" w:firstLine="324"/>
        <w:spacing w:after="0" w:line="239" w:lineRule="auto"/>
        <w:rPr>
          <w:sz w:val="20"/>
          <w:szCs w:val="20"/>
          <w:color w:val="auto"/>
        </w:rPr>
      </w:pPr>
      <w:r>
        <w:rPr>
          <w:rFonts w:ascii="Arial" w:cs="Arial" w:eastAsia="Arial" w:hAnsi="Arial"/>
          <w:sz w:val="18"/>
          <w:szCs w:val="18"/>
          <w:color w:val="auto"/>
        </w:rPr>
        <w:t>The members of our Audit Committee are appointed by our board of directors. All members of our Audit Committee must also be recommended by our Nominating and Governance Committee. Our board of directors has determined that all of the members of the Audit Committee meet the independence and experience requirements of the Nasdaq Stock Market and the federal securities laws for audit committee membership. During 2016, our Audit Committee met six times.</w:t>
      </w:r>
    </w:p>
    <w:p>
      <w:pPr>
        <w:spacing w:after="0" w:line="166" w:lineRule="exact"/>
        <w:rPr>
          <w:sz w:val="20"/>
          <w:szCs w:val="20"/>
          <w:color w:val="auto"/>
        </w:rPr>
      </w:pPr>
    </w:p>
    <w:p>
      <w:pPr>
        <w:ind w:right="180" w:firstLine="324"/>
        <w:spacing w:after="0" w:line="244" w:lineRule="auto"/>
        <w:rPr>
          <w:sz w:val="20"/>
          <w:szCs w:val="20"/>
          <w:color w:val="auto"/>
        </w:rPr>
      </w:pPr>
      <w:r>
        <w:rPr>
          <w:rFonts w:ascii="Arial" w:cs="Arial" w:eastAsia="Arial" w:hAnsi="Arial"/>
          <w:sz w:val="18"/>
          <w:szCs w:val="18"/>
          <w:b w:val="1"/>
          <w:bCs w:val="1"/>
          <w:i w:val="1"/>
          <w:iCs w:val="1"/>
          <w:color w:val="auto"/>
        </w:rPr>
        <w:t xml:space="preserve">Nominating and Governance Committee. </w:t>
      </w:r>
      <w:r>
        <w:rPr>
          <w:rFonts w:ascii="Arial" w:cs="Arial" w:eastAsia="Arial" w:hAnsi="Arial"/>
          <w:sz w:val="18"/>
          <w:szCs w:val="18"/>
          <w:color w:val="auto"/>
        </w:rPr>
        <w:t>Our Nominating and Governance Committee identifies individuals qualified to become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of our board of directors (consistent with criteria approved by our board of directors), selects, or recommends that our board of directors select, candidates for election to our board of directors, develops and recommends to our board of directors Corporate Governance Guidelines that are applicable to us and oversees board of director and management evaluations. A copy of our Nominating and Governance Committee charter can be found on our website at www.exlservice.com.</w:t>
      </w:r>
    </w:p>
    <w:p>
      <w:pPr>
        <w:spacing w:after="0" w:line="185"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Our Nominating and Governance Committee has a policy, reflected in such committee’s charter, of considering director candidates recommended by our stockholders. Candidate recommendations should be sent to our Nominating and Governance Committee, c/o ExlService Holdings, Inc., 280 Park Avenue, 38th Floor, New York, New York 10017, Attention: Corporate Secretary. Our Nominating and Governance Committee evaluates all candidates in the same manner regardless of the source of the recommendation. Our Nominating and Governance Committee, in making its selection of director candidates, considers the appropriate skills and personal characteristics required in the light of the then-current makeup of our board of directors and in the context of our perceived needs at the time. The Nominating and Governance Committee considers a number of factors in selecting director candidates, including, among others, ethical standards and integrity; independence; diversity of professional and personal backgrounds; skills and experience; other public company directorships; and financial literacy and expertise; communication skills; and ability and willingness to comply with Company policies and procedures.</w:t>
      </w:r>
    </w:p>
    <w:p>
      <w:pPr>
        <w:spacing w:after="0" w:line="194" w:lineRule="exact"/>
        <w:rPr>
          <w:sz w:val="20"/>
          <w:szCs w:val="20"/>
          <w:color w:val="auto"/>
        </w:rPr>
      </w:pPr>
    </w:p>
    <w:p>
      <w:pPr>
        <w:ind w:right="80" w:firstLine="324"/>
        <w:spacing w:after="0"/>
        <w:rPr>
          <w:sz w:val="20"/>
          <w:szCs w:val="20"/>
          <w:color w:val="auto"/>
        </w:rPr>
      </w:pPr>
      <w:r>
        <w:rPr>
          <w:rFonts w:ascii="Arial" w:cs="Arial" w:eastAsia="Arial" w:hAnsi="Arial"/>
          <w:sz w:val="18"/>
          <w:szCs w:val="18"/>
          <w:color w:val="auto"/>
        </w:rPr>
        <w:t>Our Nominating and Governance Committee reviews written and oral information provided by and about candidates and considers any additional criteria it feels is appropriate to ensure that all director nominees possess appropriate skills and experience to serve as a member of our board of directors.</w:t>
      </w:r>
    </w:p>
    <w:p>
      <w:pPr>
        <w:spacing w:after="0" w:line="189" w:lineRule="exact"/>
        <w:rPr>
          <w:sz w:val="20"/>
          <w:szCs w:val="20"/>
          <w:color w:val="auto"/>
        </w:rPr>
      </w:pPr>
    </w:p>
    <w:p>
      <w:pPr>
        <w:ind w:right="40" w:firstLine="324"/>
        <w:spacing w:after="0" w:line="236" w:lineRule="auto"/>
        <w:rPr>
          <w:sz w:val="20"/>
          <w:szCs w:val="20"/>
          <w:color w:val="auto"/>
        </w:rPr>
      </w:pPr>
      <w:r>
        <w:rPr>
          <w:rFonts w:ascii="Arial" w:cs="Arial" w:eastAsia="Arial" w:hAnsi="Arial"/>
          <w:sz w:val="18"/>
          <w:szCs w:val="18"/>
          <w:color w:val="auto"/>
        </w:rPr>
        <w:t>Although our Nominating and Governance Committee does not have a formal policy with regard to diversity of board members, pursuant to our Corporate Governance Guidelines, our board of directors seeks members from diverse professional and personal backgrounds who combine a broad spectrum of experience and expertise with a reputation for integrity. This assessment includes an individual’s independence, as well as consideration of diversity, age, skills and experience in the context of the needs of the board of directors. Our Nominating and Governance Committee reviews and makes recommendations regarding the composition of our board of directors in order to ensure that the board has an appropriate breadth of expertise and its membership consists of persons with sufficiently diverse and independent skill sets and backgrounds. The Nominating and Governance Committee also oversees our director onboarding and training program, which provides new directors with training regarding the Company’s policies and procedures and specific requirements that may be needed based on the director’s committee memberships. Our Nominating and Governance Committee annually reviews and assesses the adequacy of the Nominating and Governance Committee charter and its own performance.</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0" w:name="page21"/>
    <w:bookmarkEnd w:id="20"/>
    <w:p>
      <w:pPr>
        <w:ind w:right="300" w:firstLine="324"/>
        <w:spacing w:after="0"/>
        <w:rPr>
          <w:sz w:val="20"/>
          <w:szCs w:val="20"/>
          <w:color w:val="auto"/>
        </w:rPr>
      </w:pPr>
      <w:r>
        <w:rPr>
          <w:rFonts w:ascii="Arial" w:cs="Arial" w:eastAsia="Arial" w:hAnsi="Arial"/>
          <w:sz w:val="18"/>
          <w:szCs w:val="18"/>
          <w:color w:val="auto"/>
        </w:rPr>
        <w:t>The members of our Nominating and Governance Committee are appointed by our board of directors. During 2016, our Nominating and Governance Committee met five times. Our board of directors has determined that all of the members of the Nominating and Governance Committee meet the independence requirements of the Nasdaq Stock Market and federal securities laws.</w:t>
      </w:r>
    </w:p>
    <w:p>
      <w:pPr>
        <w:spacing w:after="0" w:line="167" w:lineRule="exact"/>
        <w:rPr>
          <w:sz w:val="20"/>
          <w:szCs w:val="20"/>
          <w:color w:val="auto"/>
        </w:rPr>
      </w:pPr>
    </w:p>
    <w:p>
      <w:pPr>
        <w:ind w:right="20" w:firstLine="324"/>
        <w:spacing w:after="0" w:line="241"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reviews and recommends policies relating to compensation and benefits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officers and employees and is responsible for approving the compensation of our Vice Chairman and CEO and other executive officers. Our Compensation Committee also reviews, evaluates and makes recommendations to our board of directors with respect to our incentive compensation plans and equity-based plans and administers the issuance of awards under our equity incentive plans. Our Compensation Committee charter permits the committee to form and delegate authority to subcommittees when appropriate, provided that the subcommittees are composed entirely of directors who satisfy the applicable independence requirements of the Nasdaq Stock Market. Any such subcommittee must have a published committee charter.</w:t>
      </w:r>
    </w:p>
    <w:p>
      <w:pPr>
        <w:spacing w:after="0" w:line="188" w:lineRule="exact"/>
        <w:rPr>
          <w:sz w:val="20"/>
          <w:szCs w:val="20"/>
          <w:color w:val="auto"/>
        </w:rPr>
      </w:pPr>
    </w:p>
    <w:p>
      <w:pPr>
        <w:ind w:right="60" w:firstLine="324"/>
        <w:spacing w:after="0" w:line="236" w:lineRule="auto"/>
        <w:rPr>
          <w:sz w:val="20"/>
          <w:szCs w:val="20"/>
          <w:color w:val="auto"/>
        </w:rPr>
      </w:pPr>
      <w:r>
        <w:rPr>
          <w:rFonts w:ascii="Arial" w:cs="Arial" w:eastAsia="Arial" w:hAnsi="Arial"/>
          <w:sz w:val="18"/>
          <w:szCs w:val="18"/>
          <w:color w:val="auto"/>
        </w:rPr>
        <w:t>Our Compensation Committee charter also permits the committee to retain advisors, consultants or other professionals to assist the Compensation Committee to evaluate director, Vice Chairman and CEO or other senior executive compensation and to carry out its duties. For 2016, our Compensation Committee retained the services of Frederick W. Cook &amp; Co., Inc. (“FW Cook”), a qualified and independent compensation consultant, to aid the Compensation Committee in performing its review of executive compensation. Our Compensation Committee annually reviews and assesses the adequacy of the Compensation Committee charter and its own performance. Additional information regarding our Compensation Committee’s processes and procedures for considering executive compensation are addressed in the Compensation Discussion and Analysis below. A copy of our Compensation Committee charter can be found on our website at www.exlservice.com.</w:t>
      </w:r>
    </w:p>
    <w:p>
      <w:pPr>
        <w:spacing w:after="0" w:line="195" w:lineRule="exact"/>
        <w:rPr>
          <w:sz w:val="20"/>
          <w:szCs w:val="20"/>
          <w:color w:val="auto"/>
        </w:rPr>
      </w:pPr>
    </w:p>
    <w:p>
      <w:pPr>
        <w:ind w:right="60" w:firstLine="324"/>
        <w:spacing w:after="0" w:line="239" w:lineRule="auto"/>
        <w:rPr>
          <w:sz w:val="20"/>
          <w:szCs w:val="20"/>
          <w:color w:val="auto"/>
        </w:rPr>
      </w:pPr>
      <w:r>
        <w:rPr>
          <w:rFonts w:ascii="Arial" w:cs="Arial" w:eastAsia="Arial" w:hAnsi="Arial"/>
          <w:sz w:val="18"/>
          <w:szCs w:val="18"/>
          <w:color w:val="auto"/>
        </w:rPr>
        <w:t>The members of our Compensation Committee are appointed by our board of directors. All new members of our Compensation Committee must be recommended by our Nominating and Governance Committee. Our board of directors has determined that all members of the Compensation Committee meet the independence requirements of the Nasdaq Stock Market and federal securities laws for compensation committee membership. During 2016, our Compensation Committee met seven times.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Risk Oversight</w:t>
      </w:r>
    </w:p>
    <w:p>
      <w:pPr>
        <w:spacing w:after="0" w:line="220"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color w:val="auto"/>
        </w:rPr>
        <w:t>Our board of directors provides risk oversight. Our management assists the board in identifying strategic and operating risks that could affect the achievement of our business goals and objectives, assessing the likelihood and potential impact of these risks and proposing courses of action to mitigate and/or respond to these risks. These risks are reviewed and discussed periodically with the full board of directors as part of the business and operating review.</w:t>
      </w:r>
    </w:p>
    <w:p>
      <w:pPr>
        <w:spacing w:after="0" w:line="188" w:lineRule="exact"/>
        <w:rPr>
          <w:sz w:val="20"/>
          <w:szCs w:val="20"/>
          <w:color w:val="auto"/>
        </w:rPr>
      </w:pPr>
    </w:p>
    <w:p>
      <w:pPr>
        <w:ind w:right="140" w:firstLine="324"/>
        <w:spacing w:after="0" w:line="237" w:lineRule="auto"/>
        <w:rPr>
          <w:sz w:val="20"/>
          <w:szCs w:val="20"/>
          <w:color w:val="auto"/>
        </w:rPr>
      </w:pPr>
      <w:r>
        <w:rPr>
          <w:rFonts w:ascii="Arial" w:cs="Arial" w:eastAsia="Arial" w:hAnsi="Arial"/>
          <w:sz w:val="18"/>
          <w:szCs w:val="18"/>
          <w:color w:val="auto"/>
        </w:rPr>
        <w:t>Our management is responsible for management of our day-to-day risks, and, because we are exposed to financial risks in multiple areas of our business, day-to-day risk management activities and processes are performed by multiple members of our senior and other management. Our board of directors primarily relies on the Audit Committee for oversight of our risk management and cyber security risk. The Audit Committee regularly reviews and discusses with management our major financial risk and cyber security exposures and the steps management has taken to monitor, control and manage such exposures, including our risk assessment and risk management guidelines and policies. In addition, our management maintains, as part of our disclosure controls and procedures, a separate disclosure committee that, as part of its review of our quarterly and annual reports, helps facilitate understanding by</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right="380"/>
        <w:spacing w:after="0" w:line="246" w:lineRule="auto"/>
        <w:rPr>
          <w:sz w:val="20"/>
          <w:szCs w:val="20"/>
          <w:color w:val="auto"/>
        </w:rPr>
      </w:pPr>
      <w:r>
        <w:rPr>
          <w:rFonts w:ascii="Arial" w:cs="Arial" w:eastAsia="Arial" w:hAnsi="Arial"/>
          <w:sz w:val="18"/>
          <w:szCs w:val="18"/>
          <w:color w:val="auto"/>
        </w:rPr>
        <w:t>the Audit Committee and our full board of directors of new or changing risks affecting us. Once a year, the full board receives a report from management on the Company’s readiness and capability to prevent, detect and respond to a cyber-attack.</w:t>
      </w:r>
    </w:p>
    <w:p>
      <w:pPr>
        <w:spacing w:after="0" w:line="183" w:lineRule="exact"/>
        <w:rPr>
          <w:sz w:val="20"/>
          <w:szCs w:val="20"/>
          <w:color w:val="auto"/>
        </w:rPr>
      </w:pPr>
    </w:p>
    <w:p>
      <w:pPr>
        <w:ind w:right="160" w:firstLine="324"/>
        <w:spacing w:after="0" w:line="239" w:lineRule="auto"/>
        <w:rPr>
          <w:sz w:val="20"/>
          <w:szCs w:val="20"/>
          <w:color w:val="auto"/>
        </w:rPr>
      </w:pPr>
      <w:r>
        <w:rPr>
          <w:rFonts w:ascii="Arial" w:cs="Arial" w:eastAsia="Arial" w:hAnsi="Arial"/>
          <w:sz w:val="18"/>
          <w:szCs w:val="18"/>
          <w:color w:val="auto"/>
        </w:rPr>
        <w:t>In addition, in February 2017 we implemented our Risk Appetite Guidelines that describe certain categories of risk and qualitative and quantitative thresholds considered by the Company to be consistent with its strategic objectives. These guidelines are designed to serve as a reference in assessing and implementing strategy, and to be actionable by management such that they are meaningful from an operational perspective.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Compensation Committee Interlocks and Insider Participation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Ms. Kerr, Ms. Minto, Mr. Mittal, Mr. Ostler and Mr. Staglin are the members of our Compensation Committee.</w:t>
      </w:r>
    </w:p>
    <w:p>
      <w:pPr>
        <w:spacing w:after="0" w:line="198"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During 2016, none of our executive officers served as a member of the board of directors or compensation committee of any entity that has one or more executive officers who serve on our board of directors or Compensation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Other Directorships</w:t>
      </w:r>
    </w:p>
    <w:p>
      <w:pPr>
        <w:spacing w:after="0" w:line="220" w:lineRule="exact"/>
        <w:rPr>
          <w:sz w:val="20"/>
          <w:szCs w:val="20"/>
          <w:color w:val="auto"/>
        </w:rPr>
      </w:pPr>
    </w:p>
    <w:p>
      <w:pPr>
        <w:ind w:right="180" w:firstLine="324"/>
        <w:spacing w:after="0" w:line="246" w:lineRule="auto"/>
        <w:rPr>
          <w:sz w:val="20"/>
          <w:szCs w:val="20"/>
          <w:color w:val="auto"/>
        </w:rPr>
      </w:pPr>
      <w:r>
        <w:rPr>
          <w:rFonts w:ascii="Arial" w:cs="Arial" w:eastAsia="Arial" w:hAnsi="Arial"/>
          <w:sz w:val="18"/>
          <w:szCs w:val="18"/>
          <w:color w:val="auto"/>
        </w:rPr>
        <w:t>The Board maintains a practice whereby our directors disclose to the Board any offers to be a director of any other organization, which is then evaluated by the Board for potential business and other conflicts.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Code of Conduct and Ethics; Corporate Governance Guidelines</w:t>
      </w:r>
    </w:p>
    <w:p>
      <w:pPr>
        <w:spacing w:after="0" w:line="220" w:lineRule="exact"/>
        <w:rPr>
          <w:sz w:val="20"/>
          <w:szCs w:val="20"/>
          <w:color w:val="auto"/>
        </w:rPr>
      </w:pPr>
    </w:p>
    <w:p>
      <w:pPr>
        <w:ind w:right="100" w:firstLine="324"/>
        <w:spacing w:after="0" w:line="239" w:lineRule="auto"/>
        <w:rPr>
          <w:sz w:val="20"/>
          <w:szCs w:val="20"/>
          <w:color w:val="auto"/>
        </w:rPr>
      </w:pPr>
      <w:r>
        <w:rPr>
          <w:rFonts w:ascii="Arial" w:cs="Arial" w:eastAsia="Arial" w:hAnsi="Arial"/>
          <w:sz w:val="18"/>
          <w:szCs w:val="18"/>
          <w:color w:val="auto"/>
        </w:rPr>
        <w:t>Our board of directors has adopted a Code of Conduct and Ethics that is applicable to our directors, officers and employees and which outlines the high ethical standards that we support and details how our directors, officers and employees should conduct themselves when dealing with fellow employees, clients, suppliers, competitors and the general public. Our Code of Conduct and Ethics is reviewed annually by the Audit Committee. A copy of our Code of Conduct and Ethics can be found on our website at www.exlservice.com.</w:t>
      </w:r>
    </w:p>
    <w:p>
      <w:pPr>
        <w:spacing w:after="0" w:line="188" w:lineRule="exact"/>
        <w:rPr>
          <w:sz w:val="20"/>
          <w:szCs w:val="20"/>
          <w:color w:val="auto"/>
        </w:rPr>
      </w:pPr>
    </w:p>
    <w:p>
      <w:pPr>
        <w:ind w:right="200" w:firstLine="324"/>
        <w:spacing w:after="0" w:line="239" w:lineRule="auto"/>
        <w:rPr>
          <w:sz w:val="20"/>
          <w:szCs w:val="20"/>
          <w:color w:val="auto"/>
        </w:rPr>
      </w:pPr>
      <w:r>
        <w:rPr>
          <w:rFonts w:ascii="Arial" w:cs="Arial" w:eastAsia="Arial" w:hAnsi="Arial"/>
          <w:sz w:val="18"/>
          <w:szCs w:val="18"/>
          <w:color w:val="auto"/>
        </w:rPr>
        <w:t>Our board of directors has also adopted a set of Corporate Governance Guidelines to assist our board of directors in the exercise of its responsibilities. The Corporate Governance Guidelines reflect the commitment of our board of directors to monitor the effectiveness of policy and decision-making, both at the board and senior management levels, and to enhance stockholder value over the long term. A copy of our Corporate Governance Guidelines can be found on our website at www.exlservice.com.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Communications with the Board</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Stockholders interested in contacting our board of directors, our Chairman or any individual director are invited to do so by writing to:</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Board of Directors of ExlService Holdings, Inc.</w:t>
      </w:r>
    </w:p>
    <w:p>
      <w:pPr>
        <w:ind w:left="340"/>
        <w:spacing w:after="0" w:line="234" w:lineRule="auto"/>
        <w:rPr>
          <w:sz w:val="20"/>
          <w:szCs w:val="20"/>
          <w:color w:val="auto"/>
        </w:rPr>
      </w:pPr>
      <w:r>
        <w:rPr>
          <w:rFonts w:ascii="Arial" w:cs="Arial" w:eastAsia="Arial" w:hAnsi="Arial"/>
          <w:sz w:val="18"/>
          <w:szCs w:val="18"/>
          <w:color w:val="auto"/>
        </w:rPr>
        <w:t>c/o Corporate Secretary</w:t>
      </w:r>
    </w:p>
    <w:p>
      <w:pPr>
        <w:ind w:left="340"/>
        <w:spacing w:after="0" w:line="235" w:lineRule="auto"/>
        <w:rPr>
          <w:sz w:val="20"/>
          <w:szCs w:val="20"/>
          <w:color w:val="auto"/>
        </w:rPr>
      </w:pPr>
      <w:r>
        <w:rPr>
          <w:rFonts w:ascii="Arial" w:cs="Arial" w:eastAsia="Arial" w:hAnsi="Arial"/>
          <w:sz w:val="18"/>
          <w:szCs w:val="18"/>
          <w:color w:val="auto"/>
        </w:rPr>
        <w:t>ExlService Holdings, Inc.</w:t>
      </w:r>
    </w:p>
    <w:p>
      <w:pPr>
        <w:ind w:left="340"/>
        <w:spacing w:after="0" w:line="181" w:lineRule="auto"/>
        <w:rPr>
          <w:sz w:val="20"/>
          <w:szCs w:val="20"/>
          <w:color w:val="auto"/>
        </w:rPr>
      </w:pPr>
      <w:r>
        <w:rPr>
          <w:rFonts w:ascii="Arial" w:cs="Arial" w:eastAsia="Arial" w:hAnsi="Arial"/>
          <w:sz w:val="17"/>
          <w:szCs w:val="17"/>
          <w:color w:val="auto"/>
        </w:rPr>
        <w:t>280 Park Avenue, 38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New York 10017</w:t>
      </w:r>
    </w:p>
    <w:p>
      <w:pPr>
        <w:spacing w:after="0" w:line="198" w:lineRule="exact"/>
        <w:rPr>
          <w:sz w:val="20"/>
          <w:szCs w:val="20"/>
          <w:color w:val="auto"/>
        </w:rPr>
      </w:pPr>
    </w:p>
    <w:p>
      <w:pPr>
        <w:ind w:right="260" w:firstLine="324"/>
        <w:spacing w:after="0" w:line="246" w:lineRule="auto"/>
        <w:rPr>
          <w:sz w:val="20"/>
          <w:szCs w:val="20"/>
          <w:color w:val="auto"/>
        </w:rPr>
      </w:pPr>
      <w:r>
        <w:rPr>
          <w:rFonts w:ascii="Arial" w:cs="Arial" w:eastAsia="Arial" w:hAnsi="Arial"/>
          <w:sz w:val="18"/>
          <w:szCs w:val="18"/>
          <w:color w:val="auto"/>
        </w:rPr>
        <w:t>All other stockholder communications addressed to our board of directors will be referred to our Chairman and tracked by our Corporate Secretary. Stockholder communications specifically addressed to a particular director will be referred to that director.</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2" w:name="page23"/>
    <w:bookmarkEnd w:id="22"/>
    <w:p>
      <w:pPr>
        <w:ind w:right="100" w:firstLine="324"/>
        <w:spacing w:after="0"/>
        <w:rPr>
          <w:sz w:val="20"/>
          <w:szCs w:val="20"/>
          <w:color w:val="auto"/>
        </w:rPr>
      </w:pPr>
      <w:r>
        <w:rPr>
          <w:rFonts w:ascii="Arial" w:cs="Arial" w:eastAsia="Arial" w:hAnsi="Arial"/>
          <w:sz w:val="18"/>
          <w:szCs w:val="18"/>
          <w:color w:val="auto"/>
        </w:rPr>
        <w:t>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Audit Committee of the Board of Directors</w:t>
      </w:r>
    </w:p>
    <w:p>
      <w:pPr>
        <w:ind w:left="340"/>
        <w:spacing w:after="0" w:line="235" w:lineRule="auto"/>
        <w:rPr>
          <w:sz w:val="20"/>
          <w:szCs w:val="20"/>
          <w:color w:val="auto"/>
        </w:rPr>
      </w:pPr>
      <w:r>
        <w:rPr>
          <w:rFonts w:ascii="Arial" w:cs="Arial" w:eastAsia="Arial" w:hAnsi="Arial"/>
          <w:sz w:val="18"/>
          <w:szCs w:val="18"/>
          <w:color w:val="auto"/>
        </w:rPr>
        <w:t>ExlService Holdings, Inc.</w:t>
      </w:r>
    </w:p>
    <w:p>
      <w:pPr>
        <w:ind w:left="340"/>
        <w:spacing w:after="0" w:line="181" w:lineRule="auto"/>
        <w:rPr>
          <w:sz w:val="20"/>
          <w:szCs w:val="20"/>
          <w:color w:val="auto"/>
        </w:rPr>
      </w:pPr>
      <w:r>
        <w:rPr>
          <w:rFonts w:ascii="Arial" w:cs="Arial" w:eastAsia="Arial" w:hAnsi="Arial"/>
          <w:sz w:val="17"/>
          <w:szCs w:val="17"/>
          <w:color w:val="auto"/>
        </w:rPr>
        <w:t>280 Park Avenue, 38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ind w:left="340"/>
        <w:spacing w:after="0" w:line="235" w:lineRule="auto"/>
        <w:rPr>
          <w:sz w:val="20"/>
          <w:szCs w:val="20"/>
          <w:color w:val="auto"/>
        </w:rPr>
      </w:pPr>
      <w:r>
        <w:rPr>
          <w:rFonts w:ascii="Arial" w:cs="Arial" w:eastAsia="Arial" w:hAnsi="Arial"/>
          <w:sz w:val="18"/>
          <w:szCs w:val="18"/>
          <w:color w:val="auto"/>
        </w:rPr>
        <w:t>New York, New York 10017</w:t>
      </w:r>
    </w:p>
    <w:p>
      <w:pPr>
        <w:ind w:left="340"/>
        <w:spacing w:after="0"/>
        <w:rPr>
          <w:sz w:val="20"/>
          <w:szCs w:val="20"/>
          <w:color w:val="auto"/>
        </w:rPr>
      </w:pPr>
      <w:r>
        <w:rPr>
          <w:rFonts w:ascii="Arial" w:cs="Arial" w:eastAsia="Arial" w:hAnsi="Arial"/>
          <w:sz w:val="18"/>
          <w:szCs w:val="18"/>
          <w:color w:val="auto"/>
        </w:rPr>
        <w:t>Attn: General Counsel</w:t>
      </w:r>
    </w:p>
    <w:p>
      <w:pPr>
        <w:spacing w:after="0" w:line="198" w:lineRule="exact"/>
        <w:rPr>
          <w:sz w:val="20"/>
          <w:szCs w:val="20"/>
          <w:color w:val="auto"/>
        </w:rPr>
      </w:pPr>
    </w:p>
    <w:p>
      <w:pPr>
        <w:ind w:right="140" w:firstLine="324"/>
        <w:spacing w:after="0" w:line="239" w:lineRule="auto"/>
        <w:rPr>
          <w:sz w:val="20"/>
          <w:szCs w:val="20"/>
          <w:color w:val="auto"/>
        </w:rPr>
      </w:pPr>
      <w:r>
        <w:rPr>
          <w:rFonts w:ascii="Arial" w:cs="Arial" w:eastAsia="Arial" w:hAnsi="Arial"/>
          <w:sz w:val="18"/>
          <w:szCs w:val="18"/>
          <w:color w:val="auto"/>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periodic summary reports of all such communications for our 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Section 16(a) Beneficial Ownership Reporting Compliance</w:t>
      </w:r>
    </w:p>
    <w:p>
      <w:pPr>
        <w:spacing w:after="0" w:line="220"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on Forms 3, 4 and 5 with the SEC. Officers and directors are required to furnish us with copies of all Forms 3, 4 and 5 they file. Based solely on a review of the reports furnished to us, or written representations from reporting persons that all reportable transaction were reported, the Company’s officers, directors and greater than ten percent owners timely filed all reports they were required to file under Section 16(a) with respect to transactions during fiscal year 2016.</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86"/>
        </w:trPr>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520" w:type="dxa"/>
            <w:vAlign w:val="bottom"/>
          </w:tcPr>
          <w:p>
            <w:pPr>
              <w:ind w:left="1360"/>
              <w:spacing w:after="0"/>
              <w:rPr>
                <w:sz w:val="20"/>
                <w:szCs w:val="20"/>
                <w:color w:val="auto"/>
              </w:rPr>
            </w:pPr>
            <w:r>
              <w:rPr>
                <w:rFonts w:ascii="Arial" w:cs="Arial" w:eastAsia="Arial" w:hAnsi="Arial"/>
                <w:sz w:val="22"/>
                <w:szCs w:val="22"/>
                <w:b w:val="1"/>
                <w:bCs w:val="1"/>
                <w:color w:val="508BC7"/>
              </w:rPr>
              <w:t>OUR EXECUTIVE OFFICERS</w:t>
            </w:r>
          </w:p>
        </w:tc>
      </w:tr>
      <w:tr>
        <w:trPr>
          <w:trHeight w:val="193"/>
        </w:trPr>
        <w:tc>
          <w:tcPr>
            <w:tcW w:w="1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520" w:type="dxa"/>
            <w:vAlign w:val="bottom"/>
          </w:tcPr>
          <w:p>
            <w:pPr>
              <w:spacing w:after="0"/>
              <w:rPr>
                <w:sz w:val="16"/>
                <w:szCs w:val="16"/>
                <w:color w:val="auto"/>
              </w:rPr>
            </w:pPr>
          </w:p>
        </w:tc>
      </w:tr>
      <w:tr>
        <w:trPr>
          <w:trHeight w:val="250"/>
        </w:trPr>
        <w:tc>
          <w:tcPr>
            <w:tcW w:w="1440" w:type="dxa"/>
            <w:vAlign w:val="bottom"/>
            <w:tcBorders>
              <w:bottom w:val="single" w:sz="8" w:color="508BC7"/>
            </w:tcBorders>
            <w:shd w:val="clear" w:color="auto" w:fill="508BC7"/>
          </w:tcPr>
          <w:p>
            <w:pPr>
              <w:ind w:left="460"/>
              <w:spacing w:after="0"/>
              <w:rPr>
                <w:sz w:val="20"/>
                <w:szCs w:val="20"/>
                <w:color w:val="auto"/>
              </w:rPr>
            </w:pPr>
            <w:r>
              <w:rPr>
                <w:rFonts w:ascii="Arial" w:cs="Arial" w:eastAsia="Arial" w:hAnsi="Arial"/>
                <w:sz w:val="18"/>
                <w:szCs w:val="18"/>
                <w:b w:val="1"/>
                <w:bCs w:val="1"/>
                <w:color w:val="FFFFFF"/>
              </w:rPr>
              <w:t>Name</w:t>
            </w:r>
          </w:p>
        </w:tc>
        <w:tc>
          <w:tcPr>
            <w:tcW w:w="1460" w:type="dxa"/>
            <w:vAlign w:val="bottom"/>
            <w:tcBorders>
              <w:bottom w:val="single" w:sz="8" w:color="508BC7"/>
            </w:tcBorders>
            <w:shd w:val="clear" w:color="auto" w:fill="508BC7"/>
          </w:tcPr>
          <w:p>
            <w:pPr>
              <w:ind w:left="400"/>
              <w:spacing w:after="0"/>
              <w:rPr>
                <w:sz w:val="20"/>
                <w:szCs w:val="20"/>
                <w:color w:val="auto"/>
              </w:rPr>
            </w:pPr>
            <w:r>
              <w:rPr>
                <w:rFonts w:ascii="Arial" w:cs="Arial" w:eastAsia="Arial" w:hAnsi="Arial"/>
                <w:sz w:val="18"/>
                <w:szCs w:val="18"/>
                <w:b w:val="1"/>
                <w:bCs w:val="1"/>
                <w:color w:val="FFFFFF"/>
              </w:rPr>
              <w:t>Position</w:t>
            </w:r>
          </w:p>
        </w:tc>
        <w:tc>
          <w:tcPr>
            <w:tcW w:w="8520" w:type="dxa"/>
            <w:vAlign w:val="bottom"/>
            <w:tcBorders>
              <w:bottom w:val="single" w:sz="8" w:color="508BC7"/>
            </w:tcBorders>
            <w:shd w:val="clear" w:color="auto" w:fill="508BC7"/>
          </w:tcPr>
          <w:p>
            <w:pPr>
              <w:ind w:left="3240"/>
              <w:spacing w:after="0"/>
              <w:rPr>
                <w:sz w:val="20"/>
                <w:szCs w:val="20"/>
                <w:color w:val="auto"/>
              </w:rPr>
            </w:pPr>
            <w:r>
              <w:rPr>
                <w:rFonts w:ascii="Arial" w:cs="Arial" w:eastAsia="Arial" w:hAnsi="Arial"/>
                <w:sz w:val="18"/>
                <w:szCs w:val="18"/>
                <w:b w:val="1"/>
                <w:bCs w:val="1"/>
                <w:color w:val="FFFFFF"/>
              </w:rPr>
              <w:t>Biographical Information</w:t>
            </w:r>
          </w:p>
        </w:tc>
      </w:tr>
      <w:tr>
        <w:trPr>
          <w:trHeight w:val="202"/>
        </w:trPr>
        <w:tc>
          <w:tcPr>
            <w:tcW w:w="1440" w:type="dxa"/>
            <w:vAlign w:val="bottom"/>
          </w:tcPr>
          <w:p>
            <w:pPr>
              <w:ind w:left="20"/>
              <w:spacing w:after="0" w:line="201" w:lineRule="exact"/>
              <w:rPr>
                <w:sz w:val="20"/>
                <w:szCs w:val="20"/>
                <w:color w:val="auto"/>
              </w:rPr>
            </w:pPr>
            <w:r>
              <w:rPr>
                <w:rFonts w:ascii="Arial" w:cs="Arial" w:eastAsia="Arial" w:hAnsi="Arial"/>
                <w:sz w:val="18"/>
                <w:szCs w:val="18"/>
                <w:color w:val="auto"/>
              </w:rPr>
              <w:t>Rohit Kapoor</w:t>
            </w:r>
          </w:p>
        </w:tc>
        <w:tc>
          <w:tcPr>
            <w:tcW w:w="1460" w:type="dxa"/>
            <w:vAlign w:val="bottom"/>
          </w:tcPr>
          <w:p>
            <w:pPr>
              <w:ind w:left="80"/>
              <w:spacing w:after="0" w:line="201" w:lineRule="exact"/>
              <w:rPr>
                <w:sz w:val="20"/>
                <w:szCs w:val="20"/>
                <w:color w:val="auto"/>
              </w:rPr>
            </w:pPr>
            <w:r>
              <w:rPr>
                <w:rFonts w:ascii="Arial" w:cs="Arial" w:eastAsia="Arial" w:hAnsi="Arial"/>
                <w:sz w:val="18"/>
                <w:szCs w:val="18"/>
                <w:color w:val="auto"/>
              </w:rPr>
              <w:t>Vice Chairman</w:t>
            </w:r>
          </w:p>
        </w:tc>
        <w:tc>
          <w:tcPr>
            <w:tcW w:w="8520" w:type="dxa"/>
            <w:vAlign w:val="bottom"/>
          </w:tcPr>
          <w:p>
            <w:pPr>
              <w:ind w:left="100"/>
              <w:spacing w:after="0" w:line="201" w:lineRule="exact"/>
              <w:rPr>
                <w:sz w:val="20"/>
                <w:szCs w:val="20"/>
                <w:color w:val="auto"/>
              </w:rPr>
            </w:pPr>
            <w:r>
              <w:rPr>
                <w:rFonts w:ascii="Arial" w:cs="Arial" w:eastAsia="Arial" w:hAnsi="Arial"/>
                <w:sz w:val="18"/>
                <w:szCs w:val="18"/>
                <w:color w:val="auto"/>
              </w:rPr>
              <w:t>See section entitled “Our Board of Directors” above.</w:t>
            </w:r>
          </w:p>
        </w:tc>
      </w:tr>
      <w:tr>
        <w:trPr>
          <w:trHeight w:val="217"/>
        </w:trPr>
        <w:tc>
          <w:tcPr>
            <w:tcW w:w="1440" w:type="dxa"/>
            <w:vAlign w:val="bottom"/>
          </w:tcPr>
          <w:p>
            <w:pPr>
              <w:ind w:left="20"/>
              <w:spacing w:after="0"/>
              <w:rPr>
                <w:sz w:val="20"/>
                <w:szCs w:val="20"/>
                <w:color w:val="auto"/>
              </w:rPr>
            </w:pPr>
            <w:r>
              <w:rPr>
                <w:rFonts w:ascii="Arial" w:cs="Arial" w:eastAsia="Arial" w:hAnsi="Arial"/>
                <w:sz w:val="18"/>
                <w:szCs w:val="18"/>
                <w:color w:val="auto"/>
              </w:rPr>
              <w:t>(age 52)</w:t>
            </w:r>
          </w:p>
        </w:tc>
        <w:tc>
          <w:tcPr>
            <w:tcW w:w="1460" w:type="dxa"/>
            <w:vAlign w:val="bottom"/>
          </w:tcPr>
          <w:p>
            <w:pPr>
              <w:ind w:left="80"/>
              <w:spacing w:after="0"/>
              <w:rPr>
                <w:sz w:val="20"/>
                <w:szCs w:val="20"/>
                <w:color w:val="auto"/>
              </w:rPr>
            </w:pPr>
            <w:r>
              <w:rPr>
                <w:rFonts w:ascii="Arial" w:cs="Arial" w:eastAsia="Arial" w:hAnsi="Arial"/>
                <w:sz w:val="18"/>
                <w:szCs w:val="18"/>
                <w:color w:val="auto"/>
              </w:rPr>
              <w:t>and CEO</w:t>
            </w:r>
          </w:p>
        </w:tc>
        <w:tc>
          <w:tcPr>
            <w:tcW w:w="8520" w:type="dxa"/>
            <w:vAlign w:val="bottom"/>
          </w:tcPr>
          <w:p>
            <w:pPr>
              <w:spacing w:after="0"/>
              <w:rPr>
                <w:sz w:val="18"/>
                <w:szCs w:val="18"/>
                <w:color w:val="auto"/>
              </w:rPr>
            </w:pPr>
          </w:p>
        </w:tc>
      </w:tr>
      <w:tr>
        <w:trPr>
          <w:trHeight w:val="41"/>
        </w:trPr>
        <w:tc>
          <w:tcPr>
            <w:tcW w:w="1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520" w:type="dxa"/>
            <w:vAlign w:val="bottom"/>
          </w:tcPr>
          <w:p>
            <w:pPr>
              <w:spacing w:after="0"/>
              <w:rPr>
                <w:sz w:val="3"/>
                <w:szCs w:val="3"/>
                <w:color w:val="auto"/>
              </w:rPr>
            </w:pPr>
          </w:p>
        </w:tc>
      </w:tr>
      <w:tr>
        <w:trPr>
          <w:trHeight w:val="202"/>
        </w:trPr>
        <w:tc>
          <w:tcPr>
            <w:tcW w:w="1440" w:type="dxa"/>
            <w:vAlign w:val="bottom"/>
            <w:shd w:val="clear" w:color="auto" w:fill="D0E0F0"/>
          </w:tcPr>
          <w:p>
            <w:pPr>
              <w:ind w:left="20"/>
              <w:spacing w:after="0" w:line="201" w:lineRule="exact"/>
              <w:rPr>
                <w:sz w:val="20"/>
                <w:szCs w:val="20"/>
                <w:color w:val="auto"/>
              </w:rPr>
            </w:pPr>
            <w:r>
              <w:rPr>
                <w:rFonts w:ascii="Arial" w:cs="Arial" w:eastAsia="Arial" w:hAnsi="Arial"/>
                <w:sz w:val="18"/>
                <w:szCs w:val="18"/>
                <w:color w:val="auto"/>
              </w:rPr>
              <w:t>Pavan Bagai</w:t>
            </w:r>
          </w:p>
        </w:tc>
        <w:tc>
          <w:tcPr>
            <w:tcW w:w="1460" w:type="dxa"/>
            <w:vAlign w:val="bottom"/>
            <w:shd w:val="clear" w:color="auto" w:fill="D0E0F0"/>
          </w:tcPr>
          <w:p>
            <w:pPr>
              <w:ind w:left="80"/>
              <w:spacing w:after="0" w:line="201" w:lineRule="exact"/>
              <w:rPr>
                <w:sz w:val="20"/>
                <w:szCs w:val="20"/>
                <w:color w:val="auto"/>
              </w:rPr>
            </w:pPr>
            <w:r>
              <w:rPr>
                <w:rFonts w:ascii="Arial" w:cs="Arial" w:eastAsia="Arial" w:hAnsi="Arial"/>
                <w:sz w:val="18"/>
                <w:szCs w:val="18"/>
                <w:color w:val="auto"/>
              </w:rPr>
              <w:t>President and</w:t>
            </w:r>
          </w:p>
        </w:tc>
        <w:tc>
          <w:tcPr>
            <w:tcW w:w="8520" w:type="dxa"/>
            <w:vAlign w:val="bottom"/>
            <w:shd w:val="clear" w:color="auto" w:fill="D0E0F0"/>
          </w:tcPr>
          <w:p>
            <w:pPr>
              <w:ind w:left="100"/>
              <w:spacing w:after="0" w:line="201" w:lineRule="exact"/>
              <w:rPr>
                <w:sz w:val="20"/>
                <w:szCs w:val="20"/>
                <w:color w:val="auto"/>
              </w:rPr>
            </w:pPr>
            <w:r>
              <w:rPr>
                <w:rFonts w:ascii="Arial" w:cs="Arial" w:eastAsia="Arial" w:hAnsi="Arial"/>
                <w:sz w:val="18"/>
                <w:szCs w:val="18"/>
                <w:color w:val="auto"/>
              </w:rPr>
              <w:t>Mr. Bagai has served as our President and Chief Operating Officer since April 2012, as our Chief</w:t>
            </w:r>
          </w:p>
        </w:tc>
      </w:tr>
      <w:tr>
        <w:trPr>
          <w:trHeight w:val="203"/>
        </w:trPr>
        <w:tc>
          <w:tcPr>
            <w:tcW w:w="1440" w:type="dxa"/>
            <w:vAlign w:val="bottom"/>
            <w:shd w:val="clear" w:color="auto" w:fill="D0E0F0"/>
          </w:tcPr>
          <w:p>
            <w:pPr>
              <w:ind w:left="20"/>
              <w:spacing w:after="0" w:line="202" w:lineRule="exact"/>
              <w:rPr>
                <w:sz w:val="20"/>
                <w:szCs w:val="20"/>
                <w:color w:val="auto"/>
              </w:rPr>
            </w:pPr>
            <w:r>
              <w:rPr>
                <w:rFonts w:ascii="Arial" w:cs="Arial" w:eastAsia="Arial" w:hAnsi="Arial"/>
                <w:sz w:val="18"/>
                <w:szCs w:val="18"/>
                <w:color w:val="auto"/>
              </w:rPr>
              <w:t>(age 55)</w:t>
            </w:r>
          </w:p>
        </w:tc>
        <w:tc>
          <w:tcPr>
            <w:tcW w:w="1460" w:type="dxa"/>
            <w:vAlign w:val="bottom"/>
            <w:shd w:val="clear" w:color="auto" w:fill="D0E0F0"/>
          </w:tcPr>
          <w:p>
            <w:pPr>
              <w:ind w:left="80"/>
              <w:spacing w:after="0" w:line="202" w:lineRule="exact"/>
              <w:rPr>
                <w:sz w:val="20"/>
                <w:szCs w:val="20"/>
                <w:color w:val="auto"/>
              </w:rPr>
            </w:pPr>
            <w:r>
              <w:rPr>
                <w:rFonts w:ascii="Arial" w:cs="Arial" w:eastAsia="Arial" w:hAnsi="Arial"/>
                <w:sz w:val="18"/>
                <w:szCs w:val="18"/>
                <w:color w:val="auto"/>
              </w:rPr>
              <w:t>Chief Operating</w:t>
            </w:r>
          </w:p>
        </w:tc>
        <w:tc>
          <w:tcPr>
            <w:tcW w:w="85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Operating Officer from May 2008 to March 2012 and as Vice President, Head of Outsourcing Services of</w:t>
            </w:r>
          </w:p>
        </w:tc>
      </w:tr>
      <w:tr>
        <w:trPr>
          <w:trHeight w:val="203"/>
        </w:trPr>
        <w:tc>
          <w:tcPr>
            <w:tcW w:w="1440" w:type="dxa"/>
            <w:vAlign w:val="bottom"/>
            <w:shd w:val="clear" w:color="auto" w:fill="D0E0F0"/>
          </w:tcPr>
          <w:p>
            <w:pPr>
              <w:spacing w:after="0"/>
              <w:rPr>
                <w:sz w:val="17"/>
                <w:szCs w:val="17"/>
                <w:color w:val="auto"/>
              </w:rPr>
            </w:pPr>
          </w:p>
        </w:tc>
        <w:tc>
          <w:tcPr>
            <w:tcW w:w="1460" w:type="dxa"/>
            <w:vAlign w:val="bottom"/>
            <w:shd w:val="clear" w:color="auto" w:fill="D0E0F0"/>
          </w:tcPr>
          <w:p>
            <w:pPr>
              <w:ind w:left="80"/>
              <w:spacing w:after="0" w:line="202" w:lineRule="exact"/>
              <w:rPr>
                <w:sz w:val="20"/>
                <w:szCs w:val="20"/>
                <w:color w:val="auto"/>
              </w:rPr>
            </w:pPr>
            <w:r>
              <w:rPr>
                <w:rFonts w:ascii="Arial" w:cs="Arial" w:eastAsia="Arial" w:hAnsi="Arial"/>
                <w:sz w:val="18"/>
                <w:szCs w:val="18"/>
                <w:color w:val="auto"/>
              </w:rPr>
              <w:t>Officer</w:t>
            </w:r>
          </w:p>
        </w:tc>
        <w:tc>
          <w:tcPr>
            <w:tcW w:w="85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EXL India from June 2006 until April 2008. He previously served as Vice President, Research and</w:t>
            </w:r>
          </w:p>
        </w:tc>
      </w:tr>
      <w:tr>
        <w:trPr>
          <w:trHeight w:val="203"/>
        </w:trPr>
        <w:tc>
          <w:tcPr>
            <w:tcW w:w="1440" w:type="dxa"/>
            <w:vAlign w:val="bottom"/>
            <w:shd w:val="clear" w:color="auto" w:fill="D0E0F0"/>
          </w:tcPr>
          <w:p>
            <w:pPr>
              <w:spacing w:after="0"/>
              <w:rPr>
                <w:sz w:val="17"/>
                <w:szCs w:val="17"/>
                <w:color w:val="auto"/>
              </w:rPr>
            </w:pPr>
          </w:p>
        </w:tc>
        <w:tc>
          <w:tcPr>
            <w:tcW w:w="1460" w:type="dxa"/>
            <w:vAlign w:val="bottom"/>
            <w:shd w:val="clear" w:color="auto" w:fill="D0E0F0"/>
          </w:tcPr>
          <w:p>
            <w:pPr>
              <w:spacing w:after="0"/>
              <w:rPr>
                <w:sz w:val="17"/>
                <w:szCs w:val="17"/>
                <w:color w:val="auto"/>
              </w:rPr>
            </w:pPr>
          </w:p>
        </w:tc>
        <w:tc>
          <w:tcPr>
            <w:tcW w:w="85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Analytics of EXL India from December 2004 to May 2006, as Vice President, Operations of EXL India</w:t>
            </w:r>
          </w:p>
        </w:tc>
      </w:tr>
      <w:tr>
        <w:trPr>
          <w:trHeight w:val="203"/>
        </w:trPr>
        <w:tc>
          <w:tcPr>
            <w:tcW w:w="1440" w:type="dxa"/>
            <w:vAlign w:val="bottom"/>
            <w:shd w:val="clear" w:color="auto" w:fill="D0E0F0"/>
          </w:tcPr>
          <w:p>
            <w:pPr>
              <w:spacing w:after="0"/>
              <w:rPr>
                <w:sz w:val="17"/>
                <w:szCs w:val="17"/>
                <w:color w:val="auto"/>
              </w:rPr>
            </w:pPr>
          </w:p>
        </w:tc>
        <w:tc>
          <w:tcPr>
            <w:tcW w:w="1460" w:type="dxa"/>
            <w:vAlign w:val="bottom"/>
            <w:shd w:val="clear" w:color="auto" w:fill="D0E0F0"/>
          </w:tcPr>
          <w:p>
            <w:pPr>
              <w:spacing w:after="0"/>
              <w:rPr>
                <w:sz w:val="17"/>
                <w:szCs w:val="17"/>
                <w:color w:val="auto"/>
              </w:rPr>
            </w:pPr>
          </w:p>
        </w:tc>
        <w:tc>
          <w:tcPr>
            <w:tcW w:w="85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from November 2003 to November 2004 and as Vice President, Strategic Businesses of EXL India from</w:t>
            </w:r>
          </w:p>
        </w:tc>
      </w:tr>
      <w:tr>
        <w:trPr>
          <w:trHeight w:val="203"/>
        </w:trPr>
        <w:tc>
          <w:tcPr>
            <w:tcW w:w="1440" w:type="dxa"/>
            <w:vAlign w:val="bottom"/>
            <w:shd w:val="clear" w:color="auto" w:fill="D0E0F0"/>
          </w:tcPr>
          <w:p>
            <w:pPr>
              <w:spacing w:after="0"/>
              <w:rPr>
                <w:sz w:val="17"/>
                <w:szCs w:val="17"/>
                <w:color w:val="auto"/>
              </w:rPr>
            </w:pPr>
          </w:p>
        </w:tc>
        <w:tc>
          <w:tcPr>
            <w:tcW w:w="1460" w:type="dxa"/>
            <w:vAlign w:val="bottom"/>
            <w:shd w:val="clear" w:color="auto" w:fill="D0E0F0"/>
          </w:tcPr>
          <w:p>
            <w:pPr>
              <w:spacing w:after="0"/>
              <w:rPr>
                <w:sz w:val="17"/>
                <w:szCs w:val="17"/>
                <w:color w:val="auto"/>
              </w:rPr>
            </w:pPr>
          </w:p>
        </w:tc>
        <w:tc>
          <w:tcPr>
            <w:tcW w:w="85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July 2002 to November 2003. Prior to joining us, Mr. Bagai served in various capacities in several</w:t>
            </w:r>
          </w:p>
        </w:tc>
      </w:tr>
      <w:tr>
        <w:trPr>
          <w:trHeight w:val="203"/>
        </w:trPr>
        <w:tc>
          <w:tcPr>
            <w:tcW w:w="1440" w:type="dxa"/>
            <w:vAlign w:val="bottom"/>
            <w:shd w:val="clear" w:color="auto" w:fill="D0E0F0"/>
          </w:tcPr>
          <w:p>
            <w:pPr>
              <w:spacing w:after="0"/>
              <w:rPr>
                <w:sz w:val="17"/>
                <w:szCs w:val="17"/>
                <w:color w:val="auto"/>
              </w:rPr>
            </w:pPr>
          </w:p>
        </w:tc>
        <w:tc>
          <w:tcPr>
            <w:tcW w:w="1460" w:type="dxa"/>
            <w:vAlign w:val="bottom"/>
            <w:shd w:val="clear" w:color="auto" w:fill="D0E0F0"/>
          </w:tcPr>
          <w:p>
            <w:pPr>
              <w:spacing w:after="0"/>
              <w:rPr>
                <w:sz w:val="17"/>
                <w:szCs w:val="17"/>
                <w:color w:val="auto"/>
              </w:rPr>
            </w:pPr>
          </w:p>
        </w:tc>
        <w:tc>
          <w:tcPr>
            <w:tcW w:w="85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business areas across markets in Europe and Asia, including India, at Bank of America beginning in</w:t>
            </w:r>
          </w:p>
        </w:tc>
      </w:tr>
      <w:tr>
        <w:trPr>
          <w:trHeight w:val="203"/>
        </w:trPr>
        <w:tc>
          <w:tcPr>
            <w:tcW w:w="1440" w:type="dxa"/>
            <w:vAlign w:val="bottom"/>
            <w:shd w:val="clear" w:color="auto" w:fill="D0E0F0"/>
          </w:tcPr>
          <w:p>
            <w:pPr>
              <w:spacing w:after="0"/>
              <w:rPr>
                <w:sz w:val="17"/>
                <w:szCs w:val="17"/>
                <w:color w:val="auto"/>
              </w:rPr>
            </w:pPr>
          </w:p>
        </w:tc>
        <w:tc>
          <w:tcPr>
            <w:tcW w:w="1460" w:type="dxa"/>
            <w:vAlign w:val="bottom"/>
            <w:shd w:val="clear" w:color="auto" w:fill="D0E0F0"/>
          </w:tcPr>
          <w:p>
            <w:pPr>
              <w:spacing w:after="0"/>
              <w:rPr>
                <w:sz w:val="17"/>
                <w:szCs w:val="17"/>
                <w:color w:val="auto"/>
              </w:rPr>
            </w:pPr>
          </w:p>
        </w:tc>
        <w:tc>
          <w:tcPr>
            <w:tcW w:w="8520" w:type="dxa"/>
            <w:vAlign w:val="bottom"/>
            <w:shd w:val="clear" w:color="auto" w:fill="D0E0F0"/>
          </w:tcPr>
          <w:p>
            <w:pPr>
              <w:ind w:left="100"/>
              <w:spacing w:after="0" w:line="203" w:lineRule="exact"/>
              <w:rPr>
                <w:sz w:val="20"/>
                <w:szCs w:val="20"/>
                <w:color w:val="auto"/>
              </w:rPr>
            </w:pPr>
            <w:r>
              <w:rPr>
                <w:rFonts w:ascii="Arial" w:cs="Arial" w:eastAsia="Arial" w:hAnsi="Arial"/>
                <w:sz w:val="18"/>
                <w:szCs w:val="18"/>
                <w:color w:val="auto"/>
              </w:rPr>
              <w:t>1985.</w:t>
            </w:r>
          </w:p>
        </w:tc>
      </w:tr>
      <w:tr>
        <w:trPr>
          <w:trHeight w:val="202"/>
        </w:trPr>
        <w:tc>
          <w:tcPr>
            <w:tcW w:w="1440" w:type="dxa"/>
            <w:vAlign w:val="bottom"/>
          </w:tcPr>
          <w:p>
            <w:pPr>
              <w:ind w:left="20"/>
              <w:spacing w:after="0" w:line="201" w:lineRule="exact"/>
              <w:rPr>
                <w:sz w:val="20"/>
                <w:szCs w:val="20"/>
                <w:color w:val="auto"/>
              </w:rPr>
            </w:pPr>
            <w:r>
              <w:rPr>
                <w:rFonts w:ascii="Arial" w:cs="Arial" w:eastAsia="Arial" w:hAnsi="Arial"/>
                <w:sz w:val="18"/>
                <w:szCs w:val="18"/>
                <w:color w:val="auto"/>
              </w:rPr>
              <w:t>Vikas Bhalla</w:t>
            </w:r>
          </w:p>
        </w:tc>
        <w:tc>
          <w:tcPr>
            <w:tcW w:w="1460" w:type="dxa"/>
            <w:vAlign w:val="bottom"/>
          </w:tcPr>
          <w:p>
            <w:pPr>
              <w:ind w:left="80"/>
              <w:spacing w:after="0" w:line="201" w:lineRule="exact"/>
              <w:rPr>
                <w:sz w:val="20"/>
                <w:szCs w:val="20"/>
                <w:color w:val="auto"/>
              </w:rPr>
            </w:pPr>
            <w:r>
              <w:rPr>
                <w:rFonts w:ascii="Arial" w:cs="Arial" w:eastAsia="Arial" w:hAnsi="Arial"/>
                <w:sz w:val="18"/>
                <w:szCs w:val="18"/>
                <w:color w:val="auto"/>
              </w:rPr>
              <w:t>Executive Vice</w:t>
            </w:r>
          </w:p>
        </w:tc>
        <w:tc>
          <w:tcPr>
            <w:tcW w:w="8520" w:type="dxa"/>
            <w:vAlign w:val="bottom"/>
          </w:tcPr>
          <w:p>
            <w:pPr>
              <w:ind w:left="100"/>
              <w:spacing w:after="0" w:line="201" w:lineRule="exact"/>
              <w:rPr>
                <w:sz w:val="20"/>
                <w:szCs w:val="20"/>
                <w:color w:val="auto"/>
              </w:rPr>
            </w:pPr>
            <w:r>
              <w:rPr>
                <w:rFonts w:ascii="Arial" w:cs="Arial" w:eastAsia="Arial" w:hAnsi="Arial"/>
                <w:sz w:val="18"/>
                <w:szCs w:val="18"/>
                <w:color w:val="auto"/>
              </w:rPr>
              <w:t>Mr. Bhalla has served as our Executive Vice President and Head of Insurance since January 2014, and</w:t>
            </w:r>
          </w:p>
        </w:tc>
      </w:tr>
      <w:tr>
        <w:trPr>
          <w:trHeight w:val="203"/>
        </w:trPr>
        <w:tc>
          <w:tcPr>
            <w:tcW w:w="1440" w:type="dxa"/>
            <w:vAlign w:val="bottom"/>
          </w:tcPr>
          <w:p>
            <w:pPr>
              <w:ind w:left="20"/>
              <w:spacing w:after="0" w:line="202" w:lineRule="exact"/>
              <w:rPr>
                <w:sz w:val="20"/>
                <w:szCs w:val="20"/>
                <w:color w:val="auto"/>
              </w:rPr>
            </w:pPr>
            <w:r>
              <w:rPr>
                <w:rFonts w:ascii="Arial" w:cs="Arial" w:eastAsia="Arial" w:hAnsi="Arial"/>
                <w:sz w:val="18"/>
                <w:szCs w:val="18"/>
                <w:color w:val="auto"/>
              </w:rPr>
              <w:t>(age 45)</w:t>
            </w:r>
          </w:p>
        </w:tc>
        <w:tc>
          <w:tcPr>
            <w:tcW w:w="1460" w:type="dxa"/>
            <w:vAlign w:val="bottom"/>
          </w:tcPr>
          <w:p>
            <w:pPr>
              <w:ind w:left="80"/>
              <w:spacing w:after="0" w:line="202" w:lineRule="exact"/>
              <w:rPr>
                <w:sz w:val="20"/>
                <w:szCs w:val="20"/>
                <w:color w:val="auto"/>
              </w:rPr>
            </w:pPr>
            <w:r>
              <w:rPr>
                <w:rFonts w:ascii="Arial" w:cs="Arial" w:eastAsia="Arial" w:hAnsi="Arial"/>
                <w:sz w:val="18"/>
                <w:szCs w:val="18"/>
                <w:color w:val="auto"/>
              </w:rPr>
              <w:t>President and</w:t>
            </w:r>
          </w:p>
        </w:tc>
        <w:tc>
          <w:tcPr>
            <w:tcW w:w="8520" w:type="dxa"/>
            <w:vAlign w:val="bottom"/>
          </w:tcPr>
          <w:p>
            <w:pPr>
              <w:ind w:left="100"/>
              <w:spacing w:after="0" w:line="202" w:lineRule="exact"/>
              <w:rPr>
                <w:sz w:val="20"/>
                <w:szCs w:val="20"/>
                <w:color w:val="auto"/>
              </w:rPr>
            </w:pPr>
            <w:r>
              <w:rPr>
                <w:rFonts w:ascii="Arial" w:cs="Arial" w:eastAsia="Arial" w:hAnsi="Arial"/>
                <w:sz w:val="18"/>
                <w:szCs w:val="18"/>
                <w:color w:val="auto"/>
              </w:rPr>
              <w:t>as our Head of Outsourcing since November 2009. He previously served as Vice President, Operations</w:t>
            </w:r>
          </w:p>
        </w:tc>
      </w:tr>
      <w:tr>
        <w:trPr>
          <w:trHeight w:val="203"/>
        </w:trPr>
        <w:tc>
          <w:tcPr>
            <w:tcW w:w="1440" w:type="dxa"/>
            <w:vAlign w:val="bottom"/>
          </w:tcPr>
          <w:p>
            <w:pPr>
              <w:spacing w:after="0"/>
              <w:rPr>
                <w:sz w:val="17"/>
                <w:szCs w:val="17"/>
                <w:color w:val="auto"/>
              </w:rPr>
            </w:pPr>
          </w:p>
        </w:tc>
        <w:tc>
          <w:tcPr>
            <w:tcW w:w="1460" w:type="dxa"/>
            <w:vAlign w:val="bottom"/>
          </w:tcPr>
          <w:p>
            <w:pPr>
              <w:ind w:left="80"/>
              <w:spacing w:after="0" w:line="202" w:lineRule="exact"/>
              <w:rPr>
                <w:sz w:val="20"/>
                <w:szCs w:val="20"/>
                <w:color w:val="auto"/>
              </w:rPr>
            </w:pPr>
            <w:r>
              <w:rPr>
                <w:rFonts w:ascii="Arial" w:cs="Arial" w:eastAsia="Arial" w:hAnsi="Arial"/>
                <w:sz w:val="18"/>
                <w:szCs w:val="18"/>
                <w:color w:val="auto"/>
              </w:rPr>
              <w:t>Head of</w:t>
            </w:r>
          </w:p>
        </w:tc>
        <w:tc>
          <w:tcPr>
            <w:tcW w:w="8520" w:type="dxa"/>
            <w:vAlign w:val="bottom"/>
          </w:tcPr>
          <w:p>
            <w:pPr>
              <w:ind w:left="100"/>
              <w:spacing w:after="0" w:line="202" w:lineRule="exact"/>
              <w:rPr>
                <w:sz w:val="20"/>
                <w:szCs w:val="20"/>
                <w:color w:val="auto"/>
              </w:rPr>
            </w:pPr>
            <w:r>
              <w:rPr>
                <w:rFonts w:ascii="Arial" w:cs="Arial" w:eastAsia="Arial" w:hAnsi="Arial"/>
                <w:sz w:val="18"/>
                <w:szCs w:val="18"/>
                <w:color w:val="auto"/>
              </w:rPr>
              <w:t>of EXL India from June 2006 to October 2009 and as Vice President, Migrations, Quality and Process</w:t>
            </w:r>
          </w:p>
        </w:tc>
      </w:tr>
      <w:tr>
        <w:trPr>
          <w:trHeight w:val="203"/>
        </w:trPr>
        <w:tc>
          <w:tcPr>
            <w:tcW w:w="1440" w:type="dxa"/>
            <w:vAlign w:val="bottom"/>
          </w:tcPr>
          <w:p>
            <w:pPr>
              <w:spacing w:after="0"/>
              <w:rPr>
                <w:sz w:val="17"/>
                <w:szCs w:val="17"/>
                <w:color w:val="auto"/>
              </w:rPr>
            </w:pPr>
          </w:p>
        </w:tc>
        <w:tc>
          <w:tcPr>
            <w:tcW w:w="1460" w:type="dxa"/>
            <w:vAlign w:val="bottom"/>
          </w:tcPr>
          <w:p>
            <w:pPr>
              <w:ind w:left="80"/>
              <w:spacing w:after="0" w:line="202" w:lineRule="exact"/>
              <w:rPr>
                <w:sz w:val="20"/>
                <w:szCs w:val="20"/>
                <w:color w:val="auto"/>
              </w:rPr>
            </w:pPr>
            <w:r>
              <w:rPr>
                <w:rFonts w:ascii="Arial" w:cs="Arial" w:eastAsia="Arial" w:hAnsi="Arial"/>
                <w:sz w:val="18"/>
                <w:szCs w:val="18"/>
                <w:color w:val="auto"/>
              </w:rPr>
              <w:t>Insurance</w:t>
            </w:r>
          </w:p>
        </w:tc>
        <w:tc>
          <w:tcPr>
            <w:tcW w:w="8520" w:type="dxa"/>
            <w:vAlign w:val="bottom"/>
          </w:tcPr>
          <w:p>
            <w:pPr>
              <w:ind w:left="100"/>
              <w:spacing w:after="0" w:line="202" w:lineRule="exact"/>
              <w:rPr>
                <w:sz w:val="20"/>
                <w:szCs w:val="20"/>
                <w:color w:val="auto"/>
              </w:rPr>
            </w:pPr>
            <w:r>
              <w:rPr>
                <w:rFonts w:ascii="Arial" w:cs="Arial" w:eastAsia="Arial" w:hAnsi="Arial"/>
                <w:sz w:val="18"/>
                <w:szCs w:val="18"/>
                <w:color w:val="auto"/>
              </w:rPr>
              <w:t>Excellence of EXL India from April 2002 to June 2006 and as Director, Quality Initiatives of EXL India</w:t>
            </w:r>
          </w:p>
        </w:tc>
      </w:tr>
      <w:tr>
        <w:trPr>
          <w:trHeight w:val="203"/>
        </w:trPr>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520" w:type="dxa"/>
            <w:vAlign w:val="bottom"/>
          </w:tcPr>
          <w:p>
            <w:pPr>
              <w:ind w:left="100"/>
              <w:spacing w:after="0" w:line="202" w:lineRule="exact"/>
              <w:rPr>
                <w:sz w:val="20"/>
                <w:szCs w:val="20"/>
                <w:color w:val="auto"/>
              </w:rPr>
            </w:pPr>
            <w:r>
              <w:rPr>
                <w:rFonts w:ascii="Arial" w:cs="Arial" w:eastAsia="Arial" w:hAnsi="Arial"/>
                <w:sz w:val="18"/>
                <w:szCs w:val="18"/>
                <w:color w:val="auto"/>
              </w:rPr>
              <w:t>from May 2001 to March 2002. From May 1998 to May 2001, Mr. Bhalla served in various capacities at</w:t>
            </w:r>
          </w:p>
        </w:tc>
      </w:tr>
      <w:tr>
        <w:trPr>
          <w:trHeight w:val="203"/>
        </w:trPr>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520" w:type="dxa"/>
            <w:vAlign w:val="bottom"/>
          </w:tcPr>
          <w:p>
            <w:pPr>
              <w:ind w:left="100"/>
              <w:spacing w:after="0" w:line="203" w:lineRule="exact"/>
              <w:rPr>
                <w:sz w:val="20"/>
                <w:szCs w:val="20"/>
                <w:color w:val="auto"/>
              </w:rPr>
            </w:pPr>
            <w:r>
              <w:rPr>
                <w:rFonts w:ascii="Arial" w:cs="Arial" w:eastAsia="Arial" w:hAnsi="Arial"/>
                <w:sz w:val="18"/>
                <w:szCs w:val="18"/>
                <w:color w:val="auto"/>
              </w:rPr>
              <w:t>General Electric, including as the Quality Leader and E-Business Leader for GE Plastics India.</w:t>
            </w:r>
          </w:p>
        </w:tc>
      </w:tr>
      <w:tr>
        <w:trPr>
          <w:trHeight w:val="202"/>
        </w:trPr>
        <w:tc>
          <w:tcPr>
            <w:tcW w:w="1440" w:type="dxa"/>
            <w:vAlign w:val="bottom"/>
            <w:shd w:val="clear" w:color="auto" w:fill="D0E0F0"/>
          </w:tcPr>
          <w:p>
            <w:pPr>
              <w:ind w:left="20"/>
              <w:spacing w:after="0" w:line="201" w:lineRule="exact"/>
              <w:rPr>
                <w:sz w:val="20"/>
                <w:szCs w:val="20"/>
                <w:color w:val="auto"/>
              </w:rPr>
            </w:pPr>
            <w:r>
              <w:rPr>
                <w:rFonts w:ascii="Arial" w:cs="Arial" w:eastAsia="Arial" w:hAnsi="Arial"/>
                <w:sz w:val="18"/>
                <w:szCs w:val="18"/>
                <w:color w:val="auto"/>
              </w:rPr>
              <w:t>Vishal Chhibbar</w:t>
            </w:r>
          </w:p>
        </w:tc>
        <w:tc>
          <w:tcPr>
            <w:tcW w:w="1460" w:type="dxa"/>
            <w:vAlign w:val="bottom"/>
            <w:shd w:val="clear" w:color="auto" w:fill="D0E0F0"/>
          </w:tcPr>
          <w:p>
            <w:pPr>
              <w:ind w:left="80"/>
              <w:spacing w:after="0" w:line="201" w:lineRule="exact"/>
              <w:rPr>
                <w:sz w:val="20"/>
                <w:szCs w:val="20"/>
                <w:color w:val="auto"/>
              </w:rPr>
            </w:pPr>
            <w:r>
              <w:rPr>
                <w:rFonts w:ascii="Arial" w:cs="Arial" w:eastAsia="Arial" w:hAnsi="Arial"/>
                <w:sz w:val="18"/>
                <w:szCs w:val="18"/>
                <w:color w:val="auto"/>
              </w:rPr>
              <w:t>Executive Vice</w:t>
            </w:r>
          </w:p>
        </w:tc>
        <w:tc>
          <w:tcPr>
            <w:tcW w:w="8520" w:type="dxa"/>
            <w:vAlign w:val="bottom"/>
            <w:shd w:val="clear" w:color="auto" w:fill="D0E0F0"/>
          </w:tcPr>
          <w:p>
            <w:pPr>
              <w:ind w:left="100"/>
              <w:spacing w:after="0" w:line="201" w:lineRule="exact"/>
              <w:rPr>
                <w:sz w:val="20"/>
                <w:szCs w:val="20"/>
                <w:color w:val="auto"/>
              </w:rPr>
            </w:pPr>
            <w:r>
              <w:rPr>
                <w:rFonts w:ascii="Arial" w:cs="Arial" w:eastAsia="Arial" w:hAnsi="Arial"/>
                <w:sz w:val="18"/>
                <w:szCs w:val="18"/>
                <w:color w:val="auto"/>
              </w:rPr>
              <w:t>Mr. Chhibbar has served as our Executive Vice President and CFO since April 2012 and as our CFO</w:t>
            </w:r>
          </w:p>
        </w:tc>
      </w:tr>
      <w:tr>
        <w:trPr>
          <w:trHeight w:val="203"/>
        </w:trPr>
        <w:tc>
          <w:tcPr>
            <w:tcW w:w="1440" w:type="dxa"/>
            <w:vAlign w:val="bottom"/>
            <w:shd w:val="clear" w:color="auto" w:fill="D0E0F0"/>
          </w:tcPr>
          <w:p>
            <w:pPr>
              <w:ind w:left="20"/>
              <w:spacing w:after="0" w:line="202" w:lineRule="exact"/>
              <w:rPr>
                <w:sz w:val="20"/>
                <w:szCs w:val="20"/>
                <w:color w:val="auto"/>
              </w:rPr>
            </w:pPr>
            <w:r>
              <w:rPr>
                <w:rFonts w:ascii="Arial" w:cs="Arial" w:eastAsia="Arial" w:hAnsi="Arial"/>
                <w:sz w:val="18"/>
                <w:szCs w:val="18"/>
                <w:color w:val="auto"/>
              </w:rPr>
              <w:t>(age 49)</w:t>
            </w:r>
          </w:p>
        </w:tc>
        <w:tc>
          <w:tcPr>
            <w:tcW w:w="1460" w:type="dxa"/>
            <w:vAlign w:val="bottom"/>
            <w:shd w:val="clear" w:color="auto" w:fill="D0E0F0"/>
          </w:tcPr>
          <w:p>
            <w:pPr>
              <w:ind w:left="80"/>
              <w:spacing w:after="0" w:line="202" w:lineRule="exact"/>
              <w:rPr>
                <w:sz w:val="20"/>
                <w:szCs w:val="20"/>
                <w:color w:val="auto"/>
              </w:rPr>
            </w:pPr>
            <w:r>
              <w:rPr>
                <w:rFonts w:ascii="Arial" w:cs="Arial" w:eastAsia="Arial" w:hAnsi="Arial"/>
                <w:sz w:val="18"/>
                <w:szCs w:val="18"/>
                <w:color w:val="auto"/>
              </w:rPr>
              <w:t>President and</w:t>
            </w:r>
          </w:p>
        </w:tc>
        <w:tc>
          <w:tcPr>
            <w:tcW w:w="85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since June 2009. He has over 25 years of professional experience in finance. Prior to joining us,</w:t>
            </w:r>
          </w:p>
        </w:tc>
      </w:tr>
      <w:tr>
        <w:trPr>
          <w:trHeight w:val="203"/>
        </w:trPr>
        <w:tc>
          <w:tcPr>
            <w:tcW w:w="1440" w:type="dxa"/>
            <w:vAlign w:val="bottom"/>
            <w:shd w:val="clear" w:color="auto" w:fill="D0E0F0"/>
          </w:tcPr>
          <w:p>
            <w:pPr>
              <w:spacing w:after="0"/>
              <w:rPr>
                <w:sz w:val="17"/>
                <w:szCs w:val="17"/>
                <w:color w:val="auto"/>
              </w:rPr>
            </w:pPr>
          </w:p>
        </w:tc>
        <w:tc>
          <w:tcPr>
            <w:tcW w:w="1460" w:type="dxa"/>
            <w:vAlign w:val="bottom"/>
            <w:shd w:val="clear" w:color="auto" w:fill="D0E0F0"/>
          </w:tcPr>
          <w:p>
            <w:pPr>
              <w:ind w:left="80"/>
              <w:spacing w:after="0" w:line="202" w:lineRule="exact"/>
              <w:rPr>
                <w:sz w:val="20"/>
                <w:szCs w:val="20"/>
                <w:color w:val="auto"/>
              </w:rPr>
            </w:pPr>
            <w:r>
              <w:rPr>
                <w:rFonts w:ascii="Arial" w:cs="Arial" w:eastAsia="Arial" w:hAnsi="Arial"/>
                <w:sz w:val="18"/>
                <w:szCs w:val="18"/>
                <w:color w:val="auto"/>
              </w:rPr>
              <w:t>CFO</w:t>
            </w:r>
          </w:p>
        </w:tc>
        <w:tc>
          <w:tcPr>
            <w:tcW w:w="85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Mr. Chhibbar was with GE Capital in various leadership roles. Since 2005, Mr. Chhibbar has served as</w:t>
            </w:r>
          </w:p>
        </w:tc>
      </w:tr>
      <w:tr>
        <w:trPr>
          <w:trHeight w:val="203"/>
        </w:trPr>
        <w:tc>
          <w:tcPr>
            <w:tcW w:w="1440" w:type="dxa"/>
            <w:vAlign w:val="bottom"/>
            <w:shd w:val="clear" w:color="auto" w:fill="D0E0F0"/>
          </w:tcPr>
          <w:p>
            <w:pPr>
              <w:spacing w:after="0"/>
              <w:rPr>
                <w:sz w:val="17"/>
                <w:szCs w:val="17"/>
                <w:color w:val="auto"/>
              </w:rPr>
            </w:pPr>
          </w:p>
        </w:tc>
        <w:tc>
          <w:tcPr>
            <w:tcW w:w="1460" w:type="dxa"/>
            <w:vAlign w:val="bottom"/>
            <w:shd w:val="clear" w:color="auto" w:fill="D0E0F0"/>
          </w:tcPr>
          <w:p>
            <w:pPr>
              <w:spacing w:after="0"/>
              <w:rPr>
                <w:sz w:val="17"/>
                <w:szCs w:val="17"/>
                <w:color w:val="auto"/>
              </w:rPr>
            </w:pPr>
          </w:p>
        </w:tc>
        <w:tc>
          <w:tcPr>
            <w:tcW w:w="85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the Regional Head, Group Financial Planning for Strategy and Treasury for GE Capital, Australia and</w:t>
            </w:r>
          </w:p>
        </w:tc>
      </w:tr>
      <w:tr>
        <w:trPr>
          <w:trHeight w:val="203"/>
        </w:trPr>
        <w:tc>
          <w:tcPr>
            <w:tcW w:w="1440" w:type="dxa"/>
            <w:vAlign w:val="bottom"/>
            <w:shd w:val="clear" w:color="auto" w:fill="D0E0F0"/>
          </w:tcPr>
          <w:p>
            <w:pPr>
              <w:spacing w:after="0"/>
              <w:rPr>
                <w:sz w:val="17"/>
                <w:szCs w:val="17"/>
                <w:color w:val="auto"/>
              </w:rPr>
            </w:pPr>
          </w:p>
        </w:tc>
        <w:tc>
          <w:tcPr>
            <w:tcW w:w="1460" w:type="dxa"/>
            <w:vAlign w:val="bottom"/>
            <w:shd w:val="clear" w:color="auto" w:fill="D0E0F0"/>
          </w:tcPr>
          <w:p>
            <w:pPr>
              <w:spacing w:after="0"/>
              <w:rPr>
                <w:sz w:val="17"/>
                <w:szCs w:val="17"/>
                <w:color w:val="auto"/>
              </w:rPr>
            </w:pPr>
          </w:p>
        </w:tc>
        <w:tc>
          <w:tcPr>
            <w:tcW w:w="85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New Zealand. In 2004 and 2005, Mr. Chhibbar was Chief Financial Officer for GE Capital, South Korea.</w:t>
            </w:r>
          </w:p>
        </w:tc>
      </w:tr>
      <w:tr>
        <w:trPr>
          <w:trHeight w:val="203"/>
        </w:trPr>
        <w:tc>
          <w:tcPr>
            <w:tcW w:w="1440" w:type="dxa"/>
            <w:vAlign w:val="bottom"/>
            <w:shd w:val="clear" w:color="auto" w:fill="D0E0F0"/>
          </w:tcPr>
          <w:p>
            <w:pPr>
              <w:spacing w:after="0"/>
              <w:rPr>
                <w:sz w:val="17"/>
                <w:szCs w:val="17"/>
                <w:color w:val="auto"/>
              </w:rPr>
            </w:pPr>
          </w:p>
        </w:tc>
        <w:tc>
          <w:tcPr>
            <w:tcW w:w="1460" w:type="dxa"/>
            <w:vAlign w:val="bottom"/>
            <w:shd w:val="clear" w:color="auto" w:fill="D0E0F0"/>
          </w:tcPr>
          <w:p>
            <w:pPr>
              <w:spacing w:after="0"/>
              <w:rPr>
                <w:sz w:val="17"/>
                <w:szCs w:val="17"/>
                <w:color w:val="auto"/>
              </w:rPr>
            </w:pPr>
          </w:p>
        </w:tc>
        <w:tc>
          <w:tcPr>
            <w:tcW w:w="85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From 1998 to 2004, Mr. Chhibbar was the Chief Financial Officer for GE Capital, Indonesia and Malaysia.</w:t>
            </w:r>
          </w:p>
        </w:tc>
      </w:tr>
      <w:tr>
        <w:trPr>
          <w:trHeight w:val="237"/>
        </w:trPr>
        <w:tc>
          <w:tcPr>
            <w:tcW w:w="1440" w:type="dxa"/>
            <w:vAlign w:val="bottom"/>
            <w:tcBorders>
              <w:bottom w:val="single" w:sz="8" w:color="D0E0F0"/>
            </w:tcBorders>
            <w:shd w:val="clear" w:color="auto" w:fill="D0E0F0"/>
          </w:tcPr>
          <w:p>
            <w:pPr>
              <w:spacing w:after="0"/>
              <w:rPr>
                <w:sz w:val="20"/>
                <w:szCs w:val="20"/>
                <w:color w:val="auto"/>
              </w:rPr>
            </w:pPr>
          </w:p>
        </w:tc>
        <w:tc>
          <w:tcPr>
            <w:tcW w:w="1460" w:type="dxa"/>
            <w:vAlign w:val="bottom"/>
            <w:tcBorders>
              <w:bottom w:val="single" w:sz="8" w:color="D0E0F0"/>
            </w:tcBorders>
            <w:shd w:val="clear" w:color="auto" w:fill="D0E0F0"/>
          </w:tcPr>
          <w:p>
            <w:pPr>
              <w:spacing w:after="0"/>
              <w:rPr>
                <w:sz w:val="20"/>
                <w:szCs w:val="20"/>
                <w:color w:val="auto"/>
              </w:rPr>
            </w:pPr>
          </w:p>
        </w:tc>
        <w:tc>
          <w:tcPr>
            <w:tcW w:w="8520" w:type="dxa"/>
            <w:vAlign w:val="bottom"/>
            <w:tcBorders>
              <w:bottom w:val="single" w:sz="8" w:color="D0E0F0"/>
            </w:tcBorders>
            <w:shd w:val="clear" w:color="auto" w:fill="D0E0F0"/>
          </w:tcPr>
          <w:p>
            <w:pPr>
              <w:ind w:left="100"/>
              <w:spacing w:after="0"/>
              <w:rPr>
                <w:sz w:val="20"/>
                <w:szCs w:val="20"/>
                <w:color w:val="auto"/>
              </w:rPr>
            </w:pPr>
            <w:r>
              <w:rPr>
                <w:rFonts w:ascii="Arial" w:cs="Arial" w:eastAsia="Arial" w:hAnsi="Arial"/>
                <w:sz w:val="18"/>
                <w:szCs w:val="18"/>
                <w:color w:val="auto"/>
              </w:rPr>
              <w:t>Mr. Chhibbar is a Chartered Accountant and an Associate Member of CPA, Australia.</w:t>
            </w:r>
          </w:p>
        </w:tc>
      </w:tr>
      <w:tr>
        <w:trPr>
          <w:trHeight w:val="202"/>
        </w:trPr>
        <w:tc>
          <w:tcPr>
            <w:tcW w:w="1440" w:type="dxa"/>
            <w:vAlign w:val="bottom"/>
          </w:tcPr>
          <w:p>
            <w:pPr>
              <w:ind w:left="20"/>
              <w:spacing w:after="0" w:line="201" w:lineRule="exact"/>
              <w:rPr>
                <w:sz w:val="20"/>
                <w:szCs w:val="20"/>
                <w:color w:val="auto"/>
              </w:rPr>
            </w:pPr>
            <w:r>
              <w:rPr>
                <w:rFonts w:ascii="Arial" w:cs="Arial" w:eastAsia="Arial" w:hAnsi="Arial"/>
                <w:sz w:val="18"/>
                <w:szCs w:val="18"/>
                <w:color w:val="auto"/>
              </w:rPr>
              <w:t>Rembert de Villa</w:t>
            </w:r>
          </w:p>
        </w:tc>
        <w:tc>
          <w:tcPr>
            <w:tcW w:w="1460" w:type="dxa"/>
            <w:vAlign w:val="bottom"/>
          </w:tcPr>
          <w:p>
            <w:pPr>
              <w:ind w:left="80"/>
              <w:spacing w:after="0" w:line="201" w:lineRule="exact"/>
              <w:rPr>
                <w:sz w:val="20"/>
                <w:szCs w:val="20"/>
                <w:color w:val="auto"/>
              </w:rPr>
            </w:pPr>
            <w:r>
              <w:rPr>
                <w:rFonts w:ascii="Arial" w:cs="Arial" w:eastAsia="Arial" w:hAnsi="Arial"/>
                <w:sz w:val="18"/>
                <w:szCs w:val="18"/>
                <w:color w:val="auto"/>
              </w:rPr>
              <w:t>Executive Vice</w:t>
            </w:r>
          </w:p>
        </w:tc>
        <w:tc>
          <w:tcPr>
            <w:tcW w:w="8520" w:type="dxa"/>
            <w:vAlign w:val="bottom"/>
          </w:tcPr>
          <w:p>
            <w:pPr>
              <w:ind w:left="100"/>
              <w:spacing w:after="0" w:line="201" w:lineRule="exact"/>
              <w:rPr>
                <w:sz w:val="20"/>
                <w:szCs w:val="20"/>
                <w:color w:val="auto"/>
              </w:rPr>
            </w:pPr>
            <w:r>
              <w:rPr>
                <w:rFonts w:ascii="Arial" w:cs="Arial" w:eastAsia="Arial" w:hAnsi="Arial"/>
                <w:sz w:val="18"/>
                <w:szCs w:val="18"/>
                <w:color w:val="auto"/>
                <w:w w:val="99"/>
              </w:rPr>
              <w:t>Mr. Villa has served as our Executive Vice President, Head of Healthcare since January 2014 and also as</w:t>
            </w:r>
          </w:p>
        </w:tc>
      </w:tr>
      <w:tr>
        <w:trPr>
          <w:trHeight w:val="203"/>
        </w:trPr>
        <w:tc>
          <w:tcPr>
            <w:tcW w:w="1440" w:type="dxa"/>
            <w:vAlign w:val="bottom"/>
          </w:tcPr>
          <w:p>
            <w:pPr>
              <w:ind w:left="20"/>
              <w:spacing w:after="0" w:line="202" w:lineRule="exact"/>
              <w:rPr>
                <w:sz w:val="20"/>
                <w:szCs w:val="20"/>
                <w:color w:val="auto"/>
              </w:rPr>
            </w:pPr>
            <w:r>
              <w:rPr>
                <w:rFonts w:ascii="Arial" w:cs="Arial" w:eastAsia="Arial" w:hAnsi="Arial"/>
                <w:sz w:val="18"/>
                <w:szCs w:val="18"/>
                <w:color w:val="auto"/>
              </w:rPr>
              <w:t>(age 60)</w:t>
            </w:r>
          </w:p>
        </w:tc>
        <w:tc>
          <w:tcPr>
            <w:tcW w:w="1460" w:type="dxa"/>
            <w:vAlign w:val="bottom"/>
          </w:tcPr>
          <w:p>
            <w:pPr>
              <w:ind w:left="80"/>
              <w:spacing w:after="0" w:line="202" w:lineRule="exact"/>
              <w:rPr>
                <w:sz w:val="20"/>
                <w:szCs w:val="20"/>
                <w:color w:val="auto"/>
              </w:rPr>
            </w:pPr>
            <w:r>
              <w:rPr>
                <w:rFonts w:ascii="Arial" w:cs="Arial" w:eastAsia="Arial" w:hAnsi="Arial"/>
                <w:sz w:val="18"/>
                <w:szCs w:val="18"/>
                <w:color w:val="auto"/>
              </w:rPr>
              <w:t>President, Head</w:t>
            </w:r>
          </w:p>
        </w:tc>
        <w:tc>
          <w:tcPr>
            <w:tcW w:w="8520" w:type="dxa"/>
            <w:vAlign w:val="bottom"/>
          </w:tcPr>
          <w:p>
            <w:pPr>
              <w:ind w:left="100"/>
              <w:spacing w:after="0" w:line="202" w:lineRule="exact"/>
              <w:rPr>
                <w:sz w:val="20"/>
                <w:szCs w:val="20"/>
                <w:color w:val="auto"/>
              </w:rPr>
            </w:pPr>
            <w:r>
              <w:rPr>
                <w:rFonts w:ascii="Arial" w:cs="Arial" w:eastAsia="Arial" w:hAnsi="Arial"/>
                <w:sz w:val="18"/>
                <w:szCs w:val="18"/>
                <w:color w:val="auto"/>
              </w:rPr>
              <w:t>our Chief Strategy Officer from April 2012 to January 2014. He previously served as our Global Head of</w:t>
            </w:r>
          </w:p>
        </w:tc>
      </w:tr>
      <w:tr>
        <w:trPr>
          <w:trHeight w:val="203"/>
        </w:trPr>
        <w:tc>
          <w:tcPr>
            <w:tcW w:w="1440" w:type="dxa"/>
            <w:vAlign w:val="bottom"/>
          </w:tcPr>
          <w:p>
            <w:pPr>
              <w:spacing w:after="0"/>
              <w:rPr>
                <w:sz w:val="17"/>
                <w:szCs w:val="17"/>
                <w:color w:val="auto"/>
              </w:rPr>
            </w:pPr>
          </w:p>
        </w:tc>
        <w:tc>
          <w:tcPr>
            <w:tcW w:w="1460" w:type="dxa"/>
            <w:vAlign w:val="bottom"/>
          </w:tcPr>
          <w:p>
            <w:pPr>
              <w:ind w:left="80"/>
              <w:spacing w:after="0" w:line="202" w:lineRule="exact"/>
              <w:rPr>
                <w:sz w:val="20"/>
                <w:szCs w:val="20"/>
                <w:color w:val="auto"/>
              </w:rPr>
            </w:pPr>
            <w:r>
              <w:rPr>
                <w:rFonts w:ascii="Arial" w:cs="Arial" w:eastAsia="Arial" w:hAnsi="Arial"/>
                <w:sz w:val="18"/>
                <w:szCs w:val="18"/>
                <w:color w:val="auto"/>
              </w:rPr>
              <w:t>of Healthcare</w:t>
            </w:r>
          </w:p>
        </w:tc>
        <w:tc>
          <w:tcPr>
            <w:tcW w:w="8520" w:type="dxa"/>
            <w:vAlign w:val="bottom"/>
          </w:tcPr>
          <w:p>
            <w:pPr>
              <w:ind w:left="100"/>
              <w:spacing w:after="0" w:line="202" w:lineRule="exact"/>
              <w:rPr>
                <w:sz w:val="20"/>
                <w:szCs w:val="20"/>
                <w:color w:val="auto"/>
              </w:rPr>
            </w:pPr>
            <w:r>
              <w:rPr>
                <w:rFonts w:ascii="Arial" w:cs="Arial" w:eastAsia="Arial" w:hAnsi="Arial"/>
                <w:sz w:val="18"/>
                <w:szCs w:val="18"/>
                <w:color w:val="auto"/>
              </w:rPr>
              <w:t>Client Management and Chief Strategy Officer from September 2010 to April 2012 and as our Managing</w:t>
            </w:r>
          </w:p>
        </w:tc>
      </w:tr>
      <w:tr>
        <w:trPr>
          <w:trHeight w:val="203"/>
        </w:trPr>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520" w:type="dxa"/>
            <w:vAlign w:val="bottom"/>
          </w:tcPr>
          <w:p>
            <w:pPr>
              <w:ind w:left="100"/>
              <w:spacing w:after="0" w:line="202" w:lineRule="exact"/>
              <w:rPr>
                <w:sz w:val="20"/>
                <w:szCs w:val="20"/>
                <w:color w:val="auto"/>
              </w:rPr>
            </w:pPr>
            <w:r>
              <w:rPr>
                <w:rFonts w:ascii="Arial" w:cs="Arial" w:eastAsia="Arial" w:hAnsi="Arial"/>
                <w:sz w:val="18"/>
                <w:szCs w:val="18"/>
                <w:color w:val="auto"/>
              </w:rPr>
              <w:t>Principal and Head of Transformation Services from April 2008 to August 2010. Prior to joining us, Mr. de</w:t>
            </w:r>
          </w:p>
        </w:tc>
      </w:tr>
      <w:tr>
        <w:trPr>
          <w:trHeight w:val="203"/>
        </w:trPr>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520" w:type="dxa"/>
            <w:vAlign w:val="bottom"/>
          </w:tcPr>
          <w:p>
            <w:pPr>
              <w:ind w:left="100"/>
              <w:spacing w:after="0" w:line="202" w:lineRule="exact"/>
              <w:rPr>
                <w:sz w:val="20"/>
                <w:szCs w:val="20"/>
                <w:color w:val="auto"/>
              </w:rPr>
            </w:pPr>
            <w:r>
              <w:rPr>
                <w:rFonts w:ascii="Arial" w:cs="Arial" w:eastAsia="Arial" w:hAnsi="Arial"/>
                <w:sz w:val="18"/>
                <w:szCs w:val="18"/>
                <w:color w:val="auto"/>
              </w:rPr>
              <w:t>Villa served as Global Practice Leader, Strategic Services at MasterCard Advisors from December 2005</w:t>
            </w:r>
          </w:p>
        </w:tc>
      </w:tr>
      <w:tr>
        <w:trPr>
          <w:trHeight w:val="203"/>
        </w:trPr>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520" w:type="dxa"/>
            <w:vAlign w:val="bottom"/>
          </w:tcPr>
          <w:p>
            <w:pPr>
              <w:ind w:left="100"/>
              <w:spacing w:after="0" w:line="202" w:lineRule="exact"/>
              <w:rPr>
                <w:sz w:val="20"/>
                <w:szCs w:val="20"/>
                <w:color w:val="auto"/>
              </w:rPr>
            </w:pPr>
            <w:r>
              <w:rPr>
                <w:rFonts w:ascii="Arial" w:cs="Arial" w:eastAsia="Arial" w:hAnsi="Arial"/>
                <w:sz w:val="18"/>
                <w:szCs w:val="18"/>
                <w:color w:val="auto"/>
              </w:rPr>
              <w:t>through April 2008 and as Vice President and Financial Services Practice Leader for North America at</w:t>
            </w:r>
          </w:p>
        </w:tc>
      </w:tr>
      <w:tr>
        <w:trPr>
          <w:trHeight w:val="203"/>
        </w:trPr>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520" w:type="dxa"/>
            <w:vAlign w:val="bottom"/>
          </w:tcPr>
          <w:p>
            <w:pPr>
              <w:ind w:left="100"/>
              <w:spacing w:after="0" w:line="202" w:lineRule="exact"/>
              <w:rPr>
                <w:sz w:val="20"/>
                <w:szCs w:val="20"/>
                <w:color w:val="auto"/>
              </w:rPr>
            </w:pPr>
            <w:r>
              <w:rPr>
                <w:rFonts w:ascii="Arial" w:cs="Arial" w:eastAsia="Arial" w:hAnsi="Arial"/>
                <w:sz w:val="18"/>
                <w:szCs w:val="18"/>
                <w:color w:val="auto"/>
              </w:rPr>
              <w:t>Capgemini Ernst &amp; Young from March 2003 to December 2005. Prior to his time at Capgemini Ernst &amp;</w:t>
            </w:r>
          </w:p>
        </w:tc>
      </w:tr>
      <w:tr>
        <w:trPr>
          <w:trHeight w:val="217"/>
        </w:trPr>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520" w:type="dxa"/>
            <w:vAlign w:val="bottom"/>
          </w:tcPr>
          <w:p>
            <w:pPr>
              <w:ind w:left="100"/>
              <w:spacing w:after="0"/>
              <w:rPr>
                <w:sz w:val="20"/>
                <w:szCs w:val="20"/>
                <w:color w:val="auto"/>
              </w:rPr>
            </w:pPr>
            <w:r>
              <w:rPr>
                <w:rFonts w:ascii="Arial" w:cs="Arial" w:eastAsia="Arial" w:hAnsi="Arial"/>
                <w:sz w:val="18"/>
                <w:szCs w:val="18"/>
                <w:color w:val="auto"/>
              </w:rPr>
              <w:t>Young, Mr. de Villa was a Partner at A.T. Kearney’s Global Financial Institutions Group.</w:t>
            </w:r>
          </w:p>
        </w:tc>
      </w:tr>
      <w:tr>
        <w:trPr>
          <w:trHeight w:val="864"/>
        </w:trPr>
        <w:tc>
          <w:tcPr>
            <w:tcW w:w="1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-4664710</wp:posOffset>
            </wp:positionV>
            <wp:extent cx="72294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51"/>
        </w:trPr>
        <w:tc>
          <w:tcPr>
            <w:tcW w:w="1420" w:type="dxa"/>
            <w:vAlign w:val="bottom"/>
            <w:tcBorders>
              <w:bottom w:val="single" w:sz="8" w:color="508BC7"/>
            </w:tcBorders>
            <w:shd w:val="clear" w:color="auto" w:fill="508BC7"/>
          </w:tcPr>
          <w:p>
            <w:pPr>
              <w:ind w:left="460"/>
              <w:spacing w:after="0"/>
              <w:rPr>
                <w:sz w:val="20"/>
                <w:szCs w:val="20"/>
                <w:color w:val="auto"/>
              </w:rPr>
            </w:pPr>
            <w:r>
              <w:rPr>
                <w:rFonts w:ascii="Arial" w:cs="Arial" w:eastAsia="Arial" w:hAnsi="Arial"/>
                <w:sz w:val="18"/>
                <w:szCs w:val="18"/>
                <w:b w:val="1"/>
                <w:bCs w:val="1"/>
                <w:color w:val="FFFFFF"/>
              </w:rPr>
              <w:t>Name</w:t>
            </w:r>
          </w:p>
        </w:tc>
        <w:tc>
          <w:tcPr>
            <w:tcW w:w="1420" w:type="dxa"/>
            <w:vAlign w:val="bottom"/>
            <w:tcBorders>
              <w:bottom w:val="single" w:sz="8" w:color="508BC7"/>
            </w:tcBorders>
            <w:shd w:val="clear" w:color="auto" w:fill="508BC7"/>
          </w:tcPr>
          <w:p>
            <w:pPr>
              <w:ind w:left="420"/>
              <w:spacing w:after="0"/>
              <w:rPr>
                <w:sz w:val="20"/>
                <w:szCs w:val="20"/>
                <w:color w:val="auto"/>
              </w:rPr>
            </w:pPr>
            <w:r>
              <w:rPr>
                <w:rFonts w:ascii="Arial" w:cs="Arial" w:eastAsia="Arial" w:hAnsi="Arial"/>
                <w:sz w:val="18"/>
                <w:szCs w:val="18"/>
                <w:b w:val="1"/>
                <w:bCs w:val="1"/>
                <w:color w:val="FFFFFF"/>
              </w:rPr>
              <w:t>Position</w:t>
            </w:r>
          </w:p>
        </w:tc>
        <w:tc>
          <w:tcPr>
            <w:tcW w:w="8580" w:type="dxa"/>
            <w:vAlign w:val="bottom"/>
            <w:tcBorders>
              <w:bottom w:val="single" w:sz="8" w:color="508BC7"/>
            </w:tcBorders>
            <w:shd w:val="clear" w:color="auto" w:fill="508BC7"/>
          </w:tcPr>
          <w:p>
            <w:pPr>
              <w:ind w:left="3300"/>
              <w:spacing w:after="0"/>
              <w:rPr>
                <w:sz w:val="20"/>
                <w:szCs w:val="20"/>
                <w:color w:val="auto"/>
              </w:rPr>
            </w:pPr>
            <w:r>
              <w:rPr>
                <w:rFonts w:ascii="Arial" w:cs="Arial" w:eastAsia="Arial" w:hAnsi="Arial"/>
                <w:sz w:val="18"/>
                <w:szCs w:val="18"/>
                <w:b w:val="1"/>
                <w:bCs w:val="1"/>
                <w:color w:val="FFFFFF"/>
              </w:rPr>
              <w:t>Biographical Information</w:t>
            </w:r>
          </w:p>
        </w:tc>
      </w:tr>
      <w:tr>
        <w:trPr>
          <w:trHeight w:val="202"/>
        </w:trPr>
        <w:tc>
          <w:tcPr>
            <w:tcW w:w="1420" w:type="dxa"/>
            <w:vAlign w:val="bottom"/>
            <w:shd w:val="clear" w:color="auto" w:fill="D0E0F0"/>
          </w:tcPr>
          <w:p>
            <w:pPr>
              <w:ind w:left="20"/>
              <w:spacing w:after="0" w:line="201" w:lineRule="exact"/>
              <w:rPr>
                <w:sz w:val="20"/>
                <w:szCs w:val="20"/>
                <w:color w:val="auto"/>
              </w:rPr>
            </w:pPr>
            <w:r>
              <w:rPr>
                <w:rFonts w:ascii="Arial" w:cs="Arial" w:eastAsia="Arial" w:hAnsi="Arial"/>
                <w:sz w:val="18"/>
                <w:szCs w:val="18"/>
                <w:color w:val="auto"/>
              </w:rPr>
              <w:t>Nalin Miglani</w:t>
            </w:r>
          </w:p>
        </w:tc>
        <w:tc>
          <w:tcPr>
            <w:tcW w:w="1420" w:type="dxa"/>
            <w:vAlign w:val="bottom"/>
            <w:shd w:val="clear" w:color="auto" w:fill="D0E0F0"/>
          </w:tcPr>
          <w:p>
            <w:pPr>
              <w:ind w:left="100"/>
              <w:spacing w:after="0" w:line="201" w:lineRule="exact"/>
              <w:rPr>
                <w:sz w:val="20"/>
                <w:szCs w:val="20"/>
                <w:color w:val="auto"/>
              </w:rPr>
            </w:pPr>
            <w:r>
              <w:rPr>
                <w:rFonts w:ascii="Arial" w:cs="Arial" w:eastAsia="Arial" w:hAnsi="Arial"/>
                <w:sz w:val="18"/>
                <w:szCs w:val="18"/>
                <w:color w:val="auto"/>
              </w:rPr>
              <w:t>Executive Vice</w:t>
            </w:r>
          </w:p>
        </w:tc>
        <w:tc>
          <w:tcPr>
            <w:tcW w:w="8580" w:type="dxa"/>
            <w:vAlign w:val="bottom"/>
            <w:shd w:val="clear" w:color="auto" w:fill="D0E0F0"/>
          </w:tcPr>
          <w:p>
            <w:pPr>
              <w:ind w:left="160"/>
              <w:spacing w:after="0" w:line="201" w:lineRule="exact"/>
              <w:rPr>
                <w:sz w:val="20"/>
                <w:szCs w:val="20"/>
                <w:color w:val="auto"/>
              </w:rPr>
            </w:pPr>
            <w:r>
              <w:rPr>
                <w:rFonts w:ascii="Arial" w:cs="Arial" w:eastAsia="Arial" w:hAnsi="Arial"/>
                <w:sz w:val="18"/>
                <w:szCs w:val="18"/>
                <w:color w:val="auto"/>
              </w:rPr>
              <w:t>Mr. Miglani has served as our Executive Vice President, Chief Human Resource Officer since December</w:t>
            </w:r>
          </w:p>
        </w:tc>
      </w:tr>
      <w:tr>
        <w:trPr>
          <w:trHeight w:val="203"/>
        </w:trPr>
        <w:tc>
          <w:tcPr>
            <w:tcW w:w="1420" w:type="dxa"/>
            <w:vAlign w:val="bottom"/>
            <w:shd w:val="clear" w:color="auto" w:fill="D0E0F0"/>
          </w:tcPr>
          <w:p>
            <w:pPr>
              <w:ind w:left="20"/>
              <w:spacing w:after="0" w:line="202" w:lineRule="exact"/>
              <w:rPr>
                <w:sz w:val="20"/>
                <w:szCs w:val="20"/>
                <w:color w:val="auto"/>
              </w:rPr>
            </w:pPr>
            <w:r>
              <w:rPr>
                <w:rFonts w:ascii="Arial" w:cs="Arial" w:eastAsia="Arial" w:hAnsi="Arial"/>
                <w:sz w:val="18"/>
                <w:szCs w:val="18"/>
                <w:color w:val="auto"/>
              </w:rPr>
              <w:t>(age 56)</w:t>
            </w:r>
          </w:p>
        </w:tc>
        <w:tc>
          <w:tcPr>
            <w:tcW w:w="14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President and</w:t>
            </w:r>
          </w:p>
        </w:tc>
        <w:tc>
          <w:tcPr>
            <w:tcW w:w="8580" w:type="dxa"/>
            <w:vAlign w:val="bottom"/>
            <w:shd w:val="clear" w:color="auto" w:fill="D0E0F0"/>
          </w:tcPr>
          <w:p>
            <w:pPr>
              <w:ind w:left="160"/>
              <w:spacing w:after="0" w:line="202" w:lineRule="exact"/>
              <w:rPr>
                <w:sz w:val="20"/>
                <w:szCs w:val="20"/>
                <w:color w:val="auto"/>
              </w:rPr>
            </w:pPr>
            <w:r>
              <w:rPr>
                <w:rFonts w:ascii="Arial" w:cs="Arial" w:eastAsia="Arial" w:hAnsi="Arial"/>
                <w:sz w:val="18"/>
                <w:szCs w:val="18"/>
                <w:color w:val="auto"/>
              </w:rPr>
              <w:t>2014. Mr. Miglani is responsible for the global human resources function at the Company. Prior to joining</w:t>
            </w:r>
          </w:p>
        </w:tc>
      </w:tr>
      <w:tr>
        <w:trPr>
          <w:trHeight w:val="203"/>
        </w:trPr>
        <w:tc>
          <w:tcPr>
            <w:tcW w:w="1420" w:type="dxa"/>
            <w:vAlign w:val="bottom"/>
            <w:shd w:val="clear" w:color="auto" w:fill="D0E0F0"/>
          </w:tcPr>
          <w:p>
            <w:pPr>
              <w:spacing w:after="0"/>
              <w:rPr>
                <w:sz w:val="17"/>
                <w:szCs w:val="17"/>
                <w:color w:val="auto"/>
              </w:rPr>
            </w:pPr>
          </w:p>
        </w:tc>
        <w:tc>
          <w:tcPr>
            <w:tcW w:w="14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Chief Human</w:t>
            </w:r>
          </w:p>
        </w:tc>
        <w:tc>
          <w:tcPr>
            <w:tcW w:w="8580" w:type="dxa"/>
            <w:vAlign w:val="bottom"/>
            <w:shd w:val="clear" w:color="auto" w:fill="D0E0F0"/>
          </w:tcPr>
          <w:p>
            <w:pPr>
              <w:ind w:left="160"/>
              <w:spacing w:after="0" w:line="202" w:lineRule="exact"/>
              <w:rPr>
                <w:sz w:val="20"/>
                <w:szCs w:val="20"/>
                <w:color w:val="auto"/>
              </w:rPr>
            </w:pPr>
            <w:r>
              <w:rPr>
                <w:rFonts w:ascii="Arial" w:cs="Arial" w:eastAsia="Arial" w:hAnsi="Arial"/>
                <w:sz w:val="18"/>
                <w:szCs w:val="18"/>
                <w:color w:val="auto"/>
              </w:rPr>
              <w:t>the Company, he was the Chief HR and Corporate Development Officer for Nutreco, based in</w:t>
            </w:r>
          </w:p>
        </w:tc>
      </w:tr>
      <w:tr>
        <w:trPr>
          <w:trHeight w:val="203"/>
        </w:trPr>
        <w:tc>
          <w:tcPr>
            <w:tcW w:w="1420" w:type="dxa"/>
            <w:vAlign w:val="bottom"/>
            <w:shd w:val="clear" w:color="auto" w:fill="D0E0F0"/>
          </w:tcPr>
          <w:p>
            <w:pPr>
              <w:spacing w:after="0"/>
              <w:rPr>
                <w:sz w:val="17"/>
                <w:szCs w:val="17"/>
                <w:color w:val="auto"/>
              </w:rPr>
            </w:pPr>
          </w:p>
        </w:tc>
        <w:tc>
          <w:tcPr>
            <w:tcW w:w="14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Resource</w:t>
            </w:r>
          </w:p>
        </w:tc>
        <w:tc>
          <w:tcPr>
            <w:tcW w:w="8580" w:type="dxa"/>
            <w:vAlign w:val="bottom"/>
            <w:shd w:val="clear" w:color="auto" w:fill="D0E0F0"/>
          </w:tcPr>
          <w:p>
            <w:pPr>
              <w:ind w:left="160"/>
              <w:spacing w:after="0" w:line="202" w:lineRule="exact"/>
              <w:rPr>
                <w:sz w:val="20"/>
                <w:szCs w:val="20"/>
                <w:color w:val="auto"/>
              </w:rPr>
            </w:pPr>
            <w:r>
              <w:rPr>
                <w:rFonts w:ascii="Arial" w:cs="Arial" w:eastAsia="Arial" w:hAnsi="Arial"/>
                <w:sz w:val="18"/>
                <w:szCs w:val="18"/>
                <w:color w:val="auto"/>
              </w:rPr>
              <w:t>Amsterdam, Netherlands, from March 2013 to November 2014. Mr. Miglani also served as the Chief HR</w:t>
            </w:r>
          </w:p>
        </w:tc>
      </w:tr>
      <w:tr>
        <w:trPr>
          <w:trHeight w:val="203"/>
        </w:trPr>
        <w:tc>
          <w:tcPr>
            <w:tcW w:w="1420" w:type="dxa"/>
            <w:vAlign w:val="bottom"/>
            <w:shd w:val="clear" w:color="auto" w:fill="D0E0F0"/>
          </w:tcPr>
          <w:p>
            <w:pPr>
              <w:spacing w:after="0"/>
              <w:rPr>
                <w:sz w:val="17"/>
                <w:szCs w:val="17"/>
                <w:color w:val="auto"/>
              </w:rPr>
            </w:pPr>
          </w:p>
        </w:tc>
        <w:tc>
          <w:tcPr>
            <w:tcW w:w="14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Officer</w:t>
            </w:r>
          </w:p>
        </w:tc>
        <w:tc>
          <w:tcPr>
            <w:tcW w:w="8580" w:type="dxa"/>
            <w:vAlign w:val="bottom"/>
            <w:shd w:val="clear" w:color="auto" w:fill="D0E0F0"/>
          </w:tcPr>
          <w:p>
            <w:pPr>
              <w:ind w:left="160"/>
              <w:spacing w:after="0" w:line="202" w:lineRule="exact"/>
              <w:rPr>
                <w:sz w:val="20"/>
                <w:szCs w:val="20"/>
                <w:color w:val="auto"/>
              </w:rPr>
            </w:pPr>
            <w:r>
              <w:rPr>
                <w:rFonts w:ascii="Arial" w:cs="Arial" w:eastAsia="Arial" w:hAnsi="Arial"/>
                <w:sz w:val="18"/>
                <w:szCs w:val="18"/>
                <w:color w:val="auto"/>
              </w:rPr>
              <w:t>and Communications Officer for Tata Global Beverages Company, London, UK, from June 2008 to</w:t>
            </w:r>
          </w:p>
        </w:tc>
      </w:tr>
      <w:tr>
        <w:trPr>
          <w:trHeight w:val="203"/>
        </w:trPr>
        <w:tc>
          <w:tcPr>
            <w:tcW w:w="1420" w:type="dxa"/>
            <w:vAlign w:val="bottom"/>
            <w:shd w:val="clear" w:color="auto" w:fill="D0E0F0"/>
          </w:tcPr>
          <w:p>
            <w:pPr>
              <w:spacing w:after="0"/>
              <w:rPr>
                <w:sz w:val="17"/>
                <w:szCs w:val="17"/>
                <w:color w:val="auto"/>
              </w:rPr>
            </w:pPr>
          </w:p>
        </w:tc>
        <w:tc>
          <w:tcPr>
            <w:tcW w:w="1420" w:type="dxa"/>
            <w:vAlign w:val="bottom"/>
            <w:shd w:val="clear" w:color="auto" w:fill="D0E0F0"/>
          </w:tcPr>
          <w:p>
            <w:pPr>
              <w:spacing w:after="0"/>
              <w:rPr>
                <w:sz w:val="17"/>
                <w:szCs w:val="17"/>
                <w:color w:val="auto"/>
              </w:rPr>
            </w:pPr>
          </w:p>
        </w:tc>
        <w:tc>
          <w:tcPr>
            <w:tcW w:w="8580" w:type="dxa"/>
            <w:vAlign w:val="bottom"/>
            <w:shd w:val="clear" w:color="auto" w:fill="D0E0F0"/>
          </w:tcPr>
          <w:p>
            <w:pPr>
              <w:ind w:left="160"/>
              <w:spacing w:after="0" w:line="202" w:lineRule="exact"/>
              <w:rPr>
                <w:sz w:val="20"/>
                <w:szCs w:val="20"/>
                <w:color w:val="auto"/>
              </w:rPr>
            </w:pPr>
            <w:r>
              <w:rPr>
                <w:rFonts w:ascii="Arial" w:cs="Arial" w:eastAsia="Arial" w:hAnsi="Arial"/>
                <w:sz w:val="18"/>
                <w:szCs w:val="18"/>
                <w:color w:val="auto"/>
              </w:rPr>
              <w:t>February 2013. In addition, Mr. Miglani held various global and regional HR leadership roles around the</w:t>
            </w:r>
          </w:p>
        </w:tc>
      </w:tr>
      <w:tr>
        <w:trPr>
          <w:trHeight w:val="203"/>
        </w:trPr>
        <w:tc>
          <w:tcPr>
            <w:tcW w:w="1420" w:type="dxa"/>
            <w:vAlign w:val="bottom"/>
            <w:shd w:val="clear" w:color="auto" w:fill="D0E0F0"/>
          </w:tcPr>
          <w:p>
            <w:pPr>
              <w:spacing w:after="0"/>
              <w:rPr>
                <w:sz w:val="17"/>
                <w:szCs w:val="17"/>
                <w:color w:val="auto"/>
              </w:rPr>
            </w:pPr>
          </w:p>
        </w:tc>
        <w:tc>
          <w:tcPr>
            <w:tcW w:w="1420" w:type="dxa"/>
            <w:vAlign w:val="bottom"/>
            <w:shd w:val="clear" w:color="auto" w:fill="D0E0F0"/>
          </w:tcPr>
          <w:p>
            <w:pPr>
              <w:spacing w:after="0"/>
              <w:rPr>
                <w:sz w:val="17"/>
                <w:szCs w:val="17"/>
                <w:color w:val="auto"/>
              </w:rPr>
            </w:pPr>
          </w:p>
        </w:tc>
        <w:tc>
          <w:tcPr>
            <w:tcW w:w="8580" w:type="dxa"/>
            <w:vAlign w:val="bottom"/>
            <w:shd w:val="clear" w:color="auto" w:fill="D0E0F0"/>
          </w:tcPr>
          <w:p>
            <w:pPr>
              <w:ind w:left="160"/>
              <w:spacing w:after="0" w:line="203" w:lineRule="exact"/>
              <w:rPr>
                <w:sz w:val="20"/>
                <w:szCs w:val="20"/>
                <w:color w:val="auto"/>
              </w:rPr>
            </w:pPr>
            <w:r>
              <w:rPr>
                <w:rFonts w:ascii="Arial" w:cs="Arial" w:eastAsia="Arial" w:hAnsi="Arial"/>
                <w:sz w:val="18"/>
                <w:szCs w:val="18"/>
                <w:color w:val="auto"/>
              </w:rPr>
              <w:t>world during his career at The Coca-Cola Company and British American Tobacco.</w:t>
            </w:r>
          </w:p>
        </w:tc>
      </w:tr>
      <w:tr>
        <w:trPr>
          <w:trHeight w:val="202"/>
        </w:trPr>
        <w:tc>
          <w:tcPr>
            <w:tcW w:w="1420" w:type="dxa"/>
            <w:vAlign w:val="bottom"/>
          </w:tcPr>
          <w:p>
            <w:pPr>
              <w:ind w:left="20"/>
              <w:spacing w:after="0" w:line="201" w:lineRule="exact"/>
              <w:rPr>
                <w:sz w:val="20"/>
                <w:szCs w:val="20"/>
                <w:color w:val="auto"/>
              </w:rPr>
            </w:pPr>
            <w:r>
              <w:rPr>
                <w:rFonts w:ascii="Arial" w:cs="Arial" w:eastAsia="Arial" w:hAnsi="Arial"/>
                <w:sz w:val="18"/>
                <w:szCs w:val="18"/>
                <w:color w:val="auto"/>
              </w:rPr>
              <w:t>Nancy Saltzman</w:t>
            </w:r>
          </w:p>
        </w:tc>
        <w:tc>
          <w:tcPr>
            <w:tcW w:w="1420" w:type="dxa"/>
            <w:vAlign w:val="bottom"/>
          </w:tcPr>
          <w:p>
            <w:pPr>
              <w:ind w:left="100"/>
              <w:spacing w:after="0" w:line="201" w:lineRule="exact"/>
              <w:rPr>
                <w:sz w:val="20"/>
                <w:szCs w:val="20"/>
                <w:color w:val="auto"/>
              </w:rPr>
            </w:pPr>
            <w:r>
              <w:rPr>
                <w:rFonts w:ascii="Arial" w:cs="Arial" w:eastAsia="Arial" w:hAnsi="Arial"/>
                <w:sz w:val="18"/>
                <w:szCs w:val="18"/>
                <w:color w:val="auto"/>
              </w:rPr>
              <w:t>Executive Vice</w:t>
            </w:r>
          </w:p>
        </w:tc>
        <w:tc>
          <w:tcPr>
            <w:tcW w:w="8580" w:type="dxa"/>
            <w:vAlign w:val="bottom"/>
          </w:tcPr>
          <w:p>
            <w:pPr>
              <w:ind w:left="160"/>
              <w:spacing w:after="0" w:line="201" w:lineRule="exact"/>
              <w:rPr>
                <w:sz w:val="20"/>
                <w:szCs w:val="20"/>
                <w:color w:val="auto"/>
              </w:rPr>
            </w:pPr>
            <w:r>
              <w:rPr>
                <w:rFonts w:ascii="Arial" w:cs="Arial" w:eastAsia="Arial" w:hAnsi="Arial"/>
                <w:sz w:val="18"/>
                <w:szCs w:val="18"/>
                <w:color w:val="auto"/>
              </w:rPr>
              <w:t>Ms. Saltzman has served as our Executive Vice President and General Counsel since April 2014.</w:t>
            </w:r>
          </w:p>
        </w:tc>
      </w:tr>
      <w:tr>
        <w:trPr>
          <w:trHeight w:val="203"/>
        </w:trPr>
        <w:tc>
          <w:tcPr>
            <w:tcW w:w="1420" w:type="dxa"/>
            <w:vAlign w:val="bottom"/>
          </w:tcPr>
          <w:p>
            <w:pPr>
              <w:ind w:left="20"/>
              <w:spacing w:after="0" w:line="202" w:lineRule="exact"/>
              <w:rPr>
                <w:sz w:val="20"/>
                <w:szCs w:val="20"/>
                <w:color w:val="auto"/>
              </w:rPr>
            </w:pPr>
            <w:r>
              <w:rPr>
                <w:rFonts w:ascii="Arial" w:cs="Arial" w:eastAsia="Arial" w:hAnsi="Arial"/>
                <w:sz w:val="18"/>
                <w:szCs w:val="18"/>
                <w:color w:val="auto"/>
              </w:rPr>
              <w:t>(age 51)</w:t>
            </w:r>
          </w:p>
        </w:tc>
        <w:tc>
          <w:tcPr>
            <w:tcW w:w="1420" w:type="dxa"/>
            <w:vAlign w:val="bottom"/>
          </w:tcPr>
          <w:p>
            <w:pPr>
              <w:ind w:left="100"/>
              <w:spacing w:after="0" w:line="202" w:lineRule="exact"/>
              <w:rPr>
                <w:sz w:val="20"/>
                <w:szCs w:val="20"/>
                <w:color w:val="auto"/>
              </w:rPr>
            </w:pPr>
            <w:r>
              <w:rPr>
                <w:rFonts w:ascii="Arial" w:cs="Arial" w:eastAsia="Arial" w:hAnsi="Arial"/>
                <w:sz w:val="18"/>
                <w:szCs w:val="18"/>
                <w:color w:val="auto"/>
              </w:rPr>
              <w:t>President,</w:t>
            </w:r>
          </w:p>
        </w:tc>
        <w:tc>
          <w:tcPr>
            <w:tcW w:w="8580" w:type="dxa"/>
            <w:vAlign w:val="bottom"/>
          </w:tcPr>
          <w:p>
            <w:pPr>
              <w:ind w:left="160"/>
              <w:spacing w:after="0" w:line="202" w:lineRule="exact"/>
              <w:rPr>
                <w:sz w:val="20"/>
                <w:szCs w:val="20"/>
                <w:color w:val="auto"/>
              </w:rPr>
            </w:pPr>
            <w:r>
              <w:rPr>
                <w:rFonts w:ascii="Arial" w:cs="Arial" w:eastAsia="Arial" w:hAnsi="Arial"/>
                <w:sz w:val="18"/>
                <w:szCs w:val="18"/>
                <w:color w:val="auto"/>
              </w:rPr>
              <w:t>Ms. Saltzman also serves as Corporate Secretary of the Company. In July 2016, Ms. Saltzman was</w:t>
            </w:r>
          </w:p>
        </w:tc>
      </w:tr>
      <w:tr>
        <w:trPr>
          <w:trHeight w:val="203"/>
        </w:trPr>
        <w:tc>
          <w:tcPr>
            <w:tcW w:w="1420" w:type="dxa"/>
            <w:vAlign w:val="bottom"/>
          </w:tcPr>
          <w:p>
            <w:pPr>
              <w:spacing w:after="0"/>
              <w:rPr>
                <w:sz w:val="17"/>
                <w:szCs w:val="17"/>
                <w:color w:val="auto"/>
              </w:rPr>
            </w:pPr>
          </w:p>
        </w:tc>
        <w:tc>
          <w:tcPr>
            <w:tcW w:w="1420" w:type="dxa"/>
            <w:vAlign w:val="bottom"/>
          </w:tcPr>
          <w:p>
            <w:pPr>
              <w:ind w:left="100"/>
              <w:spacing w:after="0" w:line="202" w:lineRule="exact"/>
              <w:rPr>
                <w:sz w:val="20"/>
                <w:szCs w:val="20"/>
                <w:color w:val="auto"/>
              </w:rPr>
            </w:pPr>
            <w:r>
              <w:rPr>
                <w:rFonts w:ascii="Arial" w:cs="Arial" w:eastAsia="Arial" w:hAnsi="Arial"/>
                <w:sz w:val="18"/>
                <w:szCs w:val="18"/>
                <w:color w:val="auto"/>
              </w:rPr>
              <w:t>General</w:t>
            </w:r>
          </w:p>
        </w:tc>
        <w:tc>
          <w:tcPr>
            <w:tcW w:w="8580" w:type="dxa"/>
            <w:vAlign w:val="bottom"/>
          </w:tcPr>
          <w:p>
            <w:pPr>
              <w:ind w:left="160"/>
              <w:spacing w:after="0" w:line="202" w:lineRule="exact"/>
              <w:rPr>
                <w:sz w:val="20"/>
                <w:szCs w:val="20"/>
                <w:color w:val="auto"/>
              </w:rPr>
            </w:pPr>
            <w:r>
              <w:rPr>
                <w:rFonts w:ascii="Arial" w:cs="Arial" w:eastAsia="Arial" w:hAnsi="Arial"/>
                <w:sz w:val="18"/>
                <w:szCs w:val="18"/>
                <w:color w:val="auto"/>
              </w:rPr>
              <w:t>appointed as the Company’s Chief Compliance Officer. Prior to joining us, Ms. Saltzman was Senior Vice</w:t>
            </w:r>
          </w:p>
        </w:tc>
      </w:tr>
      <w:tr>
        <w:trPr>
          <w:trHeight w:val="203"/>
        </w:trPr>
        <w:tc>
          <w:tcPr>
            <w:tcW w:w="1420" w:type="dxa"/>
            <w:vAlign w:val="bottom"/>
          </w:tcPr>
          <w:p>
            <w:pPr>
              <w:spacing w:after="0"/>
              <w:rPr>
                <w:sz w:val="17"/>
                <w:szCs w:val="17"/>
                <w:color w:val="auto"/>
              </w:rPr>
            </w:pPr>
          </w:p>
        </w:tc>
        <w:tc>
          <w:tcPr>
            <w:tcW w:w="1420" w:type="dxa"/>
            <w:vAlign w:val="bottom"/>
          </w:tcPr>
          <w:p>
            <w:pPr>
              <w:ind w:left="100"/>
              <w:spacing w:after="0" w:line="202" w:lineRule="exact"/>
              <w:rPr>
                <w:sz w:val="20"/>
                <w:szCs w:val="20"/>
                <w:color w:val="auto"/>
              </w:rPr>
            </w:pPr>
            <w:r>
              <w:rPr>
                <w:rFonts w:ascii="Arial" w:cs="Arial" w:eastAsia="Arial" w:hAnsi="Arial"/>
                <w:sz w:val="18"/>
                <w:szCs w:val="18"/>
                <w:color w:val="auto"/>
              </w:rPr>
              <w:t>Counsel, Chief</w:t>
            </w:r>
          </w:p>
        </w:tc>
        <w:tc>
          <w:tcPr>
            <w:tcW w:w="8580" w:type="dxa"/>
            <w:vAlign w:val="bottom"/>
          </w:tcPr>
          <w:p>
            <w:pPr>
              <w:ind w:left="160"/>
              <w:spacing w:after="0" w:line="202" w:lineRule="exact"/>
              <w:rPr>
                <w:sz w:val="20"/>
                <w:szCs w:val="20"/>
                <w:color w:val="auto"/>
              </w:rPr>
            </w:pPr>
            <w:r>
              <w:rPr>
                <w:rFonts w:ascii="Arial" w:cs="Arial" w:eastAsia="Arial" w:hAnsi="Arial"/>
                <w:sz w:val="18"/>
                <w:szCs w:val="18"/>
                <w:color w:val="auto"/>
              </w:rPr>
              <w:t>President, General Counsel and Corporate Secretary for Westcon Group, Inc. from January 2005 to April</w:t>
            </w:r>
          </w:p>
        </w:tc>
      </w:tr>
      <w:tr>
        <w:trPr>
          <w:trHeight w:val="203"/>
        </w:trPr>
        <w:tc>
          <w:tcPr>
            <w:tcW w:w="1420" w:type="dxa"/>
            <w:vAlign w:val="bottom"/>
          </w:tcPr>
          <w:p>
            <w:pPr>
              <w:spacing w:after="0"/>
              <w:rPr>
                <w:sz w:val="17"/>
                <w:szCs w:val="17"/>
                <w:color w:val="auto"/>
              </w:rPr>
            </w:pPr>
          </w:p>
        </w:tc>
        <w:tc>
          <w:tcPr>
            <w:tcW w:w="1420" w:type="dxa"/>
            <w:vAlign w:val="bottom"/>
          </w:tcPr>
          <w:p>
            <w:pPr>
              <w:ind w:left="100"/>
              <w:spacing w:after="0" w:line="202" w:lineRule="exact"/>
              <w:rPr>
                <w:sz w:val="20"/>
                <w:szCs w:val="20"/>
                <w:color w:val="auto"/>
              </w:rPr>
            </w:pPr>
            <w:r>
              <w:rPr>
                <w:rFonts w:ascii="Arial" w:cs="Arial" w:eastAsia="Arial" w:hAnsi="Arial"/>
                <w:sz w:val="18"/>
                <w:szCs w:val="18"/>
                <w:color w:val="auto"/>
              </w:rPr>
              <w:t>Compliance</w:t>
            </w:r>
          </w:p>
        </w:tc>
        <w:tc>
          <w:tcPr>
            <w:tcW w:w="8580" w:type="dxa"/>
            <w:vAlign w:val="bottom"/>
          </w:tcPr>
          <w:p>
            <w:pPr>
              <w:ind w:left="160"/>
              <w:spacing w:after="0" w:line="202" w:lineRule="exact"/>
              <w:rPr>
                <w:sz w:val="20"/>
                <w:szCs w:val="20"/>
                <w:color w:val="auto"/>
              </w:rPr>
            </w:pPr>
            <w:r>
              <w:rPr>
                <w:rFonts w:ascii="Arial" w:cs="Arial" w:eastAsia="Arial" w:hAnsi="Arial"/>
                <w:sz w:val="18"/>
                <w:szCs w:val="18"/>
                <w:color w:val="auto"/>
              </w:rPr>
              <w:t>2014. Prior to joining Westcon Group, Inc., Ms. Saltzman was a Senior Associate with the law firm of</w:t>
            </w:r>
          </w:p>
        </w:tc>
      </w:tr>
      <w:tr>
        <w:trPr>
          <w:trHeight w:val="203"/>
        </w:trPr>
        <w:tc>
          <w:tcPr>
            <w:tcW w:w="1420" w:type="dxa"/>
            <w:vAlign w:val="bottom"/>
          </w:tcPr>
          <w:p>
            <w:pPr>
              <w:spacing w:after="0"/>
              <w:rPr>
                <w:sz w:val="17"/>
                <w:szCs w:val="17"/>
                <w:color w:val="auto"/>
              </w:rPr>
            </w:pPr>
          </w:p>
        </w:tc>
        <w:tc>
          <w:tcPr>
            <w:tcW w:w="1420" w:type="dxa"/>
            <w:vAlign w:val="bottom"/>
          </w:tcPr>
          <w:p>
            <w:pPr>
              <w:ind w:left="100"/>
              <w:spacing w:after="0" w:line="202" w:lineRule="exact"/>
              <w:rPr>
                <w:sz w:val="20"/>
                <w:szCs w:val="20"/>
                <w:color w:val="auto"/>
              </w:rPr>
            </w:pPr>
            <w:r>
              <w:rPr>
                <w:rFonts w:ascii="Arial" w:cs="Arial" w:eastAsia="Arial" w:hAnsi="Arial"/>
                <w:sz w:val="18"/>
                <w:szCs w:val="18"/>
                <w:color w:val="auto"/>
              </w:rPr>
              <w:t>Officer and</w:t>
            </w:r>
          </w:p>
        </w:tc>
        <w:tc>
          <w:tcPr>
            <w:tcW w:w="8580" w:type="dxa"/>
            <w:vAlign w:val="bottom"/>
          </w:tcPr>
          <w:p>
            <w:pPr>
              <w:ind w:left="160"/>
              <w:spacing w:after="0" w:line="202" w:lineRule="exact"/>
              <w:rPr>
                <w:sz w:val="20"/>
                <w:szCs w:val="20"/>
                <w:color w:val="auto"/>
              </w:rPr>
            </w:pPr>
            <w:r>
              <w:rPr>
                <w:rFonts w:ascii="Arial" w:cs="Arial" w:eastAsia="Arial" w:hAnsi="Arial"/>
                <w:sz w:val="18"/>
                <w:szCs w:val="18"/>
                <w:color w:val="auto"/>
              </w:rPr>
              <w:t>Dewey Ballantine LLP from October 1998 to April 2000, the Associate General Counsel and Vice</w:t>
            </w:r>
          </w:p>
        </w:tc>
      </w:tr>
      <w:tr>
        <w:trPr>
          <w:trHeight w:val="203"/>
        </w:trPr>
        <w:tc>
          <w:tcPr>
            <w:tcW w:w="1420" w:type="dxa"/>
            <w:vAlign w:val="bottom"/>
          </w:tcPr>
          <w:p>
            <w:pPr>
              <w:spacing w:after="0"/>
              <w:rPr>
                <w:sz w:val="17"/>
                <w:szCs w:val="17"/>
                <w:color w:val="auto"/>
              </w:rPr>
            </w:pPr>
          </w:p>
        </w:tc>
        <w:tc>
          <w:tcPr>
            <w:tcW w:w="1420" w:type="dxa"/>
            <w:vAlign w:val="bottom"/>
          </w:tcPr>
          <w:p>
            <w:pPr>
              <w:ind w:left="100"/>
              <w:spacing w:after="0" w:line="202" w:lineRule="exact"/>
              <w:rPr>
                <w:sz w:val="20"/>
                <w:szCs w:val="20"/>
                <w:color w:val="auto"/>
              </w:rPr>
            </w:pPr>
            <w:r>
              <w:rPr>
                <w:rFonts w:ascii="Arial" w:cs="Arial" w:eastAsia="Arial" w:hAnsi="Arial"/>
                <w:sz w:val="18"/>
                <w:szCs w:val="18"/>
                <w:color w:val="auto"/>
              </w:rPr>
              <w:t>Corporate</w:t>
            </w:r>
          </w:p>
        </w:tc>
        <w:tc>
          <w:tcPr>
            <w:tcW w:w="8580" w:type="dxa"/>
            <w:vAlign w:val="bottom"/>
          </w:tcPr>
          <w:p>
            <w:pPr>
              <w:ind w:left="160"/>
              <w:spacing w:after="0" w:line="202" w:lineRule="exact"/>
              <w:rPr>
                <w:sz w:val="20"/>
                <w:szCs w:val="20"/>
                <w:color w:val="auto"/>
              </w:rPr>
            </w:pPr>
            <w:r>
              <w:rPr>
                <w:rFonts w:ascii="Arial" w:cs="Arial" w:eastAsia="Arial" w:hAnsi="Arial"/>
                <w:sz w:val="18"/>
                <w:szCs w:val="18"/>
                <w:color w:val="auto"/>
              </w:rPr>
              <w:t>President Investor Relations at Chartwell Re Corporation from October 1995 to October 1998 and prior to</w:t>
            </w:r>
          </w:p>
        </w:tc>
      </w:tr>
      <w:tr>
        <w:trPr>
          <w:trHeight w:val="203"/>
        </w:trPr>
        <w:tc>
          <w:tcPr>
            <w:tcW w:w="142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Arial" w:cs="Arial" w:eastAsia="Arial" w:hAnsi="Arial"/>
                <w:sz w:val="18"/>
                <w:szCs w:val="18"/>
                <w:color w:val="auto"/>
              </w:rPr>
              <w:t>Secretary</w:t>
            </w:r>
          </w:p>
        </w:tc>
        <w:tc>
          <w:tcPr>
            <w:tcW w:w="8580" w:type="dxa"/>
            <w:vAlign w:val="bottom"/>
          </w:tcPr>
          <w:p>
            <w:pPr>
              <w:ind w:left="160"/>
              <w:spacing w:after="0" w:line="203" w:lineRule="exact"/>
              <w:rPr>
                <w:sz w:val="20"/>
                <w:szCs w:val="20"/>
                <w:color w:val="auto"/>
              </w:rPr>
            </w:pPr>
            <w:r>
              <w:rPr>
                <w:rFonts w:ascii="Arial" w:cs="Arial" w:eastAsia="Arial" w:hAnsi="Arial"/>
                <w:sz w:val="18"/>
                <w:szCs w:val="18"/>
                <w:color w:val="auto"/>
              </w:rPr>
              <w:t>that an Associate with the law firm of Dewey Ballantine LLP from September 1992 to October 1995.</w:t>
            </w:r>
          </w:p>
        </w:tc>
      </w:tr>
      <w:tr>
        <w:trPr>
          <w:trHeight w:val="202"/>
        </w:trPr>
        <w:tc>
          <w:tcPr>
            <w:tcW w:w="1420" w:type="dxa"/>
            <w:vAlign w:val="bottom"/>
            <w:shd w:val="clear" w:color="auto" w:fill="D0E0F0"/>
          </w:tcPr>
          <w:p>
            <w:pPr>
              <w:ind w:left="20"/>
              <w:spacing w:after="0" w:line="201" w:lineRule="exact"/>
              <w:rPr>
                <w:sz w:val="20"/>
                <w:szCs w:val="20"/>
                <w:color w:val="auto"/>
              </w:rPr>
            </w:pPr>
            <w:r>
              <w:rPr>
                <w:rFonts w:ascii="Arial" w:cs="Arial" w:eastAsia="Arial" w:hAnsi="Arial"/>
                <w:sz w:val="18"/>
                <w:szCs w:val="18"/>
                <w:color w:val="auto"/>
              </w:rPr>
              <w:t>Nagaraja</w:t>
            </w:r>
          </w:p>
        </w:tc>
        <w:tc>
          <w:tcPr>
            <w:tcW w:w="1420" w:type="dxa"/>
            <w:vAlign w:val="bottom"/>
            <w:shd w:val="clear" w:color="auto" w:fill="D0E0F0"/>
          </w:tcPr>
          <w:p>
            <w:pPr>
              <w:ind w:left="100"/>
              <w:spacing w:after="0" w:line="201" w:lineRule="exact"/>
              <w:rPr>
                <w:sz w:val="20"/>
                <w:szCs w:val="20"/>
                <w:color w:val="auto"/>
              </w:rPr>
            </w:pPr>
            <w:r>
              <w:rPr>
                <w:rFonts w:ascii="Arial" w:cs="Arial" w:eastAsia="Arial" w:hAnsi="Arial"/>
                <w:sz w:val="18"/>
                <w:szCs w:val="18"/>
                <w:color w:val="auto"/>
              </w:rPr>
              <w:t>Executive Vice</w:t>
            </w:r>
          </w:p>
        </w:tc>
        <w:tc>
          <w:tcPr>
            <w:tcW w:w="8580" w:type="dxa"/>
            <w:vAlign w:val="bottom"/>
            <w:shd w:val="clear" w:color="auto" w:fill="D0E0F0"/>
          </w:tcPr>
          <w:p>
            <w:pPr>
              <w:ind w:left="160"/>
              <w:spacing w:after="0" w:line="201" w:lineRule="exact"/>
              <w:rPr>
                <w:sz w:val="20"/>
                <w:szCs w:val="20"/>
                <w:color w:val="auto"/>
              </w:rPr>
            </w:pPr>
            <w:r>
              <w:rPr>
                <w:rFonts w:ascii="Arial" w:cs="Arial" w:eastAsia="Arial" w:hAnsi="Arial"/>
                <w:sz w:val="18"/>
                <w:szCs w:val="18"/>
                <w:color w:val="auto"/>
              </w:rPr>
              <w:t>Mr. Srivatsan joined the Company as Executive Vice President and Chief Growth Officer in December of</w:t>
            </w:r>
          </w:p>
        </w:tc>
      </w:tr>
      <w:tr>
        <w:trPr>
          <w:trHeight w:val="203"/>
        </w:trPr>
        <w:tc>
          <w:tcPr>
            <w:tcW w:w="1420" w:type="dxa"/>
            <w:vAlign w:val="bottom"/>
            <w:shd w:val="clear" w:color="auto" w:fill="D0E0F0"/>
          </w:tcPr>
          <w:p>
            <w:pPr>
              <w:ind w:left="20"/>
              <w:spacing w:after="0" w:line="202" w:lineRule="exact"/>
              <w:rPr>
                <w:sz w:val="20"/>
                <w:szCs w:val="20"/>
                <w:color w:val="auto"/>
              </w:rPr>
            </w:pPr>
            <w:r>
              <w:rPr>
                <w:rFonts w:ascii="Arial" w:cs="Arial" w:eastAsia="Arial" w:hAnsi="Arial"/>
                <w:sz w:val="18"/>
                <w:szCs w:val="18"/>
                <w:color w:val="auto"/>
              </w:rPr>
              <w:t>Srivatsan</w:t>
            </w:r>
          </w:p>
        </w:tc>
        <w:tc>
          <w:tcPr>
            <w:tcW w:w="14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President and</w:t>
            </w:r>
          </w:p>
        </w:tc>
        <w:tc>
          <w:tcPr>
            <w:tcW w:w="8580" w:type="dxa"/>
            <w:vAlign w:val="bottom"/>
            <w:shd w:val="clear" w:color="auto" w:fill="D0E0F0"/>
          </w:tcPr>
          <w:p>
            <w:pPr>
              <w:ind w:left="160"/>
              <w:spacing w:after="0" w:line="202" w:lineRule="exact"/>
              <w:rPr>
                <w:sz w:val="20"/>
                <w:szCs w:val="20"/>
                <w:color w:val="auto"/>
              </w:rPr>
            </w:pPr>
            <w:r>
              <w:rPr>
                <w:rFonts w:ascii="Arial" w:cs="Arial" w:eastAsia="Arial" w:hAnsi="Arial"/>
                <w:sz w:val="18"/>
                <w:szCs w:val="18"/>
                <w:color w:val="auto"/>
              </w:rPr>
              <w:t>2016. Mr. Srivatsan is responsible for overseeing our sales and marketing, consulting, and strategy</w:t>
            </w:r>
          </w:p>
        </w:tc>
      </w:tr>
      <w:tr>
        <w:trPr>
          <w:trHeight w:val="203"/>
        </w:trPr>
        <w:tc>
          <w:tcPr>
            <w:tcW w:w="1420" w:type="dxa"/>
            <w:vAlign w:val="bottom"/>
            <w:shd w:val="clear" w:color="auto" w:fill="D0E0F0"/>
          </w:tcPr>
          <w:p>
            <w:pPr>
              <w:ind w:left="20"/>
              <w:spacing w:after="0" w:line="202" w:lineRule="exact"/>
              <w:rPr>
                <w:sz w:val="20"/>
                <w:szCs w:val="20"/>
                <w:color w:val="auto"/>
              </w:rPr>
            </w:pPr>
            <w:r>
              <w:rPr>
                <w:rFonts w:ascii="Arial" w:cs="Arial" w:eastAsia="Arial" w:hAnsi="Arial"/>
                <w:sz w:val="18"/>
                <w:szCs w:val="18"/>
                <w:color w:val="auto"/>
              </w:rPr>
              <w:t>(age 50)</w:t>
            </w:r>
          </w:p>
        </w:tc>
        <w:tc>
          <w:tcPr>
            <w:tcW w:w="14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Chief Growth</w:t>
            </w:r>
          </w:p>
        </w:tc>
        <w:tc>
          <w:tcPr>
            <w:tcW w:w="8580" w:type="dxa"/>
            <w:vAlign w:val="bottom"/>
            <w:shd w:val="clear" w:color="auto" w:fill="D0E0F0"/>
          </w:tcPr>
          <w:p>
            <w:pPr>
              <w:ind w:left="160"/>
              <w:spacing w:after="0" w:line="202" w:lineRule="exact"/>
              <w:rPr>
                <w:sz w:val="20"/>
                <w:szCs w:val="20"/>
                <w:color w:val="auto"/>
              </w:rPr>
            </w:pPr>
            <w:r>
              <w:rPr>
                <w:rFonts w:ascii="Arial" w:cs="Arial" w:eastAsia="Arial" w:hAnsi="Arial"/>
                <w:sz w:val="18"/>
                <w:szCs w:val="18"/>
                <w:color w:val="auto"/>
              </w:rPr>
              <w:t>functions. Previously, he worked at Cognizant Technology Services beginning is 2002, where he served</w:t>
            </w:r>
          </w:p>
        </w:tc>
      </w:tr>
      <w:tr>
        <w:trPr>
          <w:trHeight w:val="203"/>
        </w:trPr>
        <w:tc>
          <w:tcPr>
            <w:tcW w:w="1420" w:type="dxa"/>
            <w:vAlign w:val="bottom"/>
            <w:shd w:val="clear" w:color="auto" w:fill="D0E0F0"/>
          </w:tcPr>
          <w:p>
            <w:pPr>
              <w:spacing w:after="0"/>
              <w:rPr>
                <w:sz w:val="17"/>
                <w:szCs w:val="17"/>
                <w:color w:val="auto"/>
              </w:rPr>
            </w:pPr>
          </w:p>
        </w:tc>
        <w:tc>
          <w:tcPr>
            <w:tcW w:w="14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Officer</w:t>
            </w:r>
          </w:p>
        </w:tc>
        <w:tc>
          <w:tcPr>
            <w:tcW w:w="8580" w:type="dxa"/>
            <w:vAlign w:val="bottom"/>
            <w:shd w:val="clear" w:color="auto" w:fill="D0E0F0"/>
          </w:tcPr>
          <w:p>
            <w:pPr>
              <w:ind w:left="160"/>
              <w:spacing w:after="0" w:line="202" w:lineRule="exact"/>
              <w:rPr>
                <w:sz w:val="20"/>
                <w:szCs w:val="20"/>
                <w:color w:val="auto"/>
              </w:rPr>
            </w:pPr>
            <w:r>
              <w:rPr>
                <w:rFonts w:ascii="Arial" w:cs="Arial" w:eastAsia="Arial" w:hAnsi="Arial"/>
                <w:sz w:val="18"/>
                <w:szCs w:val="18"/>
                <w:color w:val="auto"/>
              </w:rPr>
              <w:t>as Senior Vice President and Venture Partner, working with emerging businesses and ventures in the</w:t>
            </w:r>
          </w:p>
        </w:tc>
      </w:tr>
      <w:tr>
        <w:trPr>
          <w:trHeight w:val="203"/>
        </w:trPr>
        <w:tc>
          <w:tcPr>
            <w:tcW w:w="1420" w:type="dxa"/>
            <w:vAlign w:val="bottom"/>
            <w:shd w:val="clear" w:color="auto" w:fill="D0E0F0"/>
          </w:tcPr>
          <w:p>
            <w:pPr>
              <w:spacing w:after="0"/>
              <w:rPr>
                <w:sz w:val="17"/>
                <w:szCs w:val="17"/>
                <w:color w:val="auto"/>
              </w:rPr>
            </w:pPr>
          </w:p>
        </w:tc>
        <w:tc>
          <w:tcPr>
            <w:tcW w:w="1420" w:type="dxa"/>
            <w:vAlign w:val="bottom"/>
            <w:shd w:val="clear" w:color="auto" w:fill="D0E0F0"/>
          </w:tcPr>
          <w:p>
            <w:pPr>
              <w:spacing w:after="0"/>
              <w:rPr>
                <w:sz w:val="17"/>
                <w:szCs w:val="17"/>
                <w:color w:val="auto"/>
              </w:rPr>
            </w:pPr>
          </w:p>
        </w:tc>
        <w:tc>
          <w:tcPr>
            <w:tcW w:w="8580" w:type="dxa"/>
            <w:vAlign w:val="bottom"/>
            <w:shd w:val="clear" w:color="auto" w:fill="D0E0F0"/>
          </w:tcPr>
          <w:p>
            <w:pPr>
              <w:ind w:left="160"/>
              <w:spacing w:after="0" w:line="202" w:lineRule="exact"/>
              <w:rPr>
                <w:sz w:val="20"/>
                <w:szCs w:val="20"/>
                <w:color w:val="auto"/>
              </w:rPr>
            </w:pPr>
            <w:r>
              <w:rPr>
                <w:rFonts w:ascii="Arial" w:cs="Arial" w:eastAsia="Arial" w:hAnsi="Arial"/>
                <w:sz w:val="18"/>
                <w:szCs w:val="18"/>
                <w:color w:val="auto"/>
              </w:rPr>
              <w:t>healthcare and life science industry. Mr. Srivatsan was Senior Vice President of Client Solutions at</w:t>
            </w:r>
          </w:p>
        </w:tc>
      </w:tr>
      <w:tr>
        <w:trPr>
          <w:trHeight w:val="203"/>
        </w:trPr>
        <w:tc>
          <w:tcPr>
            <w:tcW w:w="1420" w:type="dxa"/>
            <w:vAlign w:val="bottom"/>
            <w:shd w:val="clear" w:color="auto" w:fill="D0E0F0"/>
          </w:tcPr>
          <w:p>
            <w:pPr>
              <w:spacing w:after="0"/>
              <w:rPr>
                <w:sz w:val="17"/>
                <w:szCs w:val="17"/>
                <w:color w:val="auto"/>
              </w:rPr>
            </w:pPr>
          </w:p>
        </w:tc>
        <w:tc>
          <w:tcPr>
            <w:tcW w:w="1420" w:type="dxa"/>
            <w:vAlign w:val="bottom"/>
            <w:shd w:val="clear" w:color="auto" w:fill="D0E0F0"/>
          </w:tcPr>
          <w:p>
            <w:pPr>
              <w:spacing w:after="0"/>
              <w:rPr>
                <w:sz w:val="17"/>
                <w:szCs w:val="17"/>
                <w:color w:val="auto"/>
              </w:rPr>
            </w:pPr>
          </w:p>
        </w:tc>
        <w:tc>
          <w:tcPr>
            <w:tcW w:w="8580" w:type="dxa"/>
            <w:vAlign w:val="bottom"/>
            <w:shd w:val="clear" w:color="auto" w:fill="D0E0F0"/>
          </w:tcPr>
          <w:p>
            <w:pPr>
              <w:ind w:left="160"/>
              <w:spacing w:after="0" w:line="202" w:lineRule="exact"/>
              <w:rPr>
                <w:sz w:val="20"/>
                <w:szCs w:val="20"/>
                <w:color w:val="auto"/>
              </w:rPr>
            </w:pPr>
            <w:r>
              <w:rPr>
                <w:rFonts w:ascii="Arial" w:cs="Arial" w:eastAsia="Arial" w:hAnsi="Arial"/>
                <w:sz w:val="18"/>
                <w:szCs w:val="18"/>
                <w:color w:val="auto"/>
              </w:rPr>
              <w:t>Silverline Technologies from 2001 to 2002, Chief technology Officer and Executive Vice President of</w:t>
            </w:r>
          </w:p>
        </w:tc>
      </w:tr>
      <w:tr>
        <w:trPr>
          <w:trHeight w:val="203"/>
        </w:trPr>
        <w:tc>
          <w:tcPr>
            <w:tcW w:w="1420" w:type="dxa"/>
            <w:vAlign w:val="bottom"/>
            <w:shd w:val="clear" w:color="auto" w:fill="D0E0F0"/>
          </w:tcPr>
          <w:p>
            <w:pPr>
              <w:spacing w:after="0"/>
              <w:rPr>
                <w:sz w:val="17"/>
                <w:szCs w:val="17"/>
                <w:color w:val="auto"/>
              </w:rPr>
            </w:pPr>
          </w:p>
        </w:tc>
        <w:tc>
          <w:tcPr>
            <w:tcW w:w="1420" w:type="dxa"/>
            <w:vAlign w:val="bottom"/>
            <w:shd w:val="clear" w:color="auto" w:fill="D0E0F0"/>
          </w:tcPr>
          <w:p>
            <w:pPr>
              <w:spacing w:after="0"/>
              <w:rPr>
                <w:sz w:val="17"/>
                <w:szCs w:val="17"/>
                <w:color w:val="auto"/>
              </w:rPr>
            </w:pPr>
          </w:p>
        </w:tc>
        <w:tc>
          <w:tcPr>
            <w:tcW w:w="8580" w:type="dxa"/>
            <w:vAlign w:val="bottom"/>
            <w:shd w:val="clear" w:color="auto" w:fill="D0E0F0"/>
          </w:tcPr>
          <w:p>
            <w:pPr>
              <w:ind w:left="160"/>
              <w:spacing w:after="0" w:line="202" w:lineRule="exact"/>
              <w:rPr>
                <w:sz w:val="20"/>
                <w:szCs w:val="20"/>
                <w:color w:val="auto"/>
              </w:rPr>
            </w:pPr>
            <w:r>
              <w:rPr>
                <w:rFonts w:ascii="Arial" w:cs="Arial" w:eastAsia="Arial" w:hAnsi="Arial"/>
                <w:sz w:val="18"/>
                <w:szCs w:val="18"/>
                <w:color w:val="auto"/>
              </w:rPr>
              <w:t>Global Delivery at SeraNova from 1998 to 2001, and a Director at SEI Information Technology from 1992</w:t>
            </w:r>
          </w:p>
        </w:tc>
      </w:tr>
      <w:tr>
        <w:trPr>
          <w:trHeight w:val="203"/>
        </w:trPr>
        <w:tc>
          <w:tcPr>
            <w:tcW w:w="1420" w:type="dxa"/>
            <w:vAlign w:val="bottom"/>
            <w:shd w:val="clear" w:color="auto" w:fill="D0E0F0"/>
          </w:tcPr>
          <w:p>
            <w:pPr>
              <w:spacing w:after="0"/>
              <w:rPr>
                <w:sz w:val="17"/>
                <w:szCs w:val="17"/>
                <w:color w:val="auto"/>
              </w:rPr>
            </w:pPr>
          </w:p>
        </w:tc>
        <w:tc>
          <w:tcPr>
            <w:tcW w:w="1420" w:type="dxa"/>
            <w:vAlign w:val="bottom"/>
            <w:shd w:val="clear" w:color="auto" w:fill="D0E0F0"/>
          </w:tcPr>
          <w:p>
            <w:pPr>
              <w:spacing w:after="0"/>
              <w:rPr>
                <w:sz w:val="17"/>
                <w:szCs w:val="17"/>
                <w:color w:val="auto"/>
              </w:rPr>
            </w:pPr>
          </w:p>
        </w:tc>
        <w:tc>
          <w:tcPr>
            <w:tcW w:w="8580" w:type="dxa"/>
            <w:vAlign w:val="bottom"/>
            <w:shd w:val="clear" w:color="auto" w:fill="D0E0F0"/>
          </w:tcPr>
          <w:p>
            <w:pPr>
              <w:ind w:left="160"/>
              <w:spacing w:after="0" w:line="203" w:lineRule="exact"/>
              <w:rPr>
                <w:sz w:val="20"/>
                <w:szCs w:val="20"/>
                <w:color w:val="auto"/>
              </w:rPr>
            </w:pPr>
            <w:r>
              <w:rPr>
                <w:rFonts w:ascii="Arial" w:cs="Arial" w:eastAsia="Arial" w:hAnsi="Arial"/>
                <w:sz w:val="18"/>
                <w:szCs w:val="18"/>
                <w:color w:val="auto"/>
              </w:rPr>
              <w:t>to 1998.</w:t>
            </w:r>
          </w:p>
        </w:tc>
      </w:tr>
      <w:tr>
        <w:trPr>
          <w:trHeight w:val="446"/>
        </w:trPr>
        <w:tc>
          <w:tcPr>
            <w:tcW w:w="1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2800"/>
              <w:spacing w:after="0"/>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-3292475</wp:posOffset>
            </wp:positionV>
            <wp:extent cx="72294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22"/>
          <w:szCs w:val="22"/>
          <w:b w:val="1"/>
          <w:bCs w:val="1"/>
          <w:color w:val="508BC7"/>
        </w:rPr>
        <w:t>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Compensation Discussion and Analysis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Named Executive Officers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determined in accordance with SEC rules, our “named executive officers” for 2016 are:</w:t>
      </w:r>
    </w:p>
    <w:p>
      <w:pPr>
        <w:spacing w:after="0" w:line="194" w:lineRule="exact"/>
        <w:rPr>
          <w:sz w:val="20"/>
          <w:szCs w:val="20"/>
          <w:color w:val="auto"/>
        </w:rPr>
      </w:pPr>
    </w:p>
    <w:p>
      <w:pPr>
        <w:ind w:left="700" w:hanging="327"/>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Rohit Kapoor, our Vice Chairman and CEO;</w:t>
      </w:r>
    </w:p>
    <w:p>
      <w:pPr>
        <w:ind w:left="700" w:hanging="327"/>
        <w:spacing w:after="0" w:line="234"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Vishal Chhibbar, our Executive Vice President and CFO;</w:t>
      </w:r>
    </w:p>
    <w:p>
      <w:pPr>
        <w:ind w:left="700" w:hanging="327"/>
        <w:spacing w:after="0" w:line="234"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Pavan Bagai, our President and Chief Operating Officer;</w:t>
      </w:r>
    </w:p>
    <w:p>
      <w:pPr>
        <w:ind w:left="700" w:hanging="327"/>
        <w:spacing w:after="0" w:line="234"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Rembert de Villa, our Executive Vice President, Head of Healthcare; and</w:t>
      </w:r>
    </w:p>
    <w:p>
      <w:pPr>
        <w:ind w:left="700" w:hanging="327"/>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Nalin Miglani, our Executive Vice President and Chief Human Resources Officer.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Executive Summary – Business Highlights and Key Compensation Decisions for 2016</w:t>
      </w:r>
    </w:p>
    <w:p>
      <w:pPr>
        <w:spacing w:after="0" w:line="220"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The Company had a successful 2016 from the perspective of achieving various financial performance goals that drive the creation of stockholder value, but also with respect to making strategic acquisitions, continuing to attain industry recognitions for our client-service, winning new clients, expanding our operations and geographic footprint and achieving strong TSR performance. Our compensation program offers our executives the opportunity to earn annual cash bonuses based on achievement of revenue and Adjusted EPS targets (as described below). We also granted our executives a mix of time-vested restricted stock units that vest over four years and performance-vested restricted stock units, half of which vest based on revenue achievement over three years and half of which vest based on relative total stockholder return over three years.</w:t>
      </w:r>
    </w:p>
    <w:p>
      <w:pPr>
        <w:spacing w:after="0" w:line="190" w:lineRule="exact"/>
        <w:rPr>
          <w:sz w:val="20"/>
          <w:szCs w:val="20"/>
          <w:color w:val="auto"/>
        </w:rPr>
      </w:pPr>
    </w:p>
    <w:p>
      <w:pPr>
        <w:ind w:right="20" w:firstLine="324"/>
        <w:spacing w:after="0" w:line="238" w:lineRule="auto"/>
        <w:rPr>
          <w:sz w:val="20"/>
          <w:szCs w:val="20"/>
          <w:color w:val="auto"/>
        </w:rPr>
      </w:pPr>
      <w:r>
        <w:rPr>
          <w:rFonts w:ascii="Arial" w:cs="Arial" w:eastAsia="Arial" w:hAnsi="Arial"/>
          <w:sz w:val="18"/>
          <w:szCs w:val="18"/>
          <w:color w:val="auto"/>
        </w:rPr>
        <w:t>As a result of our performance, our Compensation Committee funded our bonus pool based on an achievement of approximately 96.2% for the stretch revenue component and 99% for the stretch Adjusted EPS component. Moreover, our performance resulted in our executives banking one-third of their 2015 revenue-based performance restricted stock units, subject to continued employment through the end of the performance period. For the revenue-based performance restricted stock units granted in fiscal year 2016, we have removed this banking feature, and the revenue-based performance restricted stock units will cliff vest on December 31, 2018 if the revenue target is achieved.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2016 Business Highlights</w:t>
      </w:r>
    </w:p>
    <w:p>
      <w:pPr>
        <w:spacing w:after="0" w:line="220" w:lineRule="exact"/>
        <w:rPr>
          <w:sz w:val="20"/>
          <w:szCs w:val="20"/>
          <w:color w:val="auto"/>
        </w:rPr>
      </w:pPr>
    </w:p>
    <w:p>
      <w:pPr>
        <w:ind w:right="200" w:firstLine="324"/>
        <w:spacing w:after="0" w:line="239" w:lineRule="auto"/>
        <w:rPr>
          <w:sz w:val="20"/>
          <w:szCs w:val="20"/>
          <w:color w:val="auto"/>
        </w:rPr>
      </w:pPr>
      <w:r>
        <w:rPr>
          <w:rFonts w:ascii="Arial" w:cs="Arial" w:eastAsia="Arial" w:hAnsi="Arial"/>
          <w:sz w:val="18"/>
          <w:szCs w:val="18"/>
          <w:color w:val="auto"/>
        </w:rPr>
        <w:t>We improved our annual revenues from $628.5 million in fiscal year 2015 to $686.0 million in fiscal year 2016 (an increase of over 9%), completed several key acquisitions and entered into a strategic partnership with Automation Anywhere to accelerate robotic process automation initiatives. We won 40 new clients, received numerous awards and industry recognitions and launched CareRadius® Version 3.1, our cloud-based total population health platform that integrates data from multiple sources for health plans and practitioners.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Total Stockholder Return</w:t>
      </w:r>
    </w:p>
    <w:p>
      <w:pPr>
        <w:spacing w:after="0" w:line="220" w:lineRule="exact"/>
        <w:rPr>
          <w:sz w:val="20"/>
          <w:szCs w:val="20"/>
          <w:color w:val="auto"/>
        </w:rPr>
      </w:pPr>
    </w:p>
    <w:p>
      <w:pPr>
        <w:ind w:right="200" w:firstLine="324"/>
        <w:spacing w:after="0" w:line="246" w:lineRule="auto"/>
        <w:rPr>
          <w:sz w:val="20"/>
          <w:szCs w:val="20"/>
          <w:color w:val="auto"/>
        </w:rPr>
      </w:pPr>
      <w:r>
        <w:rPr>
          <w:rFonts w:ascii="Arial" w:cs="Arial" w:eastAsia="Arial" w:hAnsi="Arial"/>
          <w:sz w:val="18"/>
          <w:szCs w:val="18"/>
          <w:color w:val="auto"/>
        </w:rPr>
        <w:t>The graphs below compare our 1-year, 3-year and 5-year total stockholder return (“TSR”) with that of the companies comprising Nasdaq, S&amp;P 500 and our peer group. As shown in the table, our TSR outperformed all but one of our market benchmarks.</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1" w:right="25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6697980" cy="21012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9798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Cumulative growth rate as of December 31, 2016.</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Peer group TSR data excludes Solera Holdings, which was taken private in March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Acquisitions, Finance and Equity Transactions</w:t>
      </w:r>
    </w:p>
    <w:p>
      <w:pPr>
        <w:spacing w:after="0" w:line="220" w:lineRule="exact"/>
        <w:rPr>
          <w:sz w:val="20"/>
          <w:szCs w:val="20"/>
          <w:color w:val="auto"/>
        </w:rPr>
      </w:pPr>
    </w:p>
    <w:p>
      <w:pPr>
        <w:ind w:left="660" w:right="40" w:hanging="328"/>
        <w:spacing w:after="0" w:line="27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Acquired Liss Systems Limited (“Liss”) for aggregate consideration of approximately $5.1 million, and approximately $1.8 million of restricted common stock. Liss is a provider of digital customer acquisition and policy administration solutions for the insurance industry.</w:t>
      </w:r>
    </w:p>
    <w:p>
      <w:pPr>
        <w:spacing w:after="0" w:line="200" w:lineRule="exact"/>
        <w:rPr>
          <w:rFonts w:ascii="Arial" w:cs="Arial" w:eastAsia="Arial" w:hAnsi="Arial"/>
          <w:sz w:val="17"/>
          <w:szCs w:val="17"/>
          <w:color w:val="auto"/>
        </w:rPr>
      </w:pPr>
    </w:p>
    <w:p>
      <w:pPr>
        <w:ind w:left="660" w:right="500" w:hanging="328"/>
        <w:spacing w:after="0" w:line="24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Acquired IQR Consulting Inc. (“IQR”) for aggregate consideration of approximately $5.1 million, and approximately $1.1 million of restricted stock units. IQR is a provider of marketing analytics solutions for the banking industry.</w:t>
      </w:r>
    </w:p>
    <w:p>
      <w:pPr>
        <w:spacing w:after="0" w:line="183" w:lineRule="exact"/>
        <w:rPr>
          <w:rFonts w:ascii="Arial" w:cs="Arial" w:eastAsia="Arial" w:hAnsi="Arial"/>
          <w:sz w:val="18"/>
          <w:szCs w:val="18"/>
          <w:color w:val="auto"/>
        </w:rPr>
      </w:pPr>
    </w:p>
    <w:p>
      <w:pPr>
        <w:ind w:left="660" w:right="280" w:hanging="328"/>
        <w:spacing w:after="0" w:line="27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Acquired Datasource Consulting, LLC (“Datasource”) for aggregate consideration of approximately $20.3 million, and approximately $4.5 million of restricted common stock. Datasource is a provider of enterprise management and business intelligence solutions.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Awards and Industry Recognition</w:t>
      </w:r>
    </w:p>
    <w:p>
      <w:pPr>
        <w:spacing w:after="0" w:line="22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continued to receive numerous industry recognitions and awards, pointing to our commitment to innovation and excellence.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Clients and Operations</w:t>
      </w:r>
    </w:p>
    <w:p>
      <w:pPr>
        <w:spacing w:after="0" w:line="22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2016 we won 40 new clients compared to the 34 new clients we won in 2015.</w:t>
      </w:r>
    </w:p>
    <w:p>
      <w:pPr>
        <w:spacing w:after="0" w:line="238" w:lineRule="exact"/>
        <w:rPr>
          <w:rFonts w:ascii="Arial" w:cs="Arial" w:eastAsia="Arial" w:hAnsi="Arial"/>
          <w:sz w:val="18"/>
          <w:szCs w:val="18"/>
          <w:color w:val="auto"/>
        </w:rPr>
      </w:pPr>
    </w:p>
    <w:p>
      <w:pPr>
        <w:ind w:left="660" w:right="100" w:hanging="328"/>
        <w:spacing w:after="0" w:line="24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launched CareRadius® Version 3.1, our cloud-based total population health platform that integrates data from multiple sources for health plans and practitioners.</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entered into a strategic partnership with Automation Anywhere to accelerate robotic process automation initiatives.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Summary of Key Compensation Decisions in 2016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highlights the Compensation Committee’s key compensation decisions in 2016 and with respect to performance for 2016.</w:t>
      </w:r>
    </w:p>
    <w:p>
      <w:pPr>
        <w:spacing w:after="0" w:line="192" w:lineRule="exact"/>
        <w:rPr>
          <w:sz w:val="20"/>
          <w:szCs w:val="20"/>
          <w:color w:val="auto"/>
        </w:rPr>
      </w:pPr>
    </w:p>
    <w:p>
      <w:pPr>
        <w:ind w:left="740" w:right="20" w:hanging="327"/>
        <w:spacing w:after="0" w:line="245"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Say-on-Pay Approval</w:t>
      </w:r>
      <w:r>
        <w:rPr>
          <w:rFonts w:ascii="Arial" w:cs="Arial" w:eastAsia="Arial" w:hAnsi="Arial"/>
          <w:sz w:val="18"/>
          <w:szCs w:val="18"/>
          <w:color w:val="auto"/>
        </w:rPr>
        <w:t>. At our 2016 Annual Meeting of Stockholders, approximately 99.7% of our stockholders approved, on a non-binding advisory basis, and excluding broker non-votes) the compensation of our named executive officers, as disclosed in our annual proxy statement for fiscal year 2015 pursuant to the SEC’s compensation disclosure rules. In our Compensation Committee’s review and evaluation of our</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7" w:name="page28"/>
    <w:bookmarkEnd w:id="27"/>
    <w:p>
      <w:pPr>
        <w:ind w:left="732" w:right="40"/>
        <w:spacing w:after="0"/>
        <w:rPr>
          <w:sz w:val="20"/>
          <w:szCs w:val="20"/>
          <w:color w:val="auto"/>
        </w:rPr>
      </w:pPr>
      <w:r>
        <w:rPr>
          <w:rFonts w:ascii="Arial" w:cs="Arial" w:eastAsia="Arial" w:hAnsi="Arial"/>
          <w:sz w:val="18"/>
          <w:szCs w:val="18"/>
          <w:color w:val="auto"/>
        </w:rPr>
        <w:t>compensation program for 2016, our Compensation Committee viewed the strong support from our stockholders as indicative that our compensation program for our named executive officers was designed and implemented to the satisfaction of the interests of our stockholders.</w:t>
      </w:r>
    </w:p>
    <w:p>
      <w:pPr>
        <w:spacing w:after="0" w:line="171" w:lineRule="exact"/>
        <w:rPr>
          <w:sz w:val="20"/>
          <w:szCs w:val="20"/>
          <w:color w:val="auto"/>
        </w:rPr>
      </w:pPr>
    </w:p>
    <w:p>
      <w:pPr>
        <w:ind w:left="332" w:right="20" w:hanging="332"/>
        <w:spacing w:after="0" w:line="239" w:lineRule="auto"/>
        <w:tabs>
          <w:tab w:leader="none" w:pos="332"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Utilization of Performance Criteria</w:t>
      </w:r>
      <w:r>
        <w:rPr>
          <w:rFonts w:ascii="Arial" w:cs="Arial" w:eastAsia="Arial" w:hAnsi="Arial"/>
          <w:sz w:val="18"/>
          <w:szCs w:val="18"/>
          <w:color w:val="auto"/>
        </w:rPr>
        <w:t>. The Compensation Committee approved the performance criteria of our annual incentive bonus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The Company-wide performance measures for 2016 were (1) earnings per share, adjusted to remove the after-tax impact of stock-based compensation and the amortization of intangible assets (which we refer to as “Adjusted EPS”) and (2) total revenues. With respect to the performance criteria for our separate business lines, the performance goals continue to focus on the business line’s total revenues, new client revenues and margin achievement. We believe this mix of performance goals streamlines the performance criteria of our annual incentive bonus program and focuses our senior executives’ efforts on performance measures that demonstrate our profitability to stockholders. In addition to Company-wide performance measures and performance criteria for our separate business lines, we included individual performance criteria for each of our named executive officers to further encourage focus on areas of performance that are unique to each executive’s position within the organization.</w:t>
      </w:r>
    </w:p>
    <w:p>
      <w:pPr>
        <w:spacing w:after="0" w:line="170" w:lineRule="exact"/>
        <w:rPr>
          <w:rFonts w:ascii="Arial" w:cs="Arial" w:eastAsia="Arial" w:hAnsi="Arial"/>
          <w:sz w:val="18"/>
          <w:szCs w:val="18"/>
          <w:color w:val="auto"/>
        </w:rPr>
      </w:pPr>
    </w:p>
    <w:p>
      <w:pPr>
        <w:ind w:left="332" w:right="300" w:hanging="332"/>
        <w:spacing w:after="0" w:line="251" w:lineRule="auto"/>
        <w:tabs>
          <w:tab w:leader="none" w:pos="332"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In April 2016, we implemented modest increases to Messrs. Kapoor’s, Bagai’s, de Villa’s and Miglani’s base salaries.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we implemented an increase to Mr. Chhibbar’s base salary of approximately 29% on account of his relocation from India to the United States as of January 1, 2016.</w:t>
      </w:r>
    </w:p>
    <w:p>
      <w:pPr>
        <w:spacing w:after="0" w:line="160" w:lineRule="exact"/>
        <w:rPr>
          <w:rFonts w:ascii="Arial" w:cs="Arial" w:eastAsia="Arial" w:hAnsi="Arial"/>
          <w:sz w:val="18"/>
          <w:szCs w:val="18"/>
          <w:color w:val="auto"/>
        </w:rPr>
      </w:pPr>
    </w:p>
    <w:p>
      <w:pPr>
        <w:ind w:left="332" w:right="100" w:hanging="332"/>
        <w:spacing w:after="0" w:line="267" w:lineRule="auto"/>
        <w:tabs>
          <w:tab w:leader="none" w:pos="332"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Performance Targets</w:t>
      </w:r>
      <w:r>
        <w:rPr>
          <w:rFonts w:ascii="Arial" w:cs="Arial" w:eastAsia="Arial" w:hAnsi="Arial"/>
          <w:sz w:val="18"/>
          <w:szCs w:val="18"/>
          <w:color w:val="auto"/>
        </w:rPr>
        <w:t>. For 2016, the Compensation Committee established performance targets which were intended to encourage stretch</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We achieved 99% of our Adjusted EPS target and fell just short of our total revenue performance target (96.2%).</w:t>
      </w:r>
    </w:p>
    <w:p>
      <w:pPr>
        <w:spacing w:after="0" w:line="147" w:lineRule="exact"/>
        <w:rPr>
          <w:rFonts w:ascii="Arial" w:cs="Arial" w:eastAsia="Arial" w:hAnsi="Arial"/>
          <w:sz w:val="18"/>
          <w:szCs w:val="18"/>
          <w:color w:val="auto"/>
        </w:rPr>
      </w:pPr>
    </w:p>
    <w:p>
      <w:pPr>
        <w:ind w:left="332" w:right="20" w:hanging="332"/>
        <w:spacing w:after="0" w:line="227" w:lineRule="auto"/>
        <w:tabs>
          <w:tab w:leader="none" w:pos="332"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Bonuses and Equity Incentives</w:t>
      </w:r>
      <w:r>
        <w:rPr>
          <w:rFonts w:ascii="Arial" w:cs="Arial" w:eastAsia="Arial" w:hAnsi="Arial"/>
          <w:sz w:val="18"/>
          <w:szCs w:val="18"/>
          <w:color w:val="auto"/>
        </w:rPr>
        <w:t>. In 2016, we re-structured the annual incentive bonus program to include personal performance goals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of our named executive officers to encourage focus on areas of performance that are unique to each executive’s position within the organization. We achieved our annual incentive bonus targets, and we exceeded the 2016 revenue performance targets for each of the 2014 and 2015 and revenue-based restricted stock unit grants. Based upon the revenue performance for each year’s grant relative to the applicable target, (a) our executives earned 100.69% of their 2014 awards out of a maximum of 200% for that year, and (b) banked one-third of their 2015 target awards (subject to continued employment), which is the maximum amount that may be banked in either the first or second year of our three-year program. In addition, the Company’s TSR performance was in the 95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amongst its peer group, resulting in the executives earning the maximum (200%) of the 2014 relative TSR-linked restricted stock units pursuant to the terms of the original grant.</w:t>
      </w:r>
    </w:p>
    <w:p>
      <w:pPr>
        <w:spacing w:after="0" w:line="173" w:lineRule="exact"/>
        <w:rPr>
          <w:rFonts w:ascii="Arial" w:cs="Arial" w:eastAsia="Arial" w:hAnsi="Arial"/>
          <w:sz w:val="18"/>
          <w:szCs w:val="18"/>
          <w:color w:val="auto"/>
        </w:rPr>
      </w:pPr>
    </w:p>
    <w:p>
      <w:pPr>
        <w:jc w:val="both"/>
        <w:ind w:left="332" w:right="80" w:hanging="332"/>
        <w:spacing w:after="0" w:line="251" w:lineRule="auto"/>
        <w:tabs>
          <w:tab w:leader="none" w:pos="332"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Removed Banking Feature</w:t>
      </w:r>
      <w:r>
        <w:rPr>
          <w:rFonts w:ascii="Arial" w:cs="Arial" w:eastAsia="Arial" w:hAnsi="Arial"/>
          <w:sz w:val="18"/>
          <w:szCs w:val="18"/>
          <w:color w:val="auto"/>
        </w:rPr>
        <w:t>. Beginning with the 2016 revenue-linked restricted stock units, we altered our equity incentive grants to remove</w:t>
      </w:r>
      <w:r>
        <w:rPr>
          <w:rFonts w:ascii="Arial" w:cs="Arial" w:eastAsia="Arial" w:hAnsi="Arial"/>
          <w:sz w:val="18"/>
          <w:szCs w:val="18"/>
          <w:i w:val="1"/>
          <w:iCs w:val="1"/>
          <w:color w:val="auto"/>
        </w:rPr>
        <w:t xml:space="preserve"> </w:t>
      </w:r>
      <w:r>
        <w:rPr>
          <w:rFonts w:ascii="Arial" w:cs="Arial" w:eastAsia="Arial" w:hAnsi="Arial"/>
          <w:sz w:val="18"/>
          <w:szCs w:val="18"/>
          <w:color w:val="auto"/>
        </w:rPr>
        <w:t>the banking feature that allowed an executive to earn a portion of the award prior to the vesting date if specific interim performance targets were achieved.</w:t>
      </w:r>
    </w:p>
    <w:p>
      <w:pPr>
        <w:spacing w:after="0" w:line="160" w:lineRule="exact"/>
        <w:rPr>
          <w:rFonts w:ascii="Arial" w:cs="Arial" w:eastAsia="Arial" w:hAnsi="Arial"/>
          <w:sz w:val="18"/>
          <w:szCs w:val="18"/>
          <w:color w:val="auto"/>
        </w:rPr>
      </w:pPr>
    </w:p>
    <w:p>
      <w:pPr>
        <w:ind w:left="332" w:hanging="332"/>
        <w:spacing w:after="0" w:line="251" w:lineRule="auto"/>
        <w:tabs>
          <w:tab w:leader="none" w:pos="332"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Employment Agreement with Mr. Chhibbar</w:t>
      </w:r>
      <w:r>
        <w:rPr>
          <w:rFonts w:ascii="Arial" w:cs="Arial" w:eastAsia="Arial" w:hAnsi="Arial"/>
          <w:sz w:val="18"/>
          <w:szCs w:val="18"/>
          <w:color w:val="auto"/>
        </w:rPr>
        <w:t>. Effective January 1, 2016, we entered into a new employment agreement with Mr. Chhibbar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his relocation from India to our headquarters in New York. Additional information related to the new employment agreement appears later in this proxy statement.</w:t>
      </w:r>
    </w:p>
    <w:p>
      <w:pPr>
        <w:spacing w:after="0" w:line="17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73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508BC7"/>
        </w:rPr>
        <w:t>Key Corporate Governance Features</w:t>
      </w:r>
    </w:p>
    <w:p>
      <w:pPr>
        <w:spacing w:after="0" w:line="220"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Our compensation programs, practices and policies are reviewed and re-evaluated periodically and are subject to change from time to time. Our executive compensation philosophy is focused on pay for performance and is designed to reflect appropriate governance practices aligned with the needs of our business. Listed below are some of the Company’s more significant practices and policies that were in effect during fiscal 2016, which were adopted to drive performance and to align our executives’ interests with those of our stockholders.</w:t>
      </w:r>
    </w:p>
    <w:p>
      <w:pPr>
        <w:spacing w:after="0" w:line="170" w:lineRule="exact"/>
        <w:rPr>
          <w:sz w:val="20"/>
          <w:szCs w:val="20"/>
          <w:color w:val="auto"/>
        </w:rPr>
      </w:pPr>
    </w:p>
    <w:p>
      <w:pPr>
        <w:ind w:left="340" w:right="440" w:hanging="332"/>
        <w:spacing w:after="0" w:line="25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Pay for performance</w:t>
      </w:r>
      <w:r>
        <w:rPr>
          <w:rFonts w:ascii="Arial" w:cs="Arial" w:eastAsia="Arial" w:hAnsi="Arial"/>
          <w:sz w:val="18"/>
          <w:szCs w:val="18"/>
          <w:color w:val="auto"/>
        </w:rPr>
        <w:t>. We link a significant portion of each named executive officer’s total compensation to the achievement of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as described below. Such variable compensation is “at-risk” and not guaranteed, and rewards performance and contributions to both short-term and long-term financial performance of the Company.</w:t>
      </w:r>
    </w:p>
    <w:p>
      <w:pPr>
        <w:spacing w:after="0" w:line="160" w:lineRule="exact"/>
        <w:rPr>
          <w:rFonts w:ascii="Arial" w:cs="Arial" w:eastAsia="Arial" w:hAnsi="Arial"/>
          <w:sz w:val="18"/>
          <w:szCs w:val="18"/>
          <w:color w:val="auto"/>
        </w:rPr>
      </w:pPr>
    </w:p>
    <w:p>
      <w:pPr>
        <w:ind w:left="340" w:right="140" w:hanging="332"/>
        <w:spacing w:after="0" w:line="245"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Appropriate choice and use of peer groups</w:t>
      </w:r>
      <w:r>
        <w:rPr>
          <w:rFonts w:ascii="Arial" w:cs="Arial" w:eastAsia="Arial" w:hAnsi="Arial"/>
          <w:sz w:val="18"/>
          <w:szCs w:val="18"/>
          <w:color w:val="auto"/>
        </w:rPr>
        <w:t>. We have thoughtfully selected a peer group of companies with similar market capitalization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scope of operations to us, to help us review current market practices and design a competitive compensation program. We set total compensation of our executive officers at levels the Compensation Committee believes are appropriate relative to the total compensation paid to similarly situated executive officers of our peer companies, giving consideration to market and other factors as well.</w:t>
      </w:r>
    </w:p>
    <w:p>
      <w:pPr>
        <w:spacing w:after="0" w:line="167" w:lineRule="exact"/>
        <w:rPr>
          <w:rFonts w:ascii="Arial" w:cs="Arial" w:eastAsia="Arial" w:hAnsi="Arial"/>
          <w:sz w:val="18"/>
          <w:szCs w:val="18"/>
          <w:color w:val="auto"/>
        </w:rPr>
      </w:pPr>
    </w:p>
    <w:p>
      <w:pPr>
        <w:ind w:left="340" w:hanging="332"/>
        <w:spacing w:after="0" w:line="245"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Equity compensation best practices</w:t>
      </w:r>
      <w:r>
        <w:rPr>
          <w:rFonts w:ascii="Arial" w:cs="Arial" w:eastAsia="Arial" w:hAnsi="Arial"/>
          <w:sz w:val="18"/>
          <w:szCs w:val="18"/>
          <w:color w:val="auto"/>
        </w:rPr>
        <w:t>. Our equity compensation program prohibits option repricing without stockholder approval. We do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excessive overhang or dilution from equity grants. Our equity incentives are designed to encourage our executives to maintain a long-term view of stockholder value creation, to encourage retention and to ensure a portion of the award is based on Company performance. Any dividends accrued under our equity awards are held until the recipient vests in the underlying shares or units.</w:t>
      </w:r>
    </w:p>
    <w:p>
      <w:pPr>
        <w:spacing w:after="0" w:line="167" w:lineRule="exact"/>
        <w:rPr>
          <w:rFonts w:ascii="Arial" w:cs="Arial" w:eastAsia="Arial" w:hAnsi="Arial"/>
          <w:sz w:val="18"/>
          <w:szCs w:val="18"/>
          <w:color w:val="auto"/>
        </w:rPr>
      </w:pPr>
    </w:p>
    <w:p>
      <w:pPr>
        <w:ind w:left="340" w:right="240" w:hanging="332"/>
        <w:spacing w:after="0" w:line="245"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Limited perquisites and personal benefits</w:t>
      </w:r>
      <w:r>
        <w:rPr>
          <w:rFonts w:ascii="Arial" w:cs="Arial" w:eastAsia="Arial" w:hAnsi="Arial"/>
          <w:sz w:val="18"/>
          <w:szCs w:val="18"/>
          <w:color w:val="auto"/>
        </w:rPr>
        <w:t>. We provide our named executive officers with only limited perquisites and personal benefits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the regular benefits offered to all employees, and we believe that each perquisite and personal benefit we offer serves an important business purpose. We consider the perquisites and personal benefits that we offer to our executives in India to be customary benefits which allow us to remain competitive for top talent.</w:t>
      </w:r>
    </w:p>
    <w:p>
      <w:pPr>
        <w:spacing w:after="0" w:line="167" w:lineRule="exact"/>
        <w:rPr>
          <w:rFonts w:ascii="Arial" w:cs="Arial" w:eastAsia="Arial" w:hAnsi="Arial"/>
          <w:sz w:val="18"/>
          <w:szCs w:val="18"/>
          <w:color w:val="auto"/>
        </w:rPr>
      </w:pPr>
    </w:p>
    <w:p>
      <w:pPr>
        <w:jc w:val="both"/>
        <w:ind w:left="340" w:right="180" w:hanging="332"/>
        <w:spacing w:after="0" w:line="25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Independent decision-making</w:t>
      </w:r>
      <w:r>
        <w:rPr>
          <w:rFonts w:ascii="Arial" w:cs="Arial" w:eastAsia="Arial" w:hAnsi="Arial"/>
          <w:sz w:val="18"/>
          <w:szCs w:val="18"/>
          <w:color w:val="auto"/>
        </w:rPr>
        <w:t>. Compensation decisions for our named executive officers are approved by an independent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Our Compensation Committee is advised by an independent consultant who reports directly to the Compensation Committee and provides no other services to the Company or management.</w:t>
      </w:r>
    </w:p>
    <w:p>
      <w:pPr>
        <w:spacing w:after="0" w:line="160" w:lineRule="exact"/>
        <w:rPr>
          <w:rFonts w:ascii="Arial" w:cs="Arial" w:eastAsia="Arial" w:hAnsi="Arial"/>
          <w:sz w:val="18"/>
          <w:szCs w:val="18"/>
          <w:color w:val="auto"/>
        </w:rPr>
      </w:pPr>
    </w:p>
    <w:p>
      <w:pPr>
        <w:ind w:left="340" w:right="360" w:hanging="332"/>
        <w:spacing w:after="0" w:line="26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believe the mix and design of our compensation programs serve to mitigate operational, financial, legal,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and reputational risks.</w:t>
      </w:r>
    </w:p>
    <w:p>
      <w:pPr>
        <w:spacing w:after="0" w:line="147" w:lineRule="exact"/>
        <w:rPr>
          <w:rFonts w:ascii="Arial" w:cs="Arial" w:eastAsia="Arial" w:hAnsi="Arial"/>
          <w:sz w:val="18"/>
          <w:szCs w:val="18"/>
          <w:color w:val="auto"/>
        </w:rPr>
      </w:pPr>
    </w:p>
    <w:p>
      <w:pPr>
        <w:ind w:left="340" w:right="60" w:hanging="332"/>
        <w:spacing w:after="0" w:line="25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No tax gross-ups</w:t>
      </w:r>
      <w:r>
        <w:rPr>
          <w:rFonts w:ascii="Arial" w:cs="Arial" w:eastAsia="Arial" w:hAnsi="Arial"/>
          <w:sz w:val="18"/>
          <w:szCs w:val="18"/>
          <w:color w:val="auto"/>
        </w:rPr>
        <w:t>. We do not provide “gross-ups” to any of our named executive officers, including for any excise taxes imposed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Section 280G (change-in-control payments) or Section 409A (nonqualified deferred compensation) of the U.S. Internal Revenue Code of 1986, as amended (which we refer to as the “Code”).</w:t>
      </w:r>
    </w:p>
    <w:p>
      <w:pPr>
        <w:spacing w:after="0" w:line="160" w:lineRule="exact"/>
        <w:rPr>
          <w:rFonts w:ascii="Arial" w:cs="Arial" w:eastAsia="Arial" w:hAnsi="Arial"/>
          <w:sz w:val="18"/>
          <w:szCs w:val="18"/>
          <w:color w:val="auto"/>
        </w:rPr>
      </w:pPr>
    </w:p>
    <w:p>
      <w:pPr>
        <w:ind w:left="340" w:right="400" w:hanging="332"/>
        <w:spacing w:after="0" w:line="245"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 We maintain a compensation recovery policy that allows the Company to recover compensation (including both cash</w:t>
      </w:r>
      <w:r>
        <w:rPr>
          <w:rFonts w:ascii="Arial" w:cs="Arial" w:eastAsia="Arial" w:hAnsi="Arial"/>
          <w:sz w:val="18"/>
          <w:szCs w:val="18"/>
          <w:i w:val="1"/>
          <w:iCs w:val="1"/>
          <w:color w:val="auto"/>
        </w:rPr>
        <w:t xml:space="preserve"> </w:t>
      </w:r>
      <w:r>
        <w:rPr>
          <w:rFonts w:ascii="Arial" w:cs="Arial" w:eastAsia="Arial" w:hAnsi="Arial"/>
          <w:sz w:val="18"/>
          <w:szCs w:val="18"/>
          <w:color w:val="auto"/>
        </w:rPr>
        <w:t>and/or equity awards) previously paid to one or more officers in the event of a financial restatement caused by noncompliance with reporting requirements that impacts the applicable performance metric if, in the opinion of our Board or Compensation Committee, the identified executive’s misconduct was a material factor causing the restatement.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70" w:right="259" w:bottom="1440" w:gutter="0" w:footer="0" w:header="0"/>
        </w:sectPr>
      </w:pPr>
    </w:p>
    <w:bookmarkStart w:id="29" w:name="page30"/>
    <w:bookmarkEnd w:id="29"/>
    <w:p>
      <w:pPr>
        <w:ind w:left="340" w:right="40" w:hanging="332"/>
        <w:spacing w:after="0" w:line="260"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Stock Ownership Policy</w:t>
      </w:r>
      <w:r>
        <w:rPr>
          <w:rFonts w:ascii="Arial" w:cs="Arial" w:eastAsia="Arial" w:hAnsi="Arial"/>
          <w:sz w:val="17"/>
          <w:szCs w:val="17"/>
          <w:color w:val="auto"/>
        </w:rPr>
        <w:t>. We maintain a stock ownership policy that requires our Chief Executive Officer to maintain stock ownership equal</w:t>
      </w:r>
      <w:r>
        <w:rPr>
          <w:rFonts w:ascii="Arial" w:cs="Arial" w:eastAsia="Arial" w:hAnsi="Arial"/>
          <w:sz w:val="17"/>
          <w:szCs w:val="17"/>
          <w:i w:val="1"/>
          <w:iCs w:val="1"/>
          <w:color w:val="auto"/>
        </w:rPr>
        <w:t xml:space="preserve"> </w:t>
      </w:r>
      <w:r>
        <w:rPr>
          <w:rFonts w:ascii="Arial" w:cs="Arial" w:eastAsia="Arial" w:hAnsi="Arial"/>
          <w:sz w:val="17"/>
          <w:szCs w:val="17"/>
          <w:color w:val="auto"/>
        </w:rPr>
        <w:t>to at least six times his base salary and that requires the other members of our executive committee to maintain stock ownership of at least two times their respective base salaries. We adopted this policy in December of 2014 and our covered executives have five years from its adoption date (or, if later, their hire date) to attain the required stock ownership levels. We maintain a similar stock ownership policy for our non-employee directors that requires directors to maintain stock ownership of at least five times their respective annual retainers.</w:t>
      </w:r>
    </w:p>
    <w:p>
      <w:pPr>
        <w:spacing w:after="0" w:line="156" w:lineRule="exact"/>
        <w:rPr>
          <w:rFonts w:ascii="Arial" w:cs="Arial" w:eastAsia="Arial" w:hAnsi="Arial"/>
          <w:sz w:val="17"/>
          <w:szCs w:val="17"/>
          <w:color w:val="auto"/>
        </w:rPr>
      </w:pPr>
    </w:p>
    <w:p>
      <w:pPr>
        <w:ind w:left="340" w:right="20" w:hanging="332"/>
        <w:spacing w:after="0" w:line="245"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Anti-Hedging and Pledging Restrictions</w:t>
      </w:r>
      <w:r>
        <w:rPr>
          <w:rFonts w:ascii="Arial" w:cs="Arial" w:eastAsia="Arial" w:hAnsi="Arial"/>
          <w:sz w:val="18"/>
          <w:szCs w:val="18"/>
          <w:color w:val="auto"/>
        </w:rPr>
        <w:t>. We maintain a policy that prohibits our officers and directors subject to the requirements of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16 of the Exchange Act, which includes our executive officers, from engaging in any hedging transactions with respect to Company stock directly or indirectly owned by any of them. In addition, under this policy, Reporting Persons are only permitted to pledge shares of our stock that exceed those required to be owned under our Stock Ownership Policy described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Overview of Compensation Policies and Philosophies</w:t>
      </w:r>
    </w:p>
    <w:p>
      <w:pPr>
        <w:spacing w:after="0" w:line="220"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believe that the long-term success of companies that provide outsourcing, transformation and analytics services globally is linked to their ability to recruit, train, motivate and retain employees at every level. There is significant competitive pressure in our industry for qualified managers with a track record of achievement. It is critical that we recruit, train, motivate and retain highly talented individuals at all levels of the organization who are committed to our core values of innovation, collaboration, excellence, integrity and mutual respect. We believe that our executive compensation programs are integral to achieving this end.</w:t>
      </w:r>
    </w:p>
    <w:p>
      <w:pPr>
        <w:spacing w:after="0" w:line="189"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Our Compensation Committee bases its executive compensation programs on the following objectives, which guide us in establishing all of our compensation programs:</w:t>
      </w:r>
    </w:p>
    <w:p>
      <w:pPr>
        <w:spacing w:after="0" w:line="165" w:lineRule="exact"/>
        <w:rPr>
          <w:sz w:val="20"/>
          <w:szCs w:val="20"/>
          <w:color w:val="auto"/>
        </w:rPr>
      </w:pPr>
    </w:p>
    <w:p>
      <w:pPr>
        <w:ind w:left="340" w:right="6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Compensation should be based on the level of job responsibility, individual performance and our performance</w:t>
      </w:r>
      <w:r>
        <w:rPr>
          <w:rFonts w:ascii="Arial" w:cs="Arial" w:eastAsia="Arial" w:hAnsi="Arial"/>
          <w:sz w:val="18"/>
          <w:szCs w:val="18"/>
          <w:color w:val="auto"/>
        </w:rPr>
        <w:t>. As employees progress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levels in the organization, they are able to more directly affect our results and strategic initiatives, and therefore an increasing proportion of their pay should be linked to our performance and tied to creation of stockholder value. Our programs should deliver top-tier compensation in return for top-tier individual and company performance; conversely, where individual performance and/or our performance falls short of expectations, the programs should deliver lower-tier compensation. In addition, the objectives of pay-for-performance and retention must be balanced. Even in periods of temporary downturns in our performance, the programs should continue to ensure that successful, high-achieving employees remain motivated and committed.</w:t>
      </w:r>
    </w:p>
    <w:p>
      <w:pPr>
        <w:spacing w:after="0" w:line="171" w:lineRule="exact"/>
        <w:rPr>
          <w:rFonts w:ascii="Arial" w:cs="Arial" w:eastAsia="Arial" w:hAnsi="Arial"/>
          <w:sz w:val="18"/>
          <w:szCs w:val="18"/>
          <w:color w:val="auto"/>
        </w:rPr>
      </w:pPr>
    </w:p>
    <w:p>
      <w:pPr>
        <w:ind w:left="340" w:right="80" w:hanging="332"/>
        <w:spacing w:after="0" w:line="242"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Compensation should balance long-term focus that is linked to stockholder value as well as short-term financial objectives</w:t>
      </w:r>
      <w:r>
        <w:rPr>
          <w:rFonts w:ascii="Arial" w:cs="Arial" w:eastAsia="Arial" w:hAnsi="Arial"/>
          <w:sz w:val="18"/>
          <w:szCs w:val="18"/>
          <w:color w:val="auto"/>
        </w:rPr>
        <w:t>. Consistent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this philosophy, equity-based compensation should be higher for persons with higher levels of responsibility and greater influence on long-term results, thereby making a significant portion of their total compensation dependent on long-term stock price appreciation. In addition, compensation should focus management on achieving short-term performance goals in a manner that supports and ensures long-term success and profitability.</w:t>
      </w:r>
    </w:p>
    <w:p>
      <w:pPr>
        <w:spacing w:after="0" w:line="171" w:lineRule="exact"/>
        <w:rPr>
          <w:rFonts w:ascii="Arial" w:cs="Arial" w:eastAsia="Arial" w:hAnsi="Arial"/>
          <w:sz w:val="18"/>
          <w:szCs w:val="18"/>
          <w:color w:val="auto"/>
        </w:rPr>
      </w:pPr>
    </w:p>
    <w:p>
      <w:pPr>
        <w:ind w:left="340" w:right="220" w:hanging="332"/>
        <w:spacing w:after="0" w:line="297"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Compensation should reflect the value of the job in the marketplace</w:t>
      </w:r>
      <w:r>
        <w:rPr>
          <w:rFonts w:ascii="Arial" w:cs="Arial" w:eastAsia="Arial" w:hAnsi="Arial"/>
          <w:sz w:val="17"/>
          <w:szCs w:val="17"/>
          <w:color w:val="auto"/>
        </w:rPr>
        <w:t>. We compete for talent globally. In order to attract and retain a highly</w:t>
      </w:r>
      <w:r>
        <w:rPr>
          <w:rFonts w:ascii="Arial" w:cs="Arial" w:eastAsia="Arial" w:hAnsi="Arial"/>
          <w:sz w:val="17"/>
          <w:szCs w:val="17"/>
          <w:i w:val="1"/>
          <w:iCs w:val="1"/>
          <w:color w:val="auto"/>
        </w:rPr>
        <w:t xml:space="preserve"> </w:t>
      </w:r>
      <w:r>
        <w:rPr>
          <w:rFonts w:ascii="Arial" w:cs="Arial" w:eastAsia="Arial" w:hAnsi="Arial"/>
          <w:sz w:val="17"/>
          <w:szCs w:val="17"/>
          <w:color w:val="auto"/>
        </w:rPr>
        <w:t>skilled workforce, we must remain competitive with the pay of other employers who compete with us for talent in the relevant markets.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30" w:name="page31"/>
    <w:bookmarkEnd w:id="30"/>
    <w:p>
      <w:pPr>
        <w:ind w:left="340" w:right="20" w:hanging="332"/>
        <w:spacing w:after="0" w:line="24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Compensation programs should be easy to understand</w:t>
      </w:r>
      <w:r>
        <w:rPr>
          <w:rFonts w:ascii="Arial" w:cs="Arial" w:eastAsia="Arial" w:hAnsi="Arial"/>
          <w:sz w:val="18"/>
          <w:szCs w:val="18"/>
          <w:color w:val="auto"/>
        </w:rPr>
        <w:t>. We believe that all aspects of executive compensation should be clearly,</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comprehensibly and promptly disclosed to employees in order to effectively motivate them. Employees need to easily understand how their efforts can affect their pay, both directly through individual performance accomplishments, and indirectly through contributing to our achievement of strategic, financial and operational goals. We also believe that compensation for our employees should be administered uniformly across the company and should be administered with clear-cut objectives and performance metrics.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Our Compensation Committee’s Processes</w:t>
      </w:r>
    </w:p>
    <w:p>
      <w:pPr>
        <w:spacing w:after="0" w:line="220" w:lineRule="exact"/>
        <w:rPr>
          <w:sz w:val="20"/>
          <w:szCs w:val="20"/>
          <w:color w:val="auto"/>
        </w:rPr>
      </w:pPr>
    </w:p>
    <w:p>
      <w:pPr>
        <w:ind w:right="700" w:firstLine="648"/>
        <w:spacing w:after="0" w:line="246" w:lineRule="auto"/>
        <w:rPr>
          <w:sz w:val="20"/>
          <w:szCs w:val="20"/>
          <w:color w:val="auto"/>
        </w:rPr>
      </w:pPr>
      <w:r>
        <w:rPr>
          <w:rFonts w:ascii="Arial" w:cs="Arial" w:eastAsia="Arial" w:hAnsi="Arial"/>
          <w:sz w:val="18"/>
          <w:szCs w:val="18"/>
          <w:color w:val="auto"/>
        </w:rPr>
        <w:t>Our Compensation Committee has established a number of processes to assist it in ensuring that our executive compensation programs are achieving their objectives. Among those are the following:</w:t>
      </w:r>
    </w:p>
    <w:p>
      <w:pPr>
        <w:spacing w:after="0" w:line="165" w:lineRule="exact"/>
        <w:rPr>
          <w:sz w:val="20"/>
          <w:szCs w:val="20"/>
          <w:color w:val="auto"/>
        </w:rPr>
      </w:pPr>
    </w:p>
    <w:p>
      <w:pPr>
        <w:ind w:left="340" w:hanging="332"/>
        <w:spacing w:after="0" w:line="23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Assessment of Company Performance</w:t>
      </w:r>
      <w:r>
        <w:rPr>
          <w:rFonts w:ascii="Arial" w:cs="Arial" w:eastAsia="Arial" w:hAnsi="Arial"/>
          <w:sz w:val="18"/>
          <w:szCs w:val="18"/>
          <w:color w:val="auto"/>
        </w:rPr>
        <w:t>. Our Compensation Committee uses financial performance measures to determine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payouts under our annual incentive bonus program and equity incentive program. The financial performance measures with respect to our named executive officers’ incentive bonuses and equity incentive awards are largely based on the achievement of Company-wide goals. In addition, the incentive bonuses payable under our annual incentive bonus program to our senior executives who have responsibility for business lines are tied to such business lines’ financial or other performance. These Company-wide and business-line performance measures are established by our Compensation Committee annually at the end of the prior year or the beginning of the year. At the end of the year or performance period, in the case of our equity incentive program, our Compensation Committee reviews and certifies our performance achievement, and considers the appropriateness of adjustments to the performance criteria and calculations of performance achievement.</w:t>
      </w:r>
    </w:p>
    <w:p>
      <w:pPr>
        <w:spacing w:after="0" w:line="189" w:lineRule="exact"/>
        <w:rPr>
          <w:sz w:val="20"/>
          <w:szCs w:val="20"/>
          <w:color w:val="auto"/>
        </w:rPr>
      </w:pPr>
    </w:p>
    <w:p>
      <w:pPr>
        <w:ind w:left="340" w:right="260" w:firstLine="486"/>
        <w:spacing w:after="0"/>
        <w:rPr>
          <w:sz w:val="20"/>
          <w:szCs w:val="20"/>
          <w:color w:val="auto"/>
        </w:rPr>
      </w:pPr>
      <w:r>
        <w:rPr>
          <w:rFonts w:ascii="Arial" w:cs="Arial" w:eastAsia="Arial" w:hAnsi="Arial"/>
          <w:sz w:val="18"/>
          <w:szCs w:val="18"/>
          <w:color w:val="auto"/>
        </w:rPr>
        <w:t>We generally pay bonuses at target when we achieve the established financial measures that are set forth in our annual operating plan and personal performance goals, as described below. These measures reflect targets that are intended to encourage stretch performance.</w:t>
      </w:r>
    </w:p>
    <w:p>
      <w:pPr>
        <w:spacing w:after="0" w:line="171" w:lineRule="exact"/>
        <w:rPr>
          <w:sz w:val="20"/>
          <w:szCs w:val="20"/>
          <w:color w:val="auto"/>
        </w:rPr>
      </w:pPr>
    </w:p>
    <w:p>
      <w:pPr>
        <w:ind w:left="340" w:right="200" w:hanging="332"/>
        <w:spacing w:after="0" w:line="25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Assessment of Individual Performance</w:t>
      </w:r>
      <w:r>
        <w:rPr>
          <w:rFonts w:ascii="Arial" w:cs="Arial" w:eastAsia="Arial" w:hAnsi="Arial"/>
          <w:sz w:val="18"/>
          <w:szCs w:val="18"/>
          <w:color w:val="auto"/>
        </w:rPr>
        <w:t>. Individual performance has a strong impact on the compensation of some of our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executive officers. The evaluation of an individual’s performance determines a portion of the payouts for each of our named executive officers made under our incentive bonus program and also influences any changes in base salary.</w:t>
      </w:r>
    </w:p>
    <w:p>
      <w:pPr>
        <w:spacing w:after="0" w:line="179" w:lineRule="exact"/>
        <w:rPr>
          <w:sz w:val="20"/>
          <w:szCs w:val="20"/>
          <w:color w:val="auto"/>
        </w:rPr>
      </w:pPr>
    </w:p>
    <w:p>
      <w:pPr>
        <w:ind w:left="340" w:firstLine="486"/>
        <w:spacing w:after="0" w:line="236" w:lineRule="auto"/>
        <w:rPr>
          <w:sz w:val="20"/>
          <w:szCs w:val="20"/>
          <w:color w:val="auto"/>
        </w:rPr>
      </w:pPr>
      <w:r>
        <w:rPr>
          <w:rFonts w:ascii="Arial" w:cs="Arial" w:eastAsia="Arial" w:hAnsi="Arial"/>
          <w:sz w:val="18"/>
          <w:szCs w:val="18"/>
          <w:color w:val="auto"/>
        </w:rPr>
        <w:t>For Messrs. Chhibbar, Bagai, de Villa and Miglani, our Compensation Committee receives a performance assessment and compensation recommendation from our Vice Chairman and CEO. The performance assessments are based on each of our named executive officer’s respective self-evaluations and subsequent performance appraisals conducted by our Vice Chairman and CEO. Our Compensation Committee reviews the performance assessments of these executive officers with our Vice Chairman and CEO, and evaluates the achievement of established objectives by each executive officer and his or her business line (if applicable), as well as the executive officer’s contribution to our performance, leadership accomplishments and overall competence. In determining the numerical performance rating that translates into specific payouts under our incentive bonus program and also influences any changes in base salary, our Compensation Committee may exercise its judgment based on our board of directors’ interactions with such executive officers.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74" w:right="259" w:bottom="1440" w:gutter="0" w:footer="0" w:header="0"/>
        </w:sectPr>
      </w:pPr>
    </w:p>
    <w:bookmarkStart w:id="31" w:name="page32"/>
    <w:bookmarkEnd w:id="31"/>
    <w:p>
      <w:pPr>
        <w:ind w:left="332" w:right="320" w:firstLine="486"/>
        <w:spacing w:after="0" w:line="239" w:lineRule="auto"/>
        <w:rPr>
          <w:sz w:val="20"/>
          <w:szCs w:val="20"/>
          <w:color w:val="auto"/>
        </w:rPr>
      </w:pPr>
      <w:r>
        <w:rPr>
          <w:rFonts w:ascii="Arial" w:cs="Arial" w:eastAsia="Arial" w:hAnsi="Arial"/>
          <w:sz w:val="18"/>
          <w:szCs w:val="18"/>
          <w:color w:val="auto"/>
        </w:rPr>
        <w:t>For Mr. Kapoor, our board of directors receives a self-evaluation prepared by Mr. Kapoor and provides feedback to our Chairman. Our Chairman then discusses the consolidated feedback from the board of directors with our Compensation Committee. Our board of directors and Compensation Committee evaluates the self-evaluation and feedback as well as Mr. Kapoor’s performance, leadership accomplishments and overall competence and evaluates the achievement of established objectives.</w:t>
      </w:r>
    </w:p>
    <w:p>
      <w:pPr>
        <w:spacing w:after="0" w:line="170" w:lineRule="exact"/>
        <w:rPr>
          <w:sz w:val="20"/>
          <w:szCs w:val="20"/>
          <w:color w:val="auto"/>
        </w:rPr>
      </w:pPr>
    </w:p>
    <w:p>
      <w:pPr>
        <w:ind w:left="332" w:right="20" w:hanging="332"/>
        <w:spacing w:after="0" w:line="242" w:lineRule="auto"/>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Review of Peer Company Market Data</w:t>
      </w:r>
      <w:r>
        <w:rPr>
          <w:rFonts w:ascii="Arial" w:cs="Arial" w:eastAsia="Arial" w:hAnsi="Arial"/>
          <w:sz w:val="18"/>
          <w:szCs w:val="18"/>
          <w:color w:val="auto"/>
        </w:rPr>
        <w:t>. At the time compensation decisions were made for our U.S.-based and other senior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in 2016, our Compensation Committee reviewed publicly available compensation data for companies that are engaged in business and technology services like us. The Compensation Committee took into account whether the companies had market capitalizations or annual revenues similar to ours, as well as the relevance of their geographic areas. The companies that composed our peer group for 2016 were as follows:</w:t>
      </w:r>
    </w:p>
    <w:p>
      <w:pPr>
        <w:spacing w:after="0" w:line="191" w:lineRule="exact"/>
        <w:rPr>
          <w:sz w:val="20"/>
          <w:szCs w:val="20"/>
          <w:color w:val="auto"/>
        </w:rPr>
      </w:pPr>
    </w:p>
    <w:tbl>
      <w:tblPr>
        <w:tblLayout w:type="fixed"/>
        <w:tblInd w:w="1152" w:type="dxa"/>
        <w:tblCellMar>
          <w:top w:w="0" w:type="dxa"/>
          <w:left w:w="0" w:type="dxa"/>
          <w:bottom w:w="0" w:type="dxa"/>
          <w:right w:w="0" w:type="dxa"/>
        </w:tblCellMar>
      </w:tblPr>
      <w:tr>
        <w:trPr>
          <w:trHeight w:val="223"/>
        </w:trPr>
        <w:tc>
          <w:tcPr>
            <w:tcW w:w="3360" w:type="dxa"/>
            <w:vAlign w:val="bottom"/>
            <w:tcBorders>
              <w:bottom w:val="single" w:sz="8" w:color="508BC7"/>
            </w:tcBorders>
            <w:shd w:val="clear" w:color="auto" w:fill="508BC7"/>
          </w:tcPr>
          <w:p>
            <w:pPr>
              <w:spacing w:after="0"/>
              <w:rPr>
                <w:sz w:val="19"/>
                <w:szCs w:val="19"/>
                <w:color w:val="auto"/>
              </w:rPr>
            </w:pPr>
          </w:p>
        </w:tc>
        <w:tc>
          <w:tcPr>
            <w:tcW w:w="5760" w:type="dxa"/>
            <w:vAlign w:val="bottom"/>
            <w:tcBorders>
              <w:bottom w:val="single" w:sz="8" w:color="508BC7"/>
            </w:tcBorders>
            <w:shd w:val="clear" w:color="auto" w:fill="508BC7"/>
          </w:tcPr>
          <w:p>
            <w:pPr>
              <w:ind w:left="400"/>
              <w:spacing w:after="0"/>
              <w:rPr>
                <w:sz w:val="20"/>
                <w:szCs w:val="20"/>
                <w:color w:val="auto"/>
              </w:rPr>
            </w:pPr>
            <w:r>
              <w:rPr>
                <w:rFonts w:ascii="Arial" w:cs="Arial" w:eastAsia="Arial" w:hAnsi="Arial"/>
                <w:sz w:val="14"/>
                <w:szCs w:val="14"/>
                <w:b w:val="1"/>
                <w:bCs w:val="1"/>
                <w:color w:val="FFFFFF"/>
              </w:rPr>
              <w:t>Peer Group Companies</w:t>
            </w:r>
          </w:p>
        </w:tc>
      </w:tr>
      <w:tr>
        <w:trPr>
          <w:trHeight w:val="237"/>
        </w:trPr>
        <w:tc>
          <w:tcPr>
            <w:tcW w:w="3360" w:type="dxa"/>
            <w:vAlign w:val="bottom"/>
            <w:tcBorders>
              <w:bottom w:val="single" w:sz="8" w:color="D0E0F0"/>
            </w:tcBorders>
            <w:shd w:val="clear" w:color="auto" w:fill="D0E0F0"/>
          </w:tcPr>
          <w:p>
            <w:pPr>
              <w:ind w:left="80"/>
              <w:spacing w:after="0"/>
              <w:rPr>
                <w:sz w:val="20"/>
                <w:szCs w:val="20"/>
                <w:color w:val="auto"/>
              </w:rPr>
            </w:pPr>
            <w:r>
              <w:rPr>
                <w:rFonts w:ascii="Arial" w:cs="Arial" w:eastAsia="Arial" w:hAnsi="Arial"/>
                <w:sz w:val="18"/>
                <w:szCs w:val="18"/>
                <w:color w:val="auto"/>
              </w:rPr>
              <w:t>Altisource Portfolio Solutions S.A.</w:t>
            </w:r>
          </w:p>
        </w:tc>
        <w:tc>
          <w:tcPr>
            <w:tcW w:w="5760" w:type="dxa"/>
            <w:vAlign w:val="bottom"/>
            <w:tcBorders>
              <w:bottom w:val="single" w:sz="8" w:color="D0E0F0"/>
            </w:tcBorders>
            <w:shd w:val="clear" w:color="auto" w:fill="D0E0F0"/>
          </w:tcPr>
          <w:p>
            <w:pPr>
              <w:ind w:left="1660"/>
              <w:spacing w:after="0"/>
              <w:rPr>
                <w:sz w:val="20"/>
                <w:szCs w:val="20"/>
                <w:color w:val="auto"/>
              </w:rPr>
            </w:pPr>
            <w:r>
              <w:rPr>
                <w:rFonts w:ascii="Arial" w:cs="Arial" w:eastAsia="Arial" w:hAnsi="Arial"/>
                <w:sz w:val="18"/>
                <w:szCs w:val="18"/>
                <w:color w:val="auto"/>
              </w:rPr>
              <w:t>HMS Holdings Corp.</w:t>
            </w:r>
          </w:p>
        </w:tc>
      </w:tr>
      <w:tr>
        <w:trPr>
          <w:trHeight w:val="217"/>
        </w:trPr>
        <w:tc>
          <w:tcPr>
            <w:tcW w:w="3360" w:type="dxa"/>
            <w:vAlign w:val="bottom"/>
          </w:tcPr>
          <w:p>
            <w:pPr>
              <w:ind w:left="80"/>
              <w:spacing w:after="0"/>
              <w:rPr>
                <w:sz w:val="20"/>
                <w:szCs w:val="20"/>
                <w:color w:val="auto"/>
              </w:rPr>
            </w:pPr>
            <w:r>
              <w:rPr>
                <w:rFonts w:ascii="Arial" w:cs="Arial" w:eastAsia="Arial" w:hAnsi="Arial"/>
                <w:sz w:val="18"/>
                <w:szCs w:val="18"/>
                <w:color w:val="auto"/>
              </w:rPr>
              <w:t>Ciber, Inc.</w:t>
            </w:r>
          </w:p>
        </w:tc>
        <w:tc>
          <w:tcPr>
            <w:tcW w:w="5760" w:type="dxa"/>
            <w:vAlign w:val="bottom"/>
          </w:tcPr>
          <w:p>
            <w:pPr>
              <w:ind w:left="1660"/>
              <w:spacing w:after="0"/>
              <w:rPr>
                <w:sz w:val="20"/>
                <w:szCs w:val="20"/>
                <w:color w:val="auto"/>
              </w:rPr>
            </w:pPr>
            <w:r>
              <w:rPr>
                <w:rFonts w:ascii="Arial" w:cs="Arial" w:eastAsia="Arial" w:hAnsi="Arial"/>
                <w:sz w:val="18"/>
                <w:szCs w:val="18"/>
                <w:color w:val="auto"/>
              </w:rPr>
              <w:t>Solera Holdings, Inc.</w:t>
            </w:r>
          </w:p>
        </w:tc>
      </w:tr>
      <w:tr>
        <w:trPr>
          <w:trHeight w:val="40"/>
        </w:trPr>
        <w:tc>
          <w:tcPr>
            <w:tcW w:w="3360" w:type="dxa"/>
            <w:vAlign w:val="bottom"/>
          </w:tcPr>
          <w:p>
            <w:pPr>
              <w:spacing w:after="0"/>
              <w:rPr>
                <w:sz w:val="3"/>
                <w:szCs w:val="3"/>
                <w:color w:val="auto"/>
              </w:rPr>
            </w:pPr>
          </w:p>
        </w:tc>
        <w:tc>
          <w:tcPr>
            <w:tcW w:w="5760" w:type="dxa"/>
            <w:vAlign w:val="bottom"/>
          </w:tcPr>
          <w:p>
            <w:pPr>
              <w:spacing w:after="0"/>
              <w:rPr>
                <w:sz w:val="3"/>
                <w:szCs w:val="3"/>
                <w:color w:val="auto"/>
              </w:rPr>
            </w:pPr>
          </w:p>
        </w:tc>
      </w:tr>
      <w:tr>
        <w:trPr>
          <w:trHeight w:val="237"/>
        </w:trPr>
        <w:tc>
          <w:tcPr>
            <w:tcW w:w="3360" w:type="dxa"/>
            <w:vAlign w:val="bottom"/>
            <w:tcBorders>
              <w:bottom w:val="single" w:sz="8" w:color="D0E0F0"/>
            </w:tcBorders>
            <w:shd w:val="clear" w:color="auto" w:fill="D0E0F0"/>
          </w:tcPr>
          <w:p>
            <w:pPr>
              <w:ind w:left="80"/>
              <w:spacing w:after="0"/>
              <w:rPr>
                <w:sz w:val="20"/>
                <w:szCs w:val="20"/>
                <w:color w:val="auto"/>
              </w:rPr>
            </w:pPr>
            <w:r>
              <w:rPr>
                <w:rFonts w:ascii="Arial" w:cs="Arial" w:eastAsia="Arial" w:hAnsi="Arial"/>
                <w:sz w:val="18"/>
                <w:szCs w:val="18"/>
                <w:color w:val="auto"/>
              </w:rPr>
              <w:t>Computer Task Group, Incorporated</w:t>
            </w:r>
          </w:p>
        </w:tc>
        <w:tc>
          <w:tcPr>
            <w:tcW w:w="5760" w:type="dxa"/>
            <w:vAlign w:val="bottom"/>
            <w:tcBorders>
              <w:bottom w:val="single" w:sz="8" w:color="D0E0F0"/>
            </w:tcBorders>
            <w:shd w:val="clear" w:color="auto" w:fill="D0E0F0"/>
          </w:tcPr>
          <w:p>
            <w:pPr>
              <w:ind w:left="1660"/>
              <w:spacing w:after="0"/>
              <w:rPr>
                <w:sz w:val="20"/>
                <w:szCs w:val="20"/>
                <w:color w:val="auto"/>
              </w:rPr>
            </w:pPr>
            <w:r>
              <w:rPr>
                <w:rFonts w:ascii="Arial" w:cs="Arial" w:eastAsia="Arial" w:hAnsi="Arial"/>
                <w:sz w:val="18"/>
                <w:szCs w:val="18"/>
                <w:color w:val="auto"/>
              </w:rPr>
              <w:t>Sykes Enterprises, Incorporated</w:t>
            </w:r>
          </w:p>
        </w:tc>
      </w:tr>
      <w:tr>
        <w:trPr>
          <w:trHeight w:val="217"/>
        </w:trPr>
        <w:tc>
          <w:tcPr>
            <w:tcW w:w="3360" w:type="dxa"/>
            <w:vAlign w:val="bottom"/>
          </w:tcPr>
          <w:p>
            <w:pPr>
              <w:ind w:left="80"/>
              <w:spacing w:after="0"/>
              <w:rPr>
                <w:sz w:val="20"/>
                <w:szCs w:val="20"/>
                <w:color w:val="auto"/>
              </w:rPr>
            </w:pPr>
            <w:r>
              <w:rPr>
                <w:rFonts w:ascii="Arial" w:cs="Arial" w:eastAsia="Arial" w:hAnsi="Arial"/>
                <w:sz w:val="18"/>
                <w:szCs w:val="18"/>
                <w:color w:val="auto"/>
              </w:rPr>
              <w:t>Convergys Corporation</w:t>
            </w:r>
          </w:p>
        </w:tc>
        <w:tc>
          <w:tcPr>
            <w:tcW w:w="5760" w:type="dxa"/>
            <w:vAlign w:val="bottom"/>
          </w:tcPr>
          <w:p>
            <w:pPr>
              <w:ind w:left="1660"/>
              <w:spacing w:after="0"/>
              <w:rPr>
                <w:sz w:val="20"/>
                <w:szCs w:val="20"/>
                <w:color w:val="auto"/>
              </w:rPr>
            </w:pPr>
            <w:r>
              <w:rPr>
                <w:rFonts w:ascii="Arial" w:cs="Arial" w:eastAsia="Arial" w:hAnsi="Arial"/>
                <w:sz w:val="18"/>
                <w:szCs w:val="18"/>
                <w:color w:val="auto"/>
              </w:rPr>
              <w:t>Syntel Inc.</w:t>
            </w:r>
          </w:p>
        </w:tc>
      </w:tr>
      <w:tr>
        <w:trPr>
          <w:trHeight w:val="40"/>
        </w:trPr>
        <w:tc>
          <w:tcPr>
            <w:tcW w:w="3360" w:type="dxa"/>
            <w:vAlign w:val="bottom"/>
          </w:tcPr>
          <w:p>
            <w:pPr>
              <w:spacing w:after="0"/>
              <w:rPr>
                <w:sz w:val="3"/>
                <w:szCs w:val="3"/>
                <w:color w:val="auto"/>
              </w:rPr>
            </w:pPr>
          </w:p>
        </w:tc>
        <w:tc>
          <w:tcPr>
            <w:tcW w:w="5760" w:type="dxa"/>
            <w:vAlign w:val="bottom"/>
          </w:tcPr>
          <w:p>
            <w:pPr>
              <w:spacing w:after="0"/>
              <w:rPr>
                <w:sz w:val="3"/>
                <w:szCs w:val="3"/>
                <w:color w:val="auto"/>
              </w:rPr>
            </w:pPr>
          </w:p>
        </w:tc>
      </w:tr>
      <w:tr>
        <w:trPr>
          <w:trHeight w:val="237"/>
        </w:trPr>
        <w:tc>
          <w:tcPr>
            <w:tcW w:w="3360" w:type="dxa"/>
            <w:vAlign w:val="bottom"/>
            <w:tcBorders>
              <w:bottom w:val="single" w:sz="8" w:color="D0E0F0"/>
            </w:tcBorders>
            <w:shd w:val="clear" w:color="auto" w:fill="D0E0F0"/>
          </w:tcPr>
          <w:p>
            <w:pPr>
              <w:ind w:left="80"/>
              <w:spacing w:after="0"/>
              <w:rPr>
                <w:sz w:val="20"/>
                <w:szCs w:val="20"/>
                <w:color w:val="auto"/>
              </w:rPr>
            </w:pPr>
            <w:r>
              <w:rPr>
                <w:rFonts w:ascii="Arial" w:cs="Arial" w:eastAsia="Arial" w:hAnsi="Arial"/>
                <w:sz w:val="18"/>
                <w:szCs w:val="18"/>
                <w:color w:val="auto"/>
              </w:rPr>
              <w:t>CSG Systems International, Inc.</w:t>
            </w:r>
          </w:p>
        </w:tc>
        <w:tc>
          <w:tcPr>
            <w:tcW w:w="5760" w:type="dxa"/>
            <w:vAlign w:val="bottom"/>
            <w:tcBorders>
              <w:bottom w:val="single" w:sz="8" w:color="D0E0F0"/>
            </w:tcBorders>
            <w:shd w:val="clear" w:color="auto" w:fill="D0E0F0"/>
          </w:tcPr>
          <w:p>
            <w:pPr>
              <w:ind w:left="1660"/>
              <w:spacing w:after="0"/>
              <w:rPr>
                <w:sz w:val="20"/>
                <w:szCs w:val="20"/>
                <w:color w:val="auto"/>
              </w:rPr>
            </w:pPr>
            <w:r>
              <w:rPr>
                <w:rFonts w:ascii="Arial" w:cs="Arial" w:eastAsia="Arial" w:hAnsi="Arial"/>
                <w:sz w:val="18"/>
                <w:szCs w:val="18"/>
                <w:color w:val="auto"/>
              </w:rPr>
              <w:t>TeleTech Holdings, Inc.</w:t>
            </w:r>
          </w:p>
        </w:tc>
      </w:tr>
      <w:tr>
        <w:trPr>
          <w:trHeight w:val="217"/>
        </w:trPr>
        <w:tc>
          <w:tcPr>
            <w:tcW w:w="3360" w:type="dxa"/>
            <w:vAlign w:val="bottom"/>
          </w:tcPr>
          <w:p>
            <w:pPr>
              <w:ind w:left="80"/>
              <w:spacing w:after="0"/>
              <w:rPr>
                <w:sz w:val="20"/>
                <w:szCs w:val="20"/>
                <w:color w:val="auto"/>
              </w:rPr>
            </w:pPr>
            <w:r>
              <w:rPr>
                <w:rFonts w:ascii="Arial" w:cs="Arial" w:eastAsia="Arial" w:hAnsi="Arial"/>
                <w:sz w:val="18"/>
                <w:szCs w:val="18"/>
                <w:color w:val="auto"/>
              </w:rPr>
              <w:t>EPAM Systems, Inc.</w:t>
            </w:r>
          </w:p>
        </w:tc>
        <w:tc>
          <w:tcPr>
            <w:tcW w:w="5760" w:type="dxa"/>
            <w:vAlign w:val="bottom"/>
          </w:tcPr>
          <w:p>
            <w:pPr>
              <w:ind w:left="1660"/>
              <w:spacing w:after="0"/>
              <w:rPr>
                <w:sz w:val="20"/>
                <w:szCs w:val="20"/>
                <w:color w:val="auto"/>
              </w:rPr>
            </w:pPr>
            <w:r>
              <w:rPr>
                <w:rFonts w:ascii="Arial" w:cs="Arial" w:eastAsia="Arial" w:hAnsi="Arial"/>
                <w:sz w:val="18"/>
                <w:szCs w:val="18"/>
                <w:color w:val="auto"/>
              </w:rPr>
              <w:t>Virtusa Corporation</w:t>
            </w:r>
          </w:p>
        </w:tc>
      </w:tr>
      <w:tr>
        <w:trPr>
          <w:trHeight w:val="40"/>
        </w:trPr>
        <w:tc>
          <w:tcPr>
            <w:tcW w:w="3360" w:type="dxa"/>
            <w:vAlign w:val="bottom"/>
          </w:tcPr>
          <w:p>
            <w:pPr>
              <w:spacing w:after="0"/>
              <w:rPr>
                <w:sz w:val="3"/>
                <w:szCs w:val="3"/>
                <w:color w:val="auto"/>
              </w:rPr>
            </w:pPr>
          </w:p>
        </w:tc>
        <w:tc>
          <w:tcPr>
            <w:tcW w:w="5760" w:type="dxa"/>
            <w:vAlign w:val="bottom"/>
          </w:tcPr>
          <w:p>
            <w:pPr>
              <w:spacing w:after="0"/>
              <w:rPr>
                <w:sz w:val="3"/>
                <w:szCs w:val="3"/>
                <w:color w:val="auto"/>
              </w:rPr>
            </w:pPr>
          </w:p>
        </w:tc>
      </w:tr>
      <w:tr>
        <w:trPr>
          <w:trHeight w:val="217"/>
        </w:trPr>
        <w:tc>
          <w:tcPr>
            <w:tcW w:w="3360" w:type="dxa"/>
            <w:vAlign w:val="bottom"/>
            <w:shd w:val="clear" w:color="auto" w:fill="D0E0F0"/>
          </w:tcPr>
          <w:p>
            <w:pPr>
              <w:ind w:left="80"/>
              <w:spacing w:after="0"/>
              <w:rPr>
                <w:sz w:val="20"/>
                <w:szCs w:val="20"/>
                <w:color w:val="auto"/>
              </w:rPr>
            </w:pPr>
            <w:r>
              <w:rPr>
                <w:rFonts w:ascii="Arial" w:cs="Arial" w:eastAsia="Arial" w:hAnsi="Arial"/>
                <w:sz w:val="18"/>
                <w:szCs w:val="18"/>
                <w:color w:val="auto"/>
              </w:rPr>
              <w:t>Genpact Limited</w:t>
            </w:r>
          </w:p>
        </w:tc>
        <w:tc>
          <w:tcPr>
            <w:tcW w:w="5760" w:type="dxa"/>
            <w:vAlign w:val="bottom"/>
            <w:shd w:val="clear" w:color="auto" w:fill="D0E0F0"/>
          </w:tcPr>
          <w:p>
            <w:pPr>
              <w:ind w:left="1660"/>
              <w:spacing w:after="0"/>
              <w:rPr>
                <w:sz w:val="20"/>
                <w:szCs w:val="20"/>
                <w:color w:val="auto"/>
              </w:rPr>
            </w:pPr>
            <w:r>
              <w:rPr>
                <w:rFonts w:ascii="Arial" w:cs="Arial" w:eastAsia="Arial" w:hAnsi="Arial"/>
                <w:sz w:val="18"/>
                <w:szCs w:val="18"/>
                <w:color w:val="auto"/>
              </w:rPr>
              <w:t>WNS (Holdings) Limited</w:t>
            </w:r>
          </w:p>
        </w:tc>
      </w:tr>
      <w:tr>
        <w:trPr>
          <w:trHeight w:val="40"/>
        </w:trPr>
        <w:tc>
          <w:tcPr>
            <w:tcW w:w="3360" w:type="dxa"/>
            <w:vAlign w:val="bottom"/>
            <w:shd w:val="clear" w:color="auto" w:fill="D0E0F0"/>
          </w:tcPr>
          <w:p>
            <w:pPr>
              <w:spacing w:after="0"/>
              <w:rPr>
                <w:sz w:val="3"/>
                <w:szCs w:val="3"/>
                <w:color w:val="auto"/>
              </w:rPr>
            </w:pPr>
          </w:p>
        </w:tc>
        <w:tc>
          <w:tcPr>
            <w:tcW w:w="5760" w:type="dxa"/>
            <w:vAlign w:val="bottom"/>
            <w:shd w:val="clear" w:color="auto" w:fill="D0E0F0"/>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789305</wp:posOffset>
            </wp:positionH>
            <wp:positionV relativeFrom="paragraph">
              <wp:posOffset>-1174115</wp:posOffset>
            </wp:positionV>
            <wp:extent cx="56686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68645" cy="8890"/>
                    </a:xfrm>
                    <a:prstGeom prst="rect">
                      <a:avLst/>
                    </a:prstGeom>
                    <a:noFill/>
                  </pic:spPr>
                </pic:pic>
              </a:graphicData>
            </a:graphic>
          </wp:anchor>
        </w:drawing>
      </w:r>
    </w:p>
    <w:p>
      <w:pPr>
        <w:spacing w:after="0" w:line="182" w:lineRule="exact"/>
        <w:rPr>
          <w:sz w:val="20"/>
          <w:szCs w:val="20"/>
          <w:color w:val="auto"/>
        </w:rPr>
      </w:pPr>
    </w:p>
    <w:p>
      <w:pPr>
        <w:ind w:left="332" w:firstLine="486"/>
        <w:spacing w:after="0" w:line="237" w:lineRule="auto"/>
        <w:rPr>
          <w:sz w:val="20"/>
          <w:szCs w:val="20"/>
          <w:color w:val="auto"/>
        </w:rPr>
      </w:pPr>
      <w:r>
        <w:rPr>
          <w:rFonts w:ascii="Arial" w:cs="Arial" w:eastAsia="Arial" w:hAnsi="Arial"/>
          <w:sz w:val="18"/>
          <w:szCs w:val="18"/>
          <w:color w:val="auto"/>
        </w:rPr>
        <w:t>The compensation data for our peer group is compiled directly by FW Cook, the independent consultant to the Compensation Committee. The peer group compensation data was supplemented by global general industry and technology industry survey data. The data from the surveys was scaled to our size by FW Cook based on revenues or corresponding revenue ranges as provided by the surveys. While the Compensation Committee reviewed and considered the data provided by these surveys, it did not consider or review the compensation paid to executives at the component companies included within such surveys and did not use this information or any other data as a benchmark to set executive compensation for fiscal year 2016.</w:t>
      </w:r>
    </w:p>
    <w:p>
      <w:pPr>
        <w:spacing w:after="0" w:line="192" w:lineRule="exact"/>
        <w:rPr>
          <w:sz w:val="20"/>
          <w:szCs w:val="20"/>
          <w:color w:val="auto"/>
        </w:rPr>
      </w:pPr>
    </w:p>
    <w:p>
      <w:pPr>
        <w:ind w:left="332" w:right="180" w:firstLine="486"/>
        <w:spacing w:after="0" w:line="239" w:lineRule="auto"/>
        <w:rPr>
          <w:sz w:val="20"/>
          <w:szCs w:val="20"/>
          <w:color w:val="auto"/>
        </w:rPr>
      </w:pPr>
      <w:r>
        <w:rPr>
          <w:rFonts w:ascii="Arial" w:cs="Arial" w:eastAsia="Arial" w:hAnsi="Arial"/>
          <w:sz w:val="18"/>
          <w:szCs w:val="18"/>
          <w:color w:val="auto"/>
        </w:rPr>
        <w:t>Our Compensation Committee uses the compensation data to obtain a general understanding of current market practices, so it can design our executive compensation program to be competitive. Market data is not used exclusively, but rather as a point of reference to draw comparisons and distinctions. The Compensation Committee also takes into account an executive officer’s job responsibilities, performance, qualifications and skills in determining individual compensation levels.</w:t>
      </w:r>
    </w:p>
    <w:p>
      <w:pPr>
        <w:spacing w:after="0" w:line="170" w:lineRule="exact"/>
        <w:rPr>
          <w:sz w:val="20"/>
          <w:szCs w:val="20"/>
          <w:color w:val="auto"/>
        </w:rPr>
      </w:pPr>
    </w:p>
    <w:p>
      <w:pPr>
        <w:ind w:left="332" w:right="40" w:hanging="332"/>
        <w:spacing w:after="0" w:line="260" w:lineRule="auto"/>
        <w:tabs>
          <w:tab w:leader="none" w:pos="332"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Total Compensation Review</w:t>
      </w:r>
      <w:r>
        <w:rPr>
          <w:rFonts w:ascii="Arial" w:cs="Arial" w:eastAsia="Arial" w:hAnsi="Arial"/>
          <w:sz w:val="17"/>
          <w:szCs w:val="17"/>
          <w:color w:val="auto"/>
        </w:rPr>
        <w:t>. Our Compensation Committee reviews compensation information provided by FW Cook in order to evaluate</w:t>
      </w:r>
      <w:r>
        <w:rPr>
          <w:rFonts w:ascii="Arial" w:cs="Arial" w:eastAsia="Arial" w:hAnsi="Arial"/>
          <w:sz w:val="17"/>
          <w:szCs w:val="17"/>
          <w:i w:val="1"/>
          <w:iCs w:val="1"/>
          <w:color w:val="auto"/>
        </w:rPr>
        <w:t xml:space="preserve"> </w:t>
      </w:r>
      <w:r>
        <w:rPr>
          <w:rFonts w:ascii="Arial" w:cs="Arial" w:eastAsia="Arial" w:hAnsi="Arial"/>
          <w:sz w:val="17"/>
          <w:szCs w:val="17"/>
          <w:color w:val="auto"/>
        </w:rPr>
        <w:t>each executive’s base pay, incentive bonus and equity incentives when changes in compensation are considered. Compensation decisions are designed to promote our fundamental business objectives and strategy. Our Compensation Committee periodically reviews related matters such as succession planning and management, evaluation of management performance, changes in the scope of managerial responsibilities, and consideration of the business environment, and considers such matters in making compensation decisions.</w:t>
      </w:r>
    </w:p>
    <w:p>
      <w:pPr>
        <w:spacing w:after="0" w:line="17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32" w:name="page33"/>
    <w:bookmarkEnd w:id="32"/>
    <w:p>
      <w:pPr>
        <w:ind w:left="340" w:right="20" w:hanging="332"/>
        <w:spacing w:after="0" w:line="23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Role of the Compensation Committee’s Independent Compensation Consultant</w:t>
      </w:r>
      <w:r>
        <w:rPr>
          <w:rFonts w:ascii="Arial" w:cs="Arial" w:eastAsia="Arial" w:hAnsi="Arial"/>
          <w:sz w:val="18"/>
          <w:szCs w:val="18"/>
          <w:color w:val="auto"/>
        </w:rPr>
        <w:t>. For 2016, the Compensation Committee retained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of FW Cook, a qualified and independent compensation consultant, to aid the Compensation Committee in performing its duties. The Compensation Committee’s compensation consultant assists in collecting and evaluating external market data regarding executive compensation and performance, selecting peer group companies, reviewing the proxy statement and advising the Compensation Committee on developing trends and best practices in executive compensation, director compensation and equity and incentive plan design. Other than performing these consulting services, FW Cook does not provide other services to us or our executive officers. We have affirmatively determined that no conflict of interest has arisen in connection with the work of FW Cook as compensation consultant for the Compensation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Components of Executive Compensation for 2016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2016, the compensation of executive officers consisted of the following five primary components: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shd w:val="clear" w:color="auto" w:fill="508BC7"/>
          </w:tcPr>
          <w:p>
            <w:pPr>
              <w:ind w:left="340"/>
              <w:spacing w:after="0"/>
              <w:rPr>
                <w:sz w:val="20"/>
                <w:szCs w:val="20"/>
                <w:color w:val="auto"/>
              </w:rPr>
            </w:pPr>
            <w:r>
              <w:rPr>
                <w:rFonts w:ascii="Arial" w:cs="Arial" w:eastAsia="Arial" w:hAnsi="Arial"/>
                <w:sz w:val="18"/>
                <w:szCs w:val="18"/>
                <w:b w:val="1"/>
                <w:bCs w:val="1"/>
                <w:color w:val="FFFFFF"/>
              </w:rPr>
              <w:t>Compensation</w:t>
            </w:r>
          </w:p>
        </w:tc>
        <w:tc>
          <w:tcPr>
            <w:tcW w:w="4720" w:type="dxa"/>
            <w:vAlign w:val="bottom"/>
            <w:shd w:val="clear" w:color="auto" w:fill="508BC7"/>
          </w:tcPr>
          <w:p>
            <w:pPr>
              <w:spacing w:after="0"/>
              <w:rPr>
                <w:sz w:val="17"/>
                <w:szCs w:val="17"/>
                <w:color w:val="auto"/>
              </w:rPr>
            </w:pPr>
          </w:p>
        </w:tc>
        <w:tc>
          <w:tcPr>
            <w:tcW w:w="4780" w:type="dxa"/>
            <w:vAlign w:val="bottom"/>
            <w:shd w:val="clear" w:color="auto" w:fill="508BC7"/>
          </w:tcPr>
          <w:p>
            <w:pPr>
              <w:spacing w:after="0"/>
              <w:rPr>
                <w:sz w:val="17"/>
                <w:szCs w:val="17"/>
                <w:color w:val="auto"/>
              </w:rPr>
            </w:pPr>
          </w:p>
        </w:tc>
      </w:tr>
      <w:tr>
        <w:trPr>
          <w:trHeight w:val="232"/>
        </w:trPr>
        <w:tc>
          <w:tcPr>
            <w:tcW w:w="1920" w:type="dxa"/>
            <w:vAlign w:val="bottom"/>
            <w:tcBorders>
              <w:bottom w:val="single" w:sz="8" w:color="508BC7"/>
            </w:tcBorders>
            <w:shd w:val="clear" w:color="auto" w:fill="508BC7"/>
          </w:tcPr>
          <w:p>
            <w:pPr>
              <w:ind w:left="460"/>
              <w:spacing w:after="0"/>
              <w:rPr>
                <w:sz w:val="20"/>
                <w:szCs w:val="20"/>
                <w:color w:val="auto"/>
              </w:rPr>
            </w:pPr>
            <w:r>
              <w:rPr>
                <w:rFonts w:ascii="Arial" w:cs="Arial" w:eastAsia="Arial" w:hAnsi="Arial"/>
                <w:sz w:val="18"/>
                <w:szCs w:val="18"/>
                <w:b w:val="1"/>
                <w:bCs w:val="1"/>
                <w:color w:val="FFFFFF"/>
              </w:rPr>
              <w:t>Component</w:t>
            </w:r>
          </w:p>
        </w:tc>
        <w:tc>
          <w:tcPr>
            <w:tcW w:w="4720" w:type="dxa"/>
            <w:vAlign w:val="bottom"/>
            <w:tcBorders>
              <w:bottom w:val="single" w:sz="8" w:color="508BC7"/>
            </w:tcBorders>
            <w:shd w:val="clear" w:color="auto" w:fill="508BC7"/>
          </w:tcPr>
          <w:p>
            <w:pPr>
              <w:ind w:left="1940"/>
              <w:spacing w:after="0"/>
              <w:rPr>
                <w:sz w:val="20"/>
                <w:szCs w:val="20"/>
                <w:color w:val="auto"/>
              </w:rPr>
            </w:pPr>
            <w:r>
              <w:rPr>
                <w:rFonts w:ascii="Arial" w:cs="Arial" w:eastAsia="Arial" w:hAnsi="Arial"/>
                <w:sz w:val="18"/>
                <w:szCs w:val="18"/>
                <w:b w:val="1"/>
                <w:bCs w:val="1"/>
                <w:color w:val="FFFFFF"/>
              </w:rPr>
              <w:t>Description</w:t>
            </w:r>
          </w:p>
        </w:tc>
        <w:tc>
          <w:tcPr>
            <w:tcW w:w="4780" w:type="dxa"/>
            <w:vAlign w:val="bottom"/>
            <w:tcBorders>
              <w:bottom w:val="single" w:sz="8" w:color="508BC7"/>
            </w:tcBorders>
            <w:shd w:val="clear" w:color="auto" w:fill="508BC7"/>
          </w:tcPr>
          <w:p>
            <w:pPr>
              <w:ind w:left="2000"/>
              <w:spacing w:after="0"/>
              <w:rPr>
                <w:sz w:val="20"/>
                <w:szCs w:val="20"/>
                <w:color w:val="auto"/>
              </w:rPr>
            </w:pPr>
            <w:r>
              <w:rPr>
                <w:rFonts w:ascii="Arial" w:cs="Arial" w:eastAsia="Arial" w:hAnsi="Arial"/>
                <w:sz w:val="18"/>
                <w:szCs w:val="18"/>
                <w:b w:val="1"/>
                <w:bCs w:val="1"/>
                <w:color w:val="FFFFFF"/>
              </w:rPr>
              <w:t>Objectives</w:t>
            </w:r>
          </w:p>
        </w:tc>
      </w:tr>
      <w:tr>
        <w:trPr>
          <w:trHeight w:val="215"/>
        </w:trPr>
        <w:tc>
          <w:tcPr>
            <w:tcW w:w="1920" w:type="dxa"/>
            <w:vAlign w:val="bottom"/>
            <w:shd w:val="clear" w:color="auto" w:fill="D0E0F0"/>
          </w:tcPr>
          <w:p>
            <w:pPr>
              <w:ind w:left="120"/>
              <w:spacing w:after="0"/>
              <w:rPr>
                <w:sz w:val="20"/>
                <w:szCs w:val="20"/>
                <w:color w:val="auto"/>
              </w:rPr>
            </w:pPr>
            <w:r>
              <w:rPr>
                <w:rFonts w:ascii="Arial" w:cs="Arial" w:eastAsia="Arial" w:hAnsi="Arial"/>
                <w:sz w:val="18"/>
                <w:szCs w:val="18"/>
                <w:b w:val="1"/>
                <w:bCs w:val="1"/>
                <w:color w:val="auto"/>
              </w:rPr>
              <w:t>Base Salary</w:t>
            </w:r>
          </w:p>
        </w:tc>
        <w:tc>
          <w:tcPr>
            <w:tcW w:w="4720" w:type="dxa"/>
            <w:vAlign w:val="bottom"/>
            <w:shd w:val="clear" w:color="auto" w:fill="D0E0F0"/>
          </w:tcPr>
          <w:p>
            <w:pPr>
              <w:ind w:left="380"/>
              <w:spacing w:after="0"/>
              <w:rPr>
                <w:sz w:val="20"/>
                <w:szCs w:val="20"/>
                <w:color w:val="auto"/>
              </w:rPr>
            </w:pPr>
            <w:r>
              <w:rPr>
                <w:rFonts w:ascii="Arial" w:cs="Arial" w:eastAsia="Arial" w:hAnsi="Arial"/>
                <w:sz w:val="18"/>
                <w:szCs w:val="18"/>
                <w:color w:val="auto"/>
              </w:rPr>
              <w:t>●  Fixed compensation that is reviewed annually</w:t>
            </w:r>
          </w:p>
        </w:tc>
        <w:tc>
          <w:tcPr>
            <w:tcW w:w="4780" w:type="dxa"/>
            <w:vAlign w:val="bottom"/>
            <w:shd w:val="clear" w:color="auto" w:fill="D0E0F0"/>
          </w:tcPr>
          <w:p>
            <w:pPr>
              <w:ind w:left="240"/>
              <w:spacing w:after="0"/>
              <w:rPr>
                <w:sz w:val="20"/>
                <w:szCs w:val="20"/>
                <w:color w:val="auto"/>
              </w:rPr>
            </w:pPr>
            <w:r>
              <w:rPr>
                <w:rFonts w:ascii="Arial" w:cs="Arial" w:eastAsia="Arial" w:hAnsi="Arial"/>
                <w:sz w:val="18"/>
                <w:szCs w:val="18"/>
                <w:color w:val="auto"/>
              </w:rPr>
              <w:t>●  Provide a base level of compensation that</w:t>
            </w:r>
          </w:p>
        </w:tc>
      </w:tr>
      <w:tr>
        <w:trPr>
          <w:trHeight w:val="203"/>
        </w:trPr>
        <w:tc>
          <w:tcPr>
            <w:tcW w:w="1920" w:type="dxa"/>
            <w:vAlign w:val="bottom"/>
            <w:shd w:val="clear" w:color="auto" w:fill="D0E0F0"/>
          </w:tcPr>
          <w:p>
            <w:pPr>
              <w:spacing w:after="0"/>
              <w:rPr>
                <w:sz w:val="17"/>
                <w:szCs w:val="17"/>
                <w:color w:val="auto"/>
              </w:rPr>
            </w:pPr>
          </w:p>
        </w:tc>
        <w:tc>
          <w:tcPr>
            <w:tcW w:w="4720" w:type="dxa"/>
            <w:vAlign w:val="bottom"/>
            <w:shd w:val="clear" w:color="auto" w:fill="D0E0F0"/>
          </w:tcPr>
          <w:p>
            <w:pPr>
              <w:ind w:left="700"/>
              <w:spacing w:after="0" w:line="202" w:lineRule="exact"/>
              <w:rPr>
                <w:sz w:val="20"/>
                <w:szCs w:val="20"/>
                <w:color w:val="auto"/>
              </w:rPr>
            </w:pPr>
            <w:r>
              <w:rPr>
                <w:rFonts w:ascii="Arial" w:cs="Arial" w:eastAsia="Arial" w:hAnsi="Arial"/>
                <w:sz w:val="18"/>
                <w:szCs w:val="18"/>
                <w:color w:val="auto"/>
              </w:rPr>
              <w:t>and is based on performance, experience,</w:t>
            </w:r>
          </w:p>
        </w:tc>
        <w:tc>
          <w:tcPr>
            <w:tcW w:w="4780" w:type="dxa"/>
            <w:vAlign w:val="bottom"/>
            <w:shd w:val="clear" w:color="auto" w:fill="D0E0F0"/>
          </w:tcPr>
          <w:p>
            <w:pPr>
              <w:ind w:left="560"/>
              <w:spacing w:after="0" w:line="202" w:lineRule="exact"/>
              <w:rPr>
                <w:sz w:val="20"/>
                <w:szCs w:val="20"/>
                <w:color w:val="auto"/>
              </w:rPr>
            </w:pPr>
            <w:r>
              <w:rPr>
                <w:rFonts w:ascii="Arial" w:cs="Arial" w:eastAsia="Arial" w:hAnsi="Arial"/>
                <w:sz w:val="18"/>
                <w:szCs w:val="18"/>
                <w:color w:val="auto"/>
              </w:rPr>
              <w:t>corresponds to the job function performed.</w:t>
            </w:r>
          </w:p>
        </w:tc>
      </w:tr>
      <w:tr>
        <w:trPr>
          <w:trHeight w:val="203"/>
        </w:trPr>
        <w:tc>
          <w:tcPr>
            <w:tcW w:w="1920" w:type="dxa"/>
            <w:vAlign w:val="bottom"/>
            <w:shd w:val="clear" w:color="auto" w:fill="D0E0F0"/>
          </w:tcPr>
          <w:p>
            <w:pPr>
              <w:spacing w:after="0"/>
              <w:rPr>
                <w:sz w:val="17"/>
                <w:szCs w:val="17"/>
                <w:color w:val="auto"/>
              </w:rPr>
            </w:pPr>
          </w:p>
        </w:tc>
        <w:tc>
          <w:tcPr>
            <w:tcW w:w="4720" w:type="dxa"/>
            <w:vAlign w:val="bottom"/>
            <w:shd w:val="clear" w:color="auto" w:fill="D0E0F0"/>
          </w:tcPr>
          <w:p>
            <w:pPr>
              <w:ind w:left="700"/>
              <w:spacing w:after="0" w:line="202" w:lineRule="exact"/>
              <w:rPr>
                <w:sz w:val="20"/>
                <w:szCs w:val="20"/>
                <w:color w:val="auto"/>
              </w:rPr>
            </w:pPr>
            <w:r>
              <w:rPr>
                <w:rFonts w:ascii="Arial" w:cs="Arial" w:eastAsia="Arial" w:hAnsi="Arial"/>
                <w:sz w:val="18"/>
                <w:szCs w:val="18"/>
                <w:color w:val="auto"/>
              </w:rPr>
              <w:t>responsibilities, skill set and market value.</w:t>
            </w:r>
          </w:p>
        </w:tc>
        <w:tc>
          <w:tcPr>
            <w:tcW w:w="4780" w:type="dxa"/>
            <w:vAlign w:val="bottom"/>
            <w:shd w:val="clear" w:color="auto" w:fill="D0E0F0"/>
          </w:tcPr>
          <w:p>
            <w:pPr>
              <w:ind w:left="240"/>
              <w:spacing w:after="0" w:line="202" w:lineRule="exact"/>
              <w:rPr>
                <w:sz w:val="20"/>
                <w:szCs w:val="20"/>
                <w:color w:val="auto"/>
              </w:rPr>
            </w:pPr>
            <w:r>
              <w:rPr>
                <w:rFonts w:ascii="Arial" w:cs="Arial" w:eastAsia="Arial" w:hAnsi="Arial"/>
                <w:sz w:val="18"/>
                <w:szCs w:val="18"/>
                <w:color w:val="auto"/>
              </w:rPr>
              <w:t>●  Attract, retain, reward and motivate qualified and</w:t>
            </w:r>
          </w:p>
        </w:tc>
      </w:tr>
      <w:tr>
        <w:trPr>
          <w:trHeight w:val="203"/>
        </w:trPr>
        <w:tc>
          <w:tcPr>
            <w:tcW w:w="1920" w:type="dxa"/>
            <w:vAlign w:val="bottom"/>
            <w:shd w:val="clear" w:color="auto" w:fill="D0E0F0"/>
          </w:tcPr>
          <w:p>
            <w:pPr>
              <w:spacing w:after="0"/>
              <w:rPr>
                <w:sz w:val="17"/>
                <w:szCs w:val="17"/>
                <w:color w:val="auto"/>
              </w:rPr>
            </w:pPr>
          </w:p>
        </w:tc>
        <w:tc>
          <w:tcPr>
            <w:tcW w:w="4720" w:type="dxa"/>
            <w:vAlign w:val="bottom"/>
            <w:shd w:val="clear" w:color="auto" w:fill="D0E0F0"/>
          </w:tcPr>
          <w:p>
            <w:pPr>
              <w:spacing w:after="0"/>
              <w:rPr>
                <w:sz w:val="17"/>
                <w:szCs w:val="17"/>
                <w:color w:val="auto"/>
              </w:rPr>
            </w:pPr>
          </w:p>
        </w:tc>
        <w:tc>
          <w:tcPr>
            <w:tcW w:w="4780" w:type="dxa"/>
            <w:vAlign w:val="bottom"/>
            <w:shd w:val="clear" w:color="auto" w:fill="D0E0F0"/>
          </w:tcPr>
          <w:p>
            <w:pPr>
              <w:ind w:left="560"/>
              <w:spacing w:after="0" w:line="203" w:lineRule="exact"/>
              <w:rPr>
                <w:sz w:val="20"/>
                <w:szCs w:val="20"/>
                <w:color w:val="auto"/>
              </w:rPr>
            </w:pPr>
            <w:r>
              <w:rPr>
                <w:rFonts w:ascii="Arial" w:cs="Arial" w:eastAsia="Arial" w:hAnsi="Arial"/>
                <w:sz w:val="18"/>
                <w:szCs w:val="18"/>
                <w:color w:val="auto"/>
              </w:rPr>
              <w:t>experienced executives.</w:t>
            </w:r>
          </w:p>
        </w:tc>
      </w:tr>
      <w:tr>
        <w:trPr>
          <w:trHeight w:val="202"/>
        </w:trPr>
        <w:tc>
          <w:tcPr>
            <w:tcW w:w="1920" w:type="dxa"/>
            <w:vAlign w:val="bottom"/>
          </w:tcPr>
          <w:p>
            <w:pPr>
              <w:ind w:left="120"/>
              <w:spacing w:after="0" w:line="201" w:lineRule="exact"/>
              <w:rPr>
                <w:sz w:val="20"/>
                <w:szCs w:val="20"/>
                <w:color w:val="auto"/>
              </w:rPr>
            </w:pPr>
            <w:r>
              <w:rPr>
                <w:rFonts w:ascii="Arial" w:cs="Arial" w:eastAsia="Arial" w:hAnsi="Arial"/>
                <w:sz w:val="18"/>
                <w:szCs w:val="18"/>
                <w:b w:val="1"/>
                <w:bCs w:val="1"/>
                <w:color w:val="auto"/>
              </w:rPr>
              <w:t>Annual Incentives</w:t>
            </w:r>
          </w:p>
        </w:tc>
        <w:tc>
          <w:tcPr>
            <w:tcW w:w="4720" w:type="dxa"/>
            <w:vAlign w:val="bottom"/>
          </w:tcPr>
          <w:p>
            <w:pPr>
              <w:ind w:left="380"/>
              <w:spacing w:after="0" w:line="201" w:lineRule="exact"/>
              <w:rPr>
                <w:sz w:val="20"/>
                <w:szCs w:val="20"/>
                <w:color w:val="auto"/>
              </w:rPr>
            </w:pPr>
            <w:r>
              <w:rPr>
                <w:rFonts w:ascii="Arial" w:cs="Arial" w:eastAsia="Arial" w:hAnsi="Arial"/>
                <w:sz w:val="18"/>
                <w:szCs w:val="18"/>
                <w:color w:val="auto"/>
              </w:rPr>
              <w:t>●  “At-risk” compensation earned based on</w:t>
            </w:r>
          </w:p>
        </w:tc>
        <w:tc>
          <w:tcPr>
            <w:tcW w:w="4780" w:type="dxa"/>
            <w:vAlign w:val="bottom"/>
          </w:tcPr>
          <w:p>
            <w:pPr>
              <w:ind w:left="240"/>
              <w:spacing w:after="0" w:line="201" w:lineRule="exact"/>
              <w:rPr>
                <w:sz w:val="20"/>
                <w:szCs w:val="20"/>
                <w:color w:val="auto"/>
              </w:rPr>
            </w:pPr>
            <w:r>
              <w:rPr>
                <w:rFonts w:ascii="Arial" w:cs="Arial" w:eastAsia="Arial" w:hAnsi="Arial"/>
                <w:sz w:val="18"/>
                <w:szCs w:val="18"/>
                <w:color w:val="auto"/>
              </w:rPr>
              <w:t>●  Incentivize executives to achieve annual goals that</w:t>
            </w:r>
          </w:p>
        </w:tc>
      </w:tr>
      <w:tr>
        <w:trPr>
          <w:trHeight w:val="203"/>
        </w:trPr>
        <w:tc>
          <w:tcPr>
            <w:tcW w:w="1920" w:type="dxa"/>
            <w:vAlign w:val="bottom"/>
          </w:tcPr>
          <w:p>
            <w:pPr>
              <w:spacing w:after="0"/>
              <w:rPr>
                <w:sz w:val="17"/>
                <w:szCs w:val="17"/>
                <w:color w:val="auto"/>
              </w:rPr>
            </w:pPr>
          </w:p>
        </w:tc>
        <w:tc>
          <w:tcPr>
            <w:tcW w:w="4720" w:type="dxa"/>
            <w:vAlign w:val="bottom"/>
          </w:tcPr>
          <w:p>
            <w:pPr>
              <w:ind w:left="700"/>
              <w:spacing w:after="0" w:line="202" w:lineRule="exact"/>
              <w:rPr>
                <w:sz w:val="20"/>
                <w:szCs w:val="20"/>
                <w:color w:val="auto"/>
              </w:rPr>
            </w:pPr>
            <w:r>
              <w:rPr>
                <w:rFonts w:ascii="Arial" w:cs="Arial" w:eastAsia="Arial" w:hAnsi="Arial"/>
                <w:sz w:val="18"/>
                <w:szCs w:val="18"/>
                <w:color w:val="auto"/>
              </w:rPr>
              <w:t>performance measured against pre-established</w:t>
            </w:r>
          </w:p>
        </w:tc>
        <w:tc>
          <w:tcPr>
            <w:tcW w:w="4780" w:type="dxa"/>
            <w:vAlign w:val="bottom"/>
          </w:tcPr>
          <w:p>
            <w:pPr>
              <w:ind w:left="560"/>
              <w:spacing w:after="0" w:line="202" w:lineRule="exact"/>
              <w:rPr>
                <w:sz w:val="20"/>
                <w:szCs w:val="20"/>
                <w:color w:val="auto"/>
              </w:rPr>
            </w:pPr>
            <w:r>
              <w:rPr>
                <w:rFonts w:ascii="Arial" w:cs="Arial" w:eastAsia="Arial" w:hAnsi="Arial"/>
                <w:sz w:val="18"/>
                <w:szCs w:val="18"/>
                <w:color w:val="auto"/>
              </w:rPr>
              <w:t>ultimately contribute to long-term company growth</w:t>
            </w:r>
          </w:p>
        </w:tc>
      </w:tr>
      <w:tr>
        <w:trPr>
          <w:trHeight w:val="203"/>
        </w:trPr>
        <w:tc>
          <w:tcPr>
            <w:tcW w:w="1920" w:type="dxa"/>
            <w:vAlign w:val="bottom"/>
          </w:tcPr>
          <w:p>
            <w:pPr>
              <w:spacing w:after="0"/>
              <w:rPr>
                <w:sz w:val="17"/>
                <w:szCs w:val="17"/>
                <w:color w:val="auto"/>
              </w:rPr>
            </w:pPr>
          </w:p>
        </w:tc>
        <w:tc>
          <w:tcPr>
            <w:tcW w:w="4720" w:type="dxa"/>
            <w:vAlign w:val="bottom"/>
          </w:tcPr>
          <w:p>
            <w:pPr>
              <w:ind w:left="700"/>
              <w:spacing w:after="0" w:line="202" w:lineRule="exact"/>
              <w:rPr>
                <w:sz w:val="20"/>
                <w:szCs w:val="20"/>
                <w:color w:val="auto"/>
              </w:rPr>
            </w:pPr>
            <w:r>
              <w:rPr>
                <w:rFonts w:ascii="Arial" w:cs="Arial" w:eastAsia="Arial" w:hAnsi="Arial"/>
                <w:sz w:val="18"/>
                <w:szCs w:val="18"/>
                <w:color w:val="auto"/>
              </w:rPr>
              <w:t>annual goals.</w:t>
            </w:r>
          </w:p>
        </w:tc>
        <w:tc>
          <w:tcPr>
            <w:tcW w:w="4780" w:type="dxa"/>
            <w:vAlign w:val="bottom"/>
          </w:tcPr>
          <w:p>
            <w:pPr>
              <w:ind w:left="560"/>
              <w:spacing w:after="0" w:line="202" w:lineRule="exact"/>
              <w:rPr>
                <w:sz w:val="20"/>
                <w:szCs w:val="20"/>
                <w:color w:val="auto"/>
              </w:rPr>
            </w:pPr>
            <w:r>
              <w:rPr>
                <w:rFonts w:ascii="Arial" w:cs="Arial" w:eastAsia="Arial" w:hAnsi="Arial"/>
                <w:sz w:val="18"/>
                <w:szCs w:val="18"/>
                <w:color w:val="auto"/>
              </w:rPr>
              <w:t>and stockholder return.</w:t>
            </w:r>
          </w:p>
        </w:tc>
      </w:tr>
      <w:tr>
        <w:trPr>
          <w:trHeight w:val="203"/>
        </w:trPr>
        <w:tc>
          <w:tcPr>
            <w:tcW w:w="1920" w:type="dxa"/>
            <w:vAlign w:val="bottom"/>
          </w:tcPr>
          <w:p>
            <w:pPr>
              <w:spacing w:after="0"/>
              <w:rPr>
                <w:sz w:val="17"/>
                <w:szCs w:val="17"/>
                <w:color w:val="auto"/>
              </w:rPr>
            </w:pPr>
          </w:p>
        </w:tc>
        <w:tc>
          <w:tcPr>
            <w:tcW w:w="4720" w:type="dxa"/>
            <w:vAlign w:val="bottom"/>
          </w:tcPr>
          <w:p>
            <w:pPr>
              <w:ind w:left="380"/>
              <w:spacing w:after="0" w:line="203" w:lineRule="exact"/>
              <w:rPr>
                <w:sz w:val="20"/>
                <w:szCs w:val="20"/>
                <w:color w:val="auto"/>
              </w:rPr>
            </w:pPr>
            <w:r>
              <w:rPr>
                <w:rFonts w:ascii="Arial" w:cs="Arial" w:eastAsia="Arial" w:hAnsi="Arial"/>
                <w:sz w:val="18"/>
                <w:szCs w:val="18"/>
                <w:color w:val="auto"/>
              </w:rPr>
              <w:t>●  Goals are tailored to each executive’s position.</w:t>
            </w:r>
          </w:p>
        </w:tc>
        <w:tc>
          <w:tcPr>
            <w:tcW w:w="4780" w:type="dxa"/>
            <w:vAlign w:val="bottom"/>
          </w:tcPr>
          <w:p>
            <w:pPr>
              <w:spacing w:after="0"/>
              <w:rPr>
                <w:sz w:val="17"/>
                <w:szCs w:val="17"/>
                <w:color w:val="auto"/>
              </w:rPr>
            </w:pPr>
          </w:p>
        </w:tc>
      </w:tr>
      <w:tr>
        <w:trPr>
          <w:trHeight w:val="180"/>
        </w:trPr>
        <w:tc>
          <w:tcPr>
            <w:tcW w:w="1920" w:type="dxa"/>
            <w:vAlign w:val="bottom"/>
            <w:shd w:val="clear" w:color="auto" w:fill="D0E0F0"/>
          </w:tcPr>
          <w:p>
            <w:pPr>
              <w:ind w:left="120"/>
              <w:spacing w:after="0" w:line="180" w:lineRule="exact"/>
              <w:rPr>
                <w:sz w:val="20"/>
                <w:szCs w:val="20"/>
                <w:color w:val="auto"/>
              </w:rPr>
            </w:pPr>
            <w:r>
              <w:rPr>
                <w:rFonts w:ascii="Arial" w:cs="Arial" w:eastAsia="Arial" w:hAnsi="Arial"/>
                <w:sz w:val="18"/>
                <w:szCs w:val="18"/>
                <w:b w:val="1"/>
                <w:bCs w:val="1"/>
                <w:color w:val="auto"/>
              </w:rPr>
              <w:t>Long-Term</w:t>
            </w:r>
          </w:p>
        </w:tc>
        <w:tc>
          <w:tcPr>
            <w:tcW w:w="4720" w:type="dxa"/>
            <w:vAlign w:val="bottom"/>
            <w:shd w:val="clear" w:color="auto" w:fill="D0E0F0"/>
          </w:tcPr>
          <w:p>
            <w:pPr>
              <w:ind w:left="380"/>
              <w:spacing w:after="0" w:line="180" w:lineRule="exact"/>
              <w:rPr>
                <w:sz w:val="20"/>
                <w:szCs w:val="20"/>
                <w:color w:val="auto"/>
              </w:rPr>
            </w:pPr>
            <w:r>
              <w:rPr>
                <w:rFonts w:ascii="Arial" w:cs="Arial" w:eastAsia="Arial" w:hAnsi="Arial"/>
                <w:sz w:val="18"/>
                <w:szCs w:val="18"/>
                <w:color w:val="auto"/>
              </w:rPr>
              <w:t>●  “At-risk” compensation in the form of restricted</w:t>
            </w:r>
          </w:p>
        </w:tc>
        <w:tc>
          <w:tcPr>
            <w:tcW w:w="4780" w:type="dxa"/>
            <w:vAlign w:val="bottom"/>
            <w:shd w:val="clear" w:color="auto" w:fill="D0E0F0"/>
          </w:tcPr>
          <w:p>
            <w:pPr>
              <w:ind w:left="240"/>
              <w:spacing w:after="0" w:line="180" w:lineRule="exact"/>
              <w:rPr>
                <w:sz w:val="20"/>
                <w:szCs w:val="20"/>
                <w:color w:val="auto"/>
              </w:rPr>
            </w:pPr>
            <w:r>
              <w:rPr>
                <w:rFonts w:ascii="Arial" w:cs="Arial" w:eastAsia="Arial" w:hAnsi="Arial"/>
                <w:sz w:val="18"/>
                <w:szCs w:val="18"/>
                <w:color w:val="auto"/>
              </w:rPr>
              <w:t>●  Align executive interests with those of stockholders.</w:t>
            </w:r>
          </w:p>
        </w:tc>
      </w:tr>
      <w:tr>
        <w:trPr>
          <w:trHeight w:val="225"/>
        </w:trPr>
        <w:tc>
          <w:tcPr>
            <w:tcW w:w="1920" w:type="dxa"/>
            <w:vAlign w:val="bottom"/>
            <w:shd w:val="clear" w:color="auto" w:fill="D0E0F0"/>
          </w:tcPr>
          <w:p>
            <w:pPr>
              <w:ind w:left="120"/>
              <w:spacing w:after="0"/>
              <w:rPr>
                <w:sz w:val="20"/>
                <w:szCs w:val="20"/>
                <w:color w:val="auto"/>
              </w:rPr>
            </w:pPr>
            <w:r>
              <w:rPr>
                <w:rFonts w:ascii="Arial" w:cs="Arial" w:eastAsia="Arial" w:hAnsi="Arial"/>
                <w:sz w:val="18"/>
                <w:szCs w:val="18"/>
                <w:b w:val="1"/>
                <w:bCs w:val="1"/>
                <w:color w:val="auto"/>
              </w:rPr>
              <w:t>Incentives</w:t>
            </w:r>
          </w:p>
        </w:tc>
        <w:tc>
          <w:tcPr>
            <w:tcW w:w="4720" w:type="dxa"/>
            <w:vAlign w:val="bottom"/>
            <w:shd w:val="clear" w:color="auto" w:fill="D0E0F0"/>
          </w:tcPr>
          <w:p>
            <w:pPr>
              <w:ind w:left="700"/>
              <w:spacing w:after="0"/>
              <w:rPr>
                <w:sz w:val="20"/>
                <w:szCs w:val="20"/>
                <w:color w:val="auto"/>
              </w:rPr>
            </w:pPr>
            <w:r>
              <w:rPr>
                <w:rFonts w:ascii="Arial" w:cs="Arial" w:eastAsia="Arial" w:hAnsi="Arial"/>
                <w:sz w:val="18"/>
                <w:szCs w:val="18"/>
                <w:color w:val="auto"/>
              </w:rPr>
              <w:t>stock unit awards whose value fluctuates</w:t>
            </w:r>
          </w:p>
        </w:tc>
        <w:tc>
          <w:tcPr>
            <w:tcW w:w="4780" w:type="dxa"/>
            <w:vAlign w:val="bottom"/>
            <w:shd w:val="clear" w:color="auto" w:fill="D0E0F0"/>
          </w:tcPr>
          <w:p>
            <w:pPr>
              <w:ind w:left="240"/>
              <w:spacing w:after="0"/>
              <w:rPr>
                <w:sz w:val="20"/>
                <w:szCs w:val="20"/>
                <w:color w:val="auto"/>
              </w:rPr>
            </w:pPr>
            <w:r>
              <w:rPr>
                <w:rFonts w:ascii="Arial" w:cs="Arial" w:eastAsia="Arial" w:hAnsi="Arial"/>
                <w:sz w:val="18"/>
                <w:szCs w:val="18"/>
                <w:color w:val="auto"/>
              </w:rPr>
              <w:t>●  Reward continuous service with the company.</w:t>
            </w:r>
          </w:p>
        </w:tc>
      </w:tr>
      <w:tr>
        <w:trPr>
          <w:trHeight w:val="203"/>
        </w:trPr>
        <w:tc>
          <w:tcPr>
            <w:tcW w:w="1920" w:type="dxa"/>
            <w:vAlign w:val="bottom"/>
            <w:shd w:val="clear" w:color="auto" w:fill="D0E0F0"/>
          </w:tcPr>
          <w:p>
            <w:pPr>
              <w:spacing w:after="0"/>
              <w:rPr>
                <w:sz w:val="17"/>
                <w:szCs w:val="17"/>
                <w:color w:val="auto"/>
              </w:rPr>
            </w:pPr>
          </w:p>
        </w:tc>
        <w:tc>
          <w:tcPr>
            <w:tcW w:w="4720" w:type="dxa"/>
            <w:vAlign w:val="bottom"/>
            <w:shd w:val="clear" w:color="auto" w:fill="D0E0F0"/>
          </w:tcPr>
          <w:p>
            <w:pPr>
              <w:ind w:left="700"/>
              <w:spacing w:after="0" w:line="202" w:lineRule="exact"/>
              <w:rPr>
                <w:sz w:val="20"/>
                <w:szCs w:val="20"/>
                <w:color w:val="auto"/>
              </w:rPr>
            </w:pPr>
            <w:r>
              <w:rPr>
                <w:rFonts w:ascii="Arial" w:cs="Arial" w:eastAsia="Arial" w:hAnsi="Arial"/>
                <w:sz w:val="18"/>
                <w:szCs w:val="18"/>
                <w:color w:val="auto"/>
              </w:rPr>
              <w:t>according to stockholder value.</w:t>
            </w:r>
          </w:p>
        </w:tc>
        <w:tc>
          <w:tcPr>
            <w:tcW w:w="4780" w:type="dxa"/>
            <w:vAlign w:val="bottom"/>
            <w:shd w:val="clear" w:color="auto" w:fill="D0E0F0"/>
          </w:tcPr>
          <w:p>
            <w:pPr>
              <w:ind w:left="240"/>
              <w:spacing w:after="0" w:line="202" w:lineRule="exact"/>
              <w:rPr>
                <w:sz w:val="20"/>
                <w:szCs w:val="20"/>
                <w:color w:val="auto"/>
              </w:rPr>
            </w:pPr>
            <w:r>
              <w:rPr>
                <w:rFonts w:ascii="Arial" w:cs="Arial" w:eastAsia="Arial" w:hAnsi="Arial"/>
                <w:sz w:val="18"/>
                <w:szCs w:val="18"/>
                <w:color w:val="auto"/>
              </w:rPr>
              <w:t>●  Incentivize executives to achieve goals that drive</w:t>
            </w:r>
          </w:p>
        </w:tc>
      </w:tr>
      <w:tr>
        <w:trPr>
          <w:trHeight w:val="203"/>
        </w:trPr>
        <w:tc>
          <w:tcPr>
            <w:tcW w:w="1920" w:type="dxa"/>
            <w:vAlign w:val="bottom"/>
            <w:shd w:val="clear" w:color="auto" w:fill="D0E0F0"/>
          </w:tcPr>
          <w:p>
            <w:pPr>
              <w:spacing w:after="0"/>
              <w:rPr>
                <w:sz w:val="17"/>
                <w:szCs w:val="17"/>
                <w:color w:val="auto"/>
              </w:rPr>
            </w:pPr>
          </w:p>
        </w:tc>
        <w:tc>
          <w:tcPr>
            <w:tcW w:w="4720" w:type="dxa"/>
            <w:vAlign w:val="bottom"/>
            <w:shd w:val="clear" w:color="auto" w:fill="D0E0F0"/>
          </w:tcPr>
          <w:p>
            <w:pPr>
              <w:ind w:left="380"/>
              <w:spacing w:after="0" w:line="202" w:lineRule="exact"/>
              <w:rPr>
                <w:sz w:val="20"/>
                <w:szCs w:val="20"/>
                <w:color w:val="auto"/>
              </w:rPr>
            </w:pPr>
            <w:r>
              <w:rPr>
                <w:rFonts w:ascii="Arial" w:cs="Arial" w:eastAsia="Arial" w:hAnsi="Arial"/>
                <w:sz w:val="18"/>
                <w:szCs w:val="18"/>
                <w:color w:val="auto"/>
              </w:rPr>
              <w:t>●  50% of the award vests based on continued</w:t>
            </w:r>
          </w:p>
        </w:tc>
        <w:tc>
          <w:tcPr>
            <w:tcW w:w="4780" w:type="dxa"/>
            <w:vAlign w:val="bottom"/>
            <w:shd w:val="clear" w:color="auto" w:fill="D0E0F0"/>
          </w:tcPr>
          <w:p>
            <w:pPr>
              <w:ind w:left="560"/>
              <w:spacing w:after="0" w:line="202" w:lineRule="exact"/>
              <w:rPr>
                <w:sz w:val="20"/>
                <w:szCs w:val="20"/>
                <w:color w:val="auto"/>
              </w:rPr>
            </w:pPr>
            <w:r>
              <w:rPr>
                <w:rFonts w:ascii="Arial" w:cs="Arial" w:eastAsia="Arial" w:hAnsi="Arial"/>
                <w:sz w:val="18"/>
                <w:szCs w:val="18"/>
                <w:color w:val="auto"/>
              </w:rPr>
              <w:t>company performance over the long-term.</w:t>
            </w:r>
          </w:p>
        </w:tc>
      </w:tr>
      <w:tr>
        <w:trPr>
          <w:trHeight w:val="203"/>
        </w:trPr>
        <w:tc>
          <w:tcPr>
            <w:tcW w:w="1920" w:type="dxa"/>
            <w:vAlign w:val="bottom"/>
            <w:shd w:val="clear" w:color="auto" w:fill="D0E0F0"/>
          </w:tcPr>
          <w:p>
            <w:pPr>
              <w:spacing w:after="0"/>
              <w:rPr>
                <w:sz w:val="17"/>
                <w:szCs w:val="17"/>
                <w:color w:val="auto"/>
              </w:rPr>
            </w:pPr>
          </w:p>
        </w:tc>
        <w:tc>
          <w:tcPr>
            <w:tcW w:w="4720" w:type="dxa"/>
            <w:vAlign w:val="bottom"/>
            <w:shd w:val="clear" w:color="auto" w:fill="D0E0F0"/>
          </w:tcPr>
          <w:p>
            <w:pPr>
              <w:ind w:left="700"/>
              <w:spacing w:after="0" w:line="202" w:lineRule="exact"/>
              <w:rPr>
                <w:sz w:val="20"/>
                <w:szCs w:val="20"/>
                <w:color w:val="auto"/>
              </w:rPr>
            </w:pPr>
            <w:r>
              <w:rPr>
                <w:rFonts w:ascii="Arial" w:cs="Arial" w:eastAsia="Arial" w:hAnsi="Arial"/>
                <w:sz w:val="18"/>
                <w:szCs w:val="18"/>
                <w:color w:val="auto"/>
              </w:rPr>
              <w:t>service.</w:t>
            </w:r>
          </w:p>
        </w:tc>
        <w:tc>
          <w:tcPr>
            <w:tcW w:w="4780" w:type="dxa"/>
            <w:vAlign w:val="bottom"/>
            <w:shd w:val="clear" w:color="auto" w:fill="D0E0F0"/>
          </w:tcPr>
          <w:p>
            <w:pPr>
              <w:spacing w:after="0"/>
              <w:rPr>
                <w:sz w:val="17"/>
                <w:szCs w:val="17"/>
                <w:color w:val="auto"/>
              </w:rPr>
            </w:pPr>
          </w:p>
        </w:tc>
      </w:tr>
      <w:tr>
        <w:trPr>
          <w:trHeight w:val="203"/>
        </w:trPr>
        <w:tc>
          <w:tcPr>
            <w:tcW w:w="1920" w:type="dxa"/>
            <w:vAlign w:val="bottom"/>
            <w:shd w:val="clear" w:color="auto" w:fill="D0E0F0"/>
          </w:tcPr>
          <w:p>
            <w:pPr>
              <w:spacing w:after="0"/>
              <w:rPr>
                <w:sz w:val="17"/>
                <w:szCs w:val="17"/>
                <w:color w:val="auto"/>
              </w:rPr>
            </w:pPr>
          </w:p>
        </w:tc>
        <w:tc>
          <w:tcPr>
            <w:tcW w:w="4720" w:type="dxa"/>
            <w:vAlign w:val="bottom"/>
            <w:shd w:val="clear" w:color="auto" w:fill="D0E0F0"/>
          </w:tcPr>
          <w:p>
            <w:pPr>
              <w:ind w:left="380"/>
              <w:spacing w:after="0" w:line="202" w:lineRule="exact"/>
              <w:rPr>
                <w:sz w:val="20"/>
                <w:szCs w:val="20"/>
                <w:color w:val="auto"/>
              </w:rPr>
            </w:pPr>
            <w:r>
              <w:rPr>
                <w:rFonts w:ascii="Arial" w:cs="Arial" w:eastAsia="Arial" w:hAnsi="Arial"/>
                <w:sz w:val="18"/>
                <w:szCs w:val="18"/>
                <w:color w:val="auto"/>
              </w:rPr>
              <w:t>●  50% vests based on achievement of revenue</w:t>
            </w:r>
          </w:p>
        </w:tc>
        <w:tc>
          <w:tcPr>
            <w:tcW w:w="4780" w:type="dxa"/>
            <w:vAlign w:val="bottom"/>
            <w:shd w:val="clear" w:color="auto" w:fill="D0E0F0"/>
          </w:tcPr>
          <w:p>
            <w:pPr>
              <w:spacing w:after="0"/>
              <w:rPr>
                <w:sz w:val="17"/>
                <w:szCs w:val="17"/>
                <w:color w:val="auto"/>
              </w:rPr>
            </w:pPr>
          </w:p>
        </w:tc>
      </w:tr>
      <w:tr>
        <w:trPr>
          <w:trHeight w:val="203"/>
        </w:trPr>
        <w:tc>
          <w:tcPr>
            <w:tcW w:w="1920" w:type="dxa"/>
            <w:vAlign w:val="bottom"/>
            <w:shd w:val="clear" w:color="auto" w:fill="D0E0F0"/>
          </w:tcPr>
          <w:p>
            <w:pPr>
              <w:spacing w:after="0"/>
              <w:rPr>
                <w:sz w:val="17"/>
                <w:szCs w:val="17"/>
                <w:color w:val="auto"/>
              </w:rPr>
            </w:pPr>
          </w:p>
        </w:tc>
        <w:tc>
          <w:tcPr>
            <w:tcW w:w="4720" w:type="dxa"/>
            <w:vAlign w:val="bottom"/>
            <w:shd w:val="clear" w:color="auto" w:fill="D0E0F0"/>
          </w:tcPr>
          <w:p>
            <w:pPr>
              <w:ind w:left="700"/>
              <w:spacing w:after="0" w:line="203" w:lineRule="exact"/>
              <w:rPr>
                <w:sz w:val="20"/>
                <w:szCs w:val="20"/>
                <w:color w:val="auto"/>
              </w:rPr>
            </w:pPr>
            <w:r>
              <w:rPr>
                <w:rFonts w:ascii="Arial" w:cs="Arial" w:eastAsia="Arial" w:hAnsi="Arial"/>
                <w:sz w:val="18"/>
                <w:szCs w:val="18"/>
                <w:color w:val="auto"/>
              </w:rPr>
              <w:t>and total stockholder return goals.</w:t>
            </w:r>
          </w:p>
        </w:tc>
        <w:tc>
          <w:tcPr>
            <w:tcW w:w="4780" w:type="dxa"/>
            <w:vAlign w:val="bottom"/>
            <w:shd w:val="clear" w:color="auto" w:fill="D0E0F0"/>
          </w:tcPr>
          <w:p>
            <w:pPr>
              <w:spacing w:after="0"/>
              <w:rPr>
                <w:sz w:val="17"/>
                <w:szCs w:val="17"/>
                <w:color w:val="auto"/>
              </w:rPr>
            </w:pPr>
          </w:p>
        </w:tc>
      </w:tr>
      <w:tr>
        <w:trPr>
          <w:trHeight w:val="202"/>
        </w:trPr>
        <w:tc>
          <w:tcPr>
            <w:tcW w:w="1920" w:type="dxa"/>
            <w:vAlign w:val="bottom"/>
          </w:tcPr>
          <w:p>
            <w:pPr>
              <w:ind w:left="120"/>
              <w:spacing w:after="0" w:line="201" w:lineRule="exact"/>
              <w:rPr>
                <w:sz w:val="20"/>
                <w:szCs w:val="20"/>
                <w:color w:val="auto"/>
              </w:rPr>
            </w:pPr>
            <w:r>
              <w:rPr>
                <w:rFonts w:ascii="Arial" w:cs="Arial" w:eastAsia="Arial" w:hAnsi="Arial"/>
                <w:sz w:val="18"/>
                <w:szCs w:val="18"/>
                <w:b w:val="1"/>
                <w:bCs w:val="1"/>
                <w:color w:val="auto"/>
              </w:rPr>
              <w:t>Other Benefits</w:t>
            </w:r>
          </w:p>
        </w:tc>
        <w:tc>
          <w:tcPr>
            <w:tcW w:w="4720" w:type="dxa"/>
            <w:vAlign w:val="bottom"/>
          </w:tcPr>
          <w:p>
            <w:pPr>
              <w:ind w:left="380"/>
              <w:spacing w:after="0" w:line="201" w:lineRule="exact"/>
              <w:rPr>
                <w:sz w:val="20"/>
                <w:szCs w:val="20"/>
                <w:color w:val="auto"/>
              </w:rPr>
            </w:pPr>
            <w:r>
              <w:rPr>
                <w:rFonts w:ascii="Arial" w:cs="Arial" w:eastAsia="Arial" w:hAnsi="Arial"/>
                <w:sz w:val="18"/>
                <w:szCs w:val="18"/>
                <w:color w:val="auto"/>
              </w:rPr>
              <w:t>●  Broad-based benefits provided to company</w:t>
            </w:r>
          </w:p>
        </w:tc>
        <w:tc>
          <w:tcPr>
            <w:tcW w:w="4780" w:type="dxa"/>
            <w:vAlign w:val="bottom"/>
          </w:tcPr>
          <w:p>
            <w:pPr>
              <w:ind w:left="240"/>
              <w:spacing w:after="0" w:line="201" w:lineRule="exact"/>
              <w:rPr>
                <w:sz w:val="20"/>
                <w:szCs w:val="20"/>
                <w:color w:val="auto"/>
              </w:rPr>
            </w:pPr>
            <w:r>
              <w:rPr>
                <w:rFonts w:ascii="Arial" w:cs="Arial" w:eastAsia="Arial" w:hAnsi="Arial"/>
                <w:sz w:val="18"/>
                <w:szCs w:val="18"/>
                <w:color w:val="auto"/>
              </w:rPr>
              <w:t>●  Provide a total compensation package that is</w:t>
            </w:r>
          </w:p>
        </w:tc>
      </w:tr>
      <w:tr>
        <w:trPr>
          <w:trHeight w:val="203"/>
        </w:trPr>
        <w:tc>
          <w:tcPr>
            <w:tcW w:w="1920" w:type="dxa"/>
            <w:vAlign w:val="bottom"/>
          </w:tcPr>
          <w:p>
            <w:pPr>
              <w:spacing w:after="0"/>
              <w:rPr>
                <w:sz w:val="17"/>
                <w:szCs w:val="17"/>
                <w:color w:val="auto"/>
              </w:rPr>
            </w:pPr>
          </w:p>
        </w:tc>
        <w:tc>
          <w:tcPr>
            <w:tcW w:w="4720" w:type="dxa"/>
            <w:vAlign w:val="bottom"/>
          </w:tcPr>
          <w:p>
            <w:pPr>
              <w:ind w:left="700"/>
              <w:spacing w:after="0" w:line="202" w:lineRule="exact"/>
              <w:rPr>
                <w:sz w:val="20"/>
                <w:szCs w:val="20"/>
                <w:color w:val="auto"/>
              </w:rPr>
            </w:pPr>
            <w:r>
              <w:rPr>
                <w:rFonts w:ascii="Arial" w:cs="Arial" w:eastAsia="Arial" w:hAnsi="Arial"/>
                <w:sz w:val="18"/>
                <w:szCs w:val="18"/>
                <w:color w:val="auto"/>
              </w:rPr>
              <w:t>employees (e.g., health and group insurance),</w:t>
            </w:r>
          </w:p>
        </w:tc>
        <w:tc>
          <w:tcPr>
            <w:tcW w:w="4780" w:type="dxa"/>
            <w:vAlign w:val="bottom"/>
          </w:tcPr>
          <w:p>
            <w:pPr>
              <w:ind w:left="560"/>
              <w:spacing w:after="0" w:line="202" w:lineRule="exact"/>
              <w:rPr>
                <w:sz w:val="20"/>
                <w:szCs w:val="20"/>
                <w:color w:val="auto"/>
              </w:rPr>
            </w:pPr>
            <w:r>
              <w:rPr>
                <w:rFonts w:ascii="Arial" w:cs="Arial" w:eastAsia="Arial" w:hAnsi="Arial"/>
                <w:sz w:val="18"/>
                <w:szCs w:val="18"/>
                <w:color w:val="auto"/>
              </w:rPr>
              <w:t>competitive with the marketplace and addresses</w:t>
            </w:r>
          </w:p>
        </w:tc>
      </w:tr>
      <w:tr>
        <w:trPr>
          <w:trHeight w:val="203"/>
        </w:trPr>
        <w:tc>
          <w:tcPr>
            <w:tcW w:w="1920" w:type="dxa"/>
            <w:vAlign w:val="bottom"/>
          </w:tcPr>
          <w:p>
            <w:pPr>
              <w:spacing w:after="0"/>
              <w:rPr>
                <w:sz w:val="17"/>
                <w:szCs w:val="17"/>
                <w:color w:val="auto"/>
              </w:rPr>
            </w:pPr>
          </w:p>
        </w:tc>
        <w:tc>
          <w:tcPr>
            <w:tcW w:w="4720" w:type="dxa"/>
            <w:vAlign w:val="bottom"/>
          </w:tcPr>
          <w:p>
            <w:pPr>
              <w:ind w:left="700"/>
              <w:spacing w:after="0" w:line="202" w:lineRule="exact"/>
              <w:rPr>
                <w:sz w:val="20"/>
                <w:szCs w:val="20"/>
                <w:color w:val="auto"/>
              </w:rPr>
            </w:pPr>
            <w:r>
              <w:rPr>
                <w:rFonts w:ascii="Arial" w:cs="Arial" w:eastAsia="Arial" w:hAnsi="Arial"/>
                <w:sz w:val="18"/>
                <w:szCs w:val="18"/>
                <w:color w:val="auto"/>
              </w:rPr>
              <w:t>a retirement savings plan and other personal</w:t>
            </w:r>
          </w:p>
        </w:tc>
        <w:tc>
          <w:tcPr>
            <w:tcW w:w="4780" w:type="dxa"/>
            <w:vAlign w:val="bottom"/>
          </w:tcPr>
          <w:p>
            <w:pPr>
              <w:ind w:left="560"/>
              <w:spacing w:after="0" w:line="202" w:lineRule="exact"/>
              <w:rPr>
                <w:sz w:val="20"/>
                <w:szCs w:val="20"/>
                <w:color w:val="auto"/>
              </w:rPr>
            </w:pPr>
            <w:r>
              <w:rPr>
                <w:rFonts w:ascii="Arial" w:cs="Arial" w:eastAsia="Arial" w:hAnsi="Arial"/>
                <w:sz w:val="18"/>
                <w:szCs w:val="18"/>
                <w:color w:val="auto"/>
              </w:rPr>
              <w:t>unique needs, especially for overseas executives.</w:t>
            </w:r>
          </w:p>
        </w:tc>
      </w:tr>
      <w:tr>
        <w:trPr>
          <w:trHeight w:val="203"/>
        </w:trPr>
        <w:tc>
          <w:tcPr>
            <w:tcW w:w="1920" w:type="dxa"/>
            <w:vAlign w:val="bottom"/>
          </w:tcPr>
          <w:p>
            <w:pPr>
              <w:spacing w:after="0"/>
              <w:rPr>
                <w:sz w:val="17"/>
                <w:szCs w:val="17"/>
                <w:color w:val="auto"/>
              </w:rPr>
            </w:pPr>
          </w:p>
        </w:tc>
        <w:tc>
          <w:tcPr>
            <w:tcW w:w="4720" w:type="dxa"/>
            <w:vAlign w:val="bottom"/>
          </w:tcPr>
          <w:p>
            <w:pPr>
              <w:ind w:left="700"/>
              <w:spacing w:after="0" w:line="203" w:lineRule="exact"/>
              <w:rPr>
                <w:sz w:val="20"/>
                <w:szCs w:val="20"/>
                <w:color w:val="auto"/>
              </w:rPr>
            </w:pPr>
            <w:r>
              <w:rPr>
                <w:rFonts w:ascii="Arial" w:cs="Arial" w:eastAsia="Arial" w:hAnsi="Arial"/>
                <w:sz w:val="18"/>
                <w:szCs w:val="18"/>
                <w:color w:val="auto"/>
              </w:rPr>
              <w:t>benefits where appropriate.</w:t>
            </w:r>
          </w:p>
        </w:tc>
        <w:tc>
          <w:tcPr>
            <w:tcW w:w="4780" w:type="dxa"/>
            <w:vAlign w:val="bottom"/>
          </w:tcPr>
          <w:p>
            <w:pPr>
              <w:spacing w:after="0"/>
              <w:rPr>
                <w:sz w:val="17"/>
                <w:szCs w:val="17"/>
                <w:color w:val="auto"/>
              </w:rPr>
            </w:pPr>
          </w:p>
        </w:tc>
      </w:tr>
      <w:tr>
        <w:trPr>
          <w:trHeight w:val="180"/>
        </w:trPr>
        <w:tc>
          <w:tcPr>
            <w:tcW w:w="1920" w:type="dxa"/>
            <w:vAlign w:val="bottom"/>
            <w:shd w:val="clear" w:color="auto" w:fill="D0E0F0"/>
          </w:tcPr>
          <w:p>
            <w:pPr>
              <w:ind w:left="120"/>
              <w:spacing w:after="0" w:line="180" w:lineRule="exact"/>
              <w:rPr>
                <w:sz w:val="20"/>
                <w:szCs w:val="20"/>
                <w:color w:val="auto"/>
              </w:rPr>
            </w:pPr>
            <w:r>
              <w:rPr>
                <w:rFonts w:ascii="Arial" w:cs="Arial" w:eastAsia="Arial" w:hAnsi="Arial"/>
                <w:sz w:val="18"/>
                <w:szCs w:val="18"/>
                <w:b w:val="1"/>
                <w:bCs w:val="1"/>
                <w:color w:val="auto"/>
              </w:rPr>
              <w:t>Severance and</w:t>
            </w:r>
          </w:p>
        </w:tc>
        <w:tc>
          <w:tcPr>
            <w:tcW w:w="4720" w:type="dxa"/>
            <w:vAlign w:val="bottom"/>
            <w:shd w:val="clear" w:color="auto" w:fill="D0E0F0"/>
          </w:tcPr>
          <w:p>
            <w:pPr>
              <w:ind w:left="380"/>
              <w:spacing w:after="0" w:line="180" w:lineRule="exact"/>
              <w:rPr>
                <w:sz w:val="20"/>
                <w:szCs w:val="20"/>
                <w:color w:val="auto"/>
              </w:rPr>
            </w:pPr>
            <w:r>
              <w:rPr>
                <w:rFonts w:ascii="Arial" w:cs="Arial" w:eastAsia="Arial" w:hAnsi="Arial"/>
                <w:sz w:val="18"/>
                <w:szCs w:val="18"/>
                <w:color w:val="auto"/>
              </w:rPr>
              <w:t>●  Protect executives during potentially</w:t>
            </w:r>
          </w:p>
        </w:tc>
        <w:tc>
          <w:tcPr>
            <w:tcW w:w="4780" w:type="dxa"/>
            <w:vAlign w:val="bottom"/>
            <w:shd w:val="clear" w:color="auto" w:fill="D0E0F0"/>
          </w:tcPr>
          <w:p>
            <w:pPr>
              <w:ind w:left="240"/>
              <w:spacing w:after="0" w:line="180" w:lineRule="exact"/>
              <w:rPr>
                <w:sz w:val="20"/>
                <w:szCs w:val="20"/>
                <w:color w:val="auto"/>
              </w:rPr>
            </w:pPr>
            <w:r>
              <w:rPr>
                <w:rFonts w:ascii="Arial" w:cs="Arial" w:eastAsia="Arial" w:hAnsi="Arial"/>
                <w:sz w:val="18"/>
                <w:szCs w:val="18"/>
                <w:color w:val="auto"/>
              </w:rPr>
              <w:t>●  Allow executives to focus on generating stockholder</w:t>
            </w:r>
          </w:p>
        </w:tc>
      </w:tr>
      <w:tr>
        <w:trPr>
          <w:trHeight w:val="203"/>
        </w:trPr>
        <w:tc>
          <w:tcPr>
            <w:tcW w:w="1920" w:type="dxa"/>
            <w:vAlign w:val="bottom"/>
            <w:shd w:val="clear" w:color="auto" w:fill="D0E0F0"/>
          </w:tcPr>
          <w:p>
            <w:pPr>
              <w:ind w:left="120"/>
              <w:spacing w:after="0" w:line="202" w:lineRule="exact"/>
              <w:rPr>
                <w:sz w:val="20"/>
                <w:szCs w:val="20"/>
                <w:color w:val="auto"/>
              </w:rPr>
            </w:pPr>
            <w:r>
              <w:rPr>
                <w:rFonts w:ascii="Arial" w:cs="Arial" w:eastAsia="Arial" w:hAnsi="Arial"/>
                <w:sz w:val="18"/>
                <w:szCs w:val="18"/>
                <w:b w:val="1"/>
                <w:bCs w:val="1"/>
                <w:color w:val="auto"/>
              </w:rPr>
              <w:t>Change in Control</w:t>
            </w:r>
          </w:p>
        </w:tc>
        <w:tc>
          <w:tcPr>
            <w:tcW w:w="4720" w:type="dxa"/>
            <w:vAlign w:val="bottom"/>
            <w:shd w:val="clear" w:color="auto" w:fill="D0E0F0"/>
          </w:tcPr>
          <w:p>
            <w:pPr>
              <w:ind w:left="700"/>
              <w:spacing w:after="0" w:line="202" w:lineRule="exact"/>
              <w:rPr>
                <w:sz w:val="20"/>
                <w:szCs w:val="20"/>
                <w:color w:val="auto"/>
              </w:rPr>
            </w:pPr>
            <w:r>
              <w:rPr>
                <w:rFonts w:ascii="Arial" w:cs="Arial" w:eastAsia="Arial" w:hAnsi="Arial"/>
                <w:sz w:val="18"/>
                <w:szCs w:val="18"/>
                <w:color w:val="auto"/>
              </w:rPr>
              <w:t>tumultuous corporate transaction.</w:t>
            </w:r>
          </w:p>
        </w:tc>
        <w:tc>
          <w:tcPr>
            <w:tcW w:w="4780" w:type="dxa"/>
            <w:vAlign w:val="bottom"/>
            <w:shd w:val="clear" w:color="auto" w:fill="D0E0F0"/>
          </w:tcPr>
          <w:p>
            <w:pPr>
              <w:ind w:left="560"/>
              <w:spacing w:after="0" w:line="202" w:lineRule="exact"/>
              <w:rPr>
                <w:sz w:val="20"/>
                <w:szCs w:val="20"/>
                <w:color w:val="auto"/>
              </w:rPr>
            </w:pPr>
            <w:r>
              <w:rPr>
                <w:rFonts w:ascii="Arial" w:cs="Arial" w:eastAsia="Arial" w:hAnsi="Arial"/>
                <w:sz w:val="18"/>
                <w:szCs w:val="18"/>
                <w:color w:val="auto"/>
              </w:rPr>
              <w:t>value during a change in control transaction.</w:t>
            </w:r>
          </w:p>
        </w:tc>
      </w:tr>
      <w:tr>
        <w:trPr>
          <w:trHeight w:val="225"/>
        </w:trPr>
        <w:tc>
          <w:tcPr>
            <w:tcW w:w="1920" w:type="dxa"/>
            <w:vAlign w:val="bottom"/>
            <w:shd w:val="clear" w:color="auto" w:fill="D0E0F0"/>
          </w:tcPr>
          <w:p>
            <w:pPr>
              <w:ind w:left="120"/>
              <w:spacing w:after="0"/>
              <w:rPr>
                <w:sz w:val="20"/>
                <w:szCs w:val="20"/>
                <w:color w:val="auto"/>
              </w:rPr>
            </w:pPr>
            <w:r>
              <w:rPr>
                <w:rFonts w:ascii="Arial" w:cs="Arial" w:eastAsia="Arial" w:hAnsi="Arial"/>
                <w:sz w:val="18"/>
                <w:szCs w:val="18"/>
                <w:b w:val="1"/>
                <w:bCs w:val="1"/>
                <w:color w:val="auto"/>
              </w:rPr>
              <w:t>Protections</w:t>
            </w:r>
          </w:p>
        </w:tc>
        <w:tc>
          <w:tcPr>
            <w:tcW w:w="4720" w:type="dxa"/>
            <w:vAlign w:val="bottom"/>
            <w:shd w:val="clear" w:color="auto" w:fill="D0E0F0"/>
          </w:tcPr>
          <w:p>
            <w:pPr>
              <w:ind w:left="380"/>
              <w:spacing w:after="0"/>
              <w:rPr>
                <w:sz w:val="20"/>
                <w:szCs w:val="20"/>
                <w:color w:val="auto"/>
              </w:rPr>
            </w:pPr>
            <w:r>
              <w:rPr>
                <w:rFonts w:ascii="Arial" w:cs="Arial" w:eastAsia="Arial" w:hAnsi="Arial"/>
                <w:sz w:val="18"/>
                <w:szCs w:val="18"/>
                <w:color w:val="auto"/>
              </w:rPr>
              <w:t>●  Provide reduced post-employment</w:t>
            </w:r>
          </w:p>
        </w:tc>
        <w:tc>
          <w:tcPr>
            <w:tcW w:w="4780" w:type="dxa"/>
            <w:vAlign w:val="bottom"/>
            <w:shd w:val="clear" w:color="auto" w:fill="D0E0F0"/>
          </w:tcPr>
          <w:p>
            <w:pPr>
              <w:ind w:left="240"/>
              <w:spacing w:after="0"/>
              <w:rPr>
                <w:sz w:val="20"/>
                <w:szCs w:val="20"/>
                <w:color w:val="auto"/>
              </w:rPr>
            </w:pPr>
            <w:r>
              <w:rPr>
                <w:rFonts w:ascii="Arial" w:cs="Arial" w:eastAsia="Arial" w:hAnsi="Arial"/>
                <w:sz w:val="18"/>
                <w:szCs w:val="18"/>
                <w:color w:val="auto"/>
              </w:rPr>
              <w:t>●  Provide market-competitive post-employment</w:t>
            </w:r>
          </w:p>
        </w:tc>
      </w:tr>
      <w:tr>
        <w:trPr>
          <w:trHeight w:val="203"/>
        </w:trPr>
        <w:tc>
          <w:tcPr>
            <w:tcW w:w="1920" w:type="dxa"/>
            <w:vAlign w:val="bottom"/>
            <w:shd w:val="clear" w:color="auto" w:fill="D0E0F0"/>
          </w:tcPr>
          <w:p>
            <w:pPr>
              <w:spacing w:after="0"/>
              <w:rPr>
                <w:sz w:val="17"/>
                <w:szCs w:val="17"/>
                <w:color w:val="auto"/>
              </w:rPr>
            </w:pPr>
          </w:p>
        </w:tc>
        <w:tc>
          <w:tcPr>
            <w:tcW w:w="4720" w:type="dxa"/>
            <w:vAlign w:val="bottom"/>
            <w:shd w:val="clear" w:color="auto" w:fill="D0E0F0"/>
          </w:tcPr>
          <w:p>
            <w:pPr>
              <w:ind w:left="700"/>
              <w:spacing w:after="0" w:line="202" w:lineRule="exact"/>
              <w:rPr>
                <w:sz w:val="20"/>
                <w:szCs w:val="20"/>
                <w:color w:val="auto"/>
              </w:rPr>
            </w:pPr>
            <w:r>
              <w:rPr>
                <w:rFonts w:ascii="Arial" w:cs="Arial" w:eastAsia="Arial" w:hAnsi="Arial"/>
                <w:sz w:val="18"/>
                <w:szCs w:val="18"/>
                <w:color w:val="auto"/>
              </w:rPr>
              <w:t>compensation upon other involuntary</w:t>
            </w:r>
          </w:p>
        </w:tc>
        <w:tc>
          <w:tcPr>
            <w:tcW w:w="4780" w:type="dxa"/>
            <w:vAlign w:val="bottom"/>
            <w:shd w:val="clear" w:color="auto" w:fill="D0E0F0"/>
          </w:tcPr>
          <w:p>
            <w:pPr>
              <w:ind w:left="560"/>
              <w:spacing w:after="0" w:line="202" w:lineRule="exact"/>
              <w:rPr>
                <w:sz w:val="20"/>
                <w:szCs w:val="20"/>
                <w:color w:val="auto"/>
              </w:rPr>
            </w:pPr>
            <w:r>
              <w:rPr>
                <w:rFonts w:ascii="Arial" w:cs="Arial" w:eastAsia="Arial" w:hAnsi="Arial"/>
                <w:sz w:val="18"/>
                <w:szCs w:val="18"/>
                <w:color w:val="auto"/>
              </w:rPr>
              <w:t>compensation recognizing executives likely require</w:t>
            </w:r>
          </w:p>
        </w:tc>
      </w:tr>
      <w:tr>
        <w:trPr>
          <w:trHeight w:val="203"/>
        </w:trPr>
        <w:tc>
          <w:tcPr>
            <w:tcW w:w="1920" w:type="dxa"/>
            <w:vAlign w:val="bottom"/>
            <w:shd w:val="clear" w:color="auto" w:fill="D0E0F0"/>
          </w:tcPr>
          <w:p>
            <w:pPr>
              <w:spacing w:after="0"/>
              <w:rPr>
                <w:sz w:val="17"/>
                <w:szCs w:val="17"/>
                <w:color w:val="auto"/>
              </w:rPr>
            </w:pPr>
          </w:p>
        </w:tc>
        <w:tc>
          <w:tcPr>
            <w:tcW w:w="4720" w:type="dxa"/>
            <w:vAlign w:val="bottom"/>
            <w:shd w:val="clear" w:color="auto" w:fill="D0E0F0"/>
          </w:tcPr>
          <w:p>
            <w:pPr>
              <w:ind w:left="700"/>
              <w:spacing w:after="0" w:line="203" w:lineRule="exact"/>
              <w:rPr>
                <w:sz w:val="20"/>
                <w:szCs w:val="20"/>
                <w:color w:val="auto"/>
              </w:rPr>
            </w:pPr>
            <w:r>
              <w:rPr>
                <w:rFonts w:ascii="Arial" w:cs="Arial" w:eastAsia="Arial" w:hAnsi="Arial"/>
                <w:sz w:val="18"/>
                <w:szCs w:val="18"/>
                <w:color w:val="auto"/>
              </w:rPr>
              <w:t>terminations.</w:t>
            </w:r>
          </w:p>
        </w:tc>
        <w:tc>
          <w:tcPr>
            <w:tcW w:w="4780" w:type="dxa"/>
            <w:vAlign w:val="bottom"/>
            <w:shd w:val="clear" w:color="auto" w:fill="D0E0F0"/>
          </w:tcPr>
          <w:p>
            <w:pPr>
              <w:ind w:left="560"/>
              <w:spacing w:after="0" w:line="203" w:lineRule="exact"/>
              <w:rPr>
                <w:sz w:val="20"/>
                <w:szCs w:val="20"/>
                <w:color w:val="auto"/>
              </w:rPr>
            </w:pPr>
            <w:r>
              <w:rPr>
                <w:rFonts w:ascii="Arial" w:cs="Arial" w:eastAsia="Arial" w:hAnsi="Arial"/>
                <w:sz w:val="18"/>
                <w:szCs w:val="18"/>
                <w:color w:val="auto"/>
              </w:rPr>
              <w:t>more time to find subsequent employment.</w:t>
            </w:r>
          </w:p>
        </w:tc>
      </w:tr>
      <w:tr>
        <w:trPr>
          <w:trHeight w:val="405"/>
        </w:trPr>
        <w:tc>
          <w:tcPr>
            <w:tcW w:w="19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ind w:left="3720"/>
              <w:spacing w:after="0"/>
              <w:rPr>
                <w:sz w:val="20"/>
                <w:szCs w:val="20"/>
                <w:color w:val="auto"/>
              </w:rPr>
            </w:pPr>
            <w:r>
              <w:rPr>
                <w:rFonts w:ascii="Arial" w:cs="Arial" w:eastAsia="Arial" w:hAnsi="Arial"/>
                <w:sz w:val="18"/>
                <w:szCs w:val="18"/>
                <w:color w:val="auto"/>
              </w:rPr>
              <w:t>30</w:t>
            </w:r>
          </w:p>
        </w:tc>
        <w:tc>
          <w:tcPr>
            <w:tcW w:w="47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b w:val="1"/>
          <w:bCs w:val="1"/>
          <w:i w:val="1"/>
          <w:iCs w:val="1"/>
          <w:color w:val="auto"/>
        </w:rPr>
        <w:t>Compensation Mix</w:t>
      </w:r>
    </w:p>
    <w:p>
      <w:pPr>
        <w:spacing w:after="0" w:line="220"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Consistent with our compensation philosophy, our compensation program balances base salary, short-term incentive and long-term incentive opportunities provided to our executive officers. The following charts illustrate the mix of target compensation components for the Vice Chairman and CEO and the other named executive officers during the 2016 fiscal year. We have excluded the restricted stock units attributable to the 2014 and 2015 fiscal year annual incentive programs as those units do not relate to our fiscal year 2016 compensation program.</w:t>
      </w:r>
    </w:p>
    <w:p>
      <w:pPr>
        <w:spacing w:after="0" w:line="176" w:lineRule="exact"/>
        <w:rPr>
          <w:sz w:val="20"/>
          <w:szCs w:val="20"/>
          <w:color w:val="auto"/>
        </w:rPr>
      </w:pPr>
    </w:p>
    <w:p>
      <w:pPr>
        <w:ind w:right="540" w:firstLine="648"/>
        <w:spacing w:after="0"/>
        <w:rPr>
          <w:sz w:val="20"/>
          <w:szCs w:val="20"/>
          <w:color w:val="auto"/>
        </w:rPr>
      </w:pPr>
      <w:r>
        <w:rPr>
          <w:rFonts w:ascii="Arial" w:cs="Arial" w:eastAsia="Arial" w:hAnsi="Arial"/>
          <w:sz w:val="18"/>
          <w:szCs w:val="18"/>
          <w:color w:val="auto"/>
        </w:rPr>
        <w:t>As illustrated by the charts below, the majority of compensation that may be earned by our named executive officers is tied to the achievement of financial performance metrics (annual performance bonuses and PRSUs) or fluctuates with the underlying value of our common stock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120650</wp:posOffset>
            </wp:positionV>
            <wp:extent cx="4288155" cy="22212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8815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Base Salary</w:t>
      </w:r>
    </w:p>
    <w:p>
      <w:pPr>
        <w:spacing w:after="0" w:line="220"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As discussed above, we provide our executive officers fixed compensation commensurate with their performance, experience, responsibilities, skill set and market value. This attracts and retains an appropriate caliber of talent for the position and provides a base wage that is not subject to our performance risk. In setting base salaries for 2016, our Compensation Committee considered: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Individual Performance</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Ø</w:t>
            </w:r>
          </w:p>
        </w:tc>
        <w:tc>
          <w:tcPr>
            <w:tcW w:w="7360" w:type="dxa"/>
            <w:vAlign w:val="bottom"/>
          </w:tcPr>
          <w:p>
            <w:pPr>
              <w:ind w:left="280"/>
              <w:spacing w:after="0"/>
              <w:rPr>
                <w:sz w:val="20"/>
                <w:szCs w:val="20"/>
                <w:color w:val="auto"/>
              </w:rPr>
            </w:pPr>
            <w:r>
              <w:rPr>
                <w:rFonts w:ascii="Arial" w:cs="Arial" w:eastAsia="Arial" w:hAnsi="Arial"/>
                <w:sz w:val="18"/>
                <w:szCs w:val="18"/>
                <w:color w:val="auto"/>
              </w:rPr>
              <w:t>The degree to which the executive met and exceeded expectations.</w:t>
            </w:r>
          </w:p>
        </w:tc>
      </w:tr>
      <w:tr>
        <w:trPr>
          <w:trHeight w:val="419"/>
        </w:trPr>
        <w:tc>
          <w:tcPr>
            <w:tcW w:w="2900" w:type="dxa"/>
            <w:vAlign w:val="bottom"/>
          </w:tcPr>
          <w:p>
            <w:pPr>
              <w:spacing w:after="0"/>
              <w:rPr>
                <w:sz w:val="20"/>
                <w:szCs w:val="20"/>
                <w:color w:val="auto"/>
              </w:rPr>
            </w:pPr>
            <w:r>
              <w:rPr>
                <w:rFonts w:ascii="Arial" w:cs="Arial" w:eastAsia="Arial" w:hAnsi="Arial"/>
                <w:sz w:val="18"/>
                <w:szCs w:val="18"/>
                <w:color w:val="auto"/>
              </w:rPr>
              <w:t>Market Data</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Ø</w:t>
            </w:r>
          </w:p>
        </w:tc>
        <w:tc>
          <w:tcPr>
            <w:tcW w:w="7360" w:type="dxa"/>
            <w:vAlign w:val="bottom"/>
          </w:tcPr>
          <w:p>
            <w:pPr>
              <w:ind w:left="280"/>
              <w:spacing w:after="0"/>
              <w:rPr>
                <w:sz w:val="20"/>
                <w:szCs w:val="20"/>
                <w:color w:val="auto"/>
              </w:rPr>
            </w:pPr>
            <w:r>
              <w:rPr>
                <w:rFonts w:ascii="Arial" w:cs="Arial" w:eastAsia="Arial" w:hAnsi="Arial"/>
                <w:sz w:val="18"/>
                <w:szCs w:val="18"/>
                <w:color w:val="auto"/>
              </w:rPr>
              <w:t>Geographical and market data to test reasonableness of compensation.</w:t>
            </w:r>
          </w:p>
        </w:tc>
      </w:tr>
      <w:tr>
        <w:trPr>
          <w:trHeight w:val="404"/>
        </w:trPr>
        <w:tc>
          <w:tcPr>
            <w:tcW w:w="2900" w:type="dxa"/>
            <w:vAlign w:val="bottom"/>
          </w:tcPr>
          <w:p>
            <w:pPr>
              <w:spacing w:after="0"/>
              <w:rPr>
                <w:sz w:val="20"/>
                <w:szCs w:val="20"/>
                <w:color w:val="auto"/>
              </w:rPr>
            </w:pPr>
            <w:r>
              <w:rPr>
                <w:rFonts w:ascii="Arial" w:cs="Arial" w:eastAsia="Arial" w:hAnsi="Arial"/>
                <w:sz w:val="18"/>
                <w:szCs w:val="18"/>
                <w:color w:val="auto"/>
              </w:rPr>
              <w:t>Overall Compensation Mix</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Ø</w:t>
            </w:r>
          </w:p>
        </w:tc>
        <w:tc>
          <w:tcPr>
            <w:tcW w:w="7360" w:type="dxa"/>
            <w:vAlign w:val="bottom"/>
          </w:tcPr>
          <w:p>
            <w:pPr>
              <w:ind w:left="280"/>
              <w:spacing w:after="0"/>
              <w:rPr>
                <w:sz w:val="20"/>
                <w:szCs w:val="20"/>
                <w:color w:val="auto"/>
              </w:rPr>
            </w:pPr>
            <w:r>
              <w:rPr>
                <w:rFonts w:ascii="Arial" w:cs="Arial" w:eastAsia="Arial" w:hAnsi="Arial"/>
                <w:sz w:val="18"/>
                <w:szCs w:val="18"/>
                <w:color w:val="auto"/>
              </w:rPr>
              <w:t>Senior employees should have a greater portion of their compensation tied to</w:t>
            </w:r>
          </w:p>
        </w:tc>
      </w:tr>
      <w:tr>
        <w:trPr>
          <w:trHeight w:val="217"/>
        </w:trPr>
        <w:tc>
          <w:tcPr>
            <w:tcW w:w="2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60" w:type="dxa"/>
            <w:vAlign w:val="bottom"/>
          </w:tcPr>
          <w:p>
            <w:pPr>
              <w:ind w:left="280"/>
              <w:spacing w:after="0"/>
              <w:rPr>
                <w:sz w:val="20"/>
                <w:szCs w:val="20"/>
                <w:color w:val="auto"/>
              </w:rPr>
            </w:pPr>
            <w:r>
              <w:rPr>
                <w:rFonts w:ascii="Arial" w:cs="Arial" w:eastAsia="Arial" w:hAnsi="Arial"/>
                <w:sz w:val="18"/>
                <w:szCs w:val="18"/>
                <w:color w:val="auto"/>
              </w:rPr>
              <w:t>increasing stockholder value.</w:t>
            </w:r>
          </w:p>
        </w:tc>
      </w:tr>
      <w:tr>
        <w:trPr>
          <w:trHeight w:val="500"/>
        </w:trPr>
        <w:tc>
          <w:tcPr>
            <w:tcW w:w="29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670" w:right="239" w:bottom="1440" w:gutter="0" w:footer="0" w:header="0"/>
        </w:sectPr>
      </w:pPr>
    </w:p>
    <w:bookmarkStart w:id="34" w:name="page35"/>
    <w:bookmarkEnd w:id="34"/>
    <w:p>
      <w:pPr>
        <w:ind w:firstLine="648"/>
        <w:spacing w:after="0" w:line="236" w:lineRule="auto"/>
        <w:rPr>
          <w:sz w:val="20"/>
          <w:szCs w:val="20"/>
          <w:color w:val="auto"/>
        </w:rPr>
      </w:pPr>
      <w:r>
        <w:rPr>
          <w:rFonts w:ascii="Arial" w:cs="Arial" w:eastAsia="Arial" w:hAnsi="Arial"/>
          <w:sz w:val="18"/>
          <w:szCs w:val="18"/>
          <w:color w:val="auto"/>
        </w:rPr>
        <w:t>Upon completing its review and as shown in the table below, the Compensation Committee determined that it was appropriate to change Mr. Kapoor’s base salary in recognition of his many individual accomplishments and the Company’s performance and to increase Mr. Chhibbar’s base salary due to his relocation from India to New York, his individual contributions and the Company’s performance. In addition, the Compensation Committee determined to increase the base salaries of Messrs. Bagai, de Villa and Miglani due to their individual contributions and the Company’s performance. The fixed compensation paid to Mr. Bagai is paid in Indian Rupees and we have included the percentage increase with respect to his fixed compensation in his home currency (INR). Further, this amount covers not only base salary for Mr. Bagai, but also amounts available as a travel allowance, an automobile allowance, a housing allowance, a medical allowance and a cash supplementary allowance, consistent with compensation practices in India.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shd w:val="clear" w:color="auto" w:fill="508BC7"/>
          </w:tcPr>
          <w:p>
            <w:pPr>
              <w:spacing w:after="0"/>
              <w:rPr>
                <w:sz w:val="14"/>
                <w:szCs w:val="14"/>
                <w:color w:val="auto"/>
              </w:rPr>
            </w:pPr>
          </w:p>
        </w:tc>
        <w:tc>
          <w:tcPr>
            <w:tcW w:w="3240" w:type="dxa"/>
            <w:vAlign w:val="bottom"/>
            <w:shd w:val="clear" w:color="auto" w:fill="508BC7"/>
          </w:tcPr>
          <w:p>
            <w:pPr>
              <w:jc w:val="center"/>
              <w:ind w:left="178"/>
              <w:spacing w:after="0"/>
              <w:rPr>
                <w:sz w:val="20"/>
                <w:szCs w:val="20"/>
                <w:color w:val="auto"/>
              </w:rPr>
            </w:pPr>
            <w:r>
              <w:rPr>
                <w:rFonts w:ascii="Arial" w:cs="Arial" w:eastAsia="Arial" w:hAnsi="Arial"/>
                <w:sz w:val="14"/>
                <w:szCs w:val="14"/>
                <w:b w:val="1"/>
                <w:bCs w:val="1"/>
                <w:color w:val="FFFFFF"/>
              </w:rPr>
              <w:t>2015 Base Salary /</w:t>
            </w:r>
          </w:p>
        </w:tc>
        <w:tc>
          <w:tcPr>
            <w:tcW w:w="3080" w:type="dxa"/>
            <w:vAlign w:val="bottom"/>
            <w:shd w:val="clear" w:color="auto" w:fill="508BC7"/>
          </w:tcPr>
          <w:p>
            <w:pPr>
              <w:jc w:val="center"/>
              <w:ind w:right="20"/>
              <w:spacing w:after="0"/>
              <w:rPr>
                <w:sz w:val="20"/>
                <w:szCs w:val="20"/>
                <w:color w:val="auto"/>
              </w:rPr>
            </w:pPr>
            <w:r>
              <w:rPr>
                <w:rFonts w:ascii="Arial" w:cs="Arial" w:eastAsia="Arial" w:hAnsi="Arial"/>
                <w:sz w:val="14"/>
                <w:szCs w:val="14"/>
                <w:b w:val="1"/>
                <w:bCs w:val="1"/>
                <w:color w:val="FFFFFF"/>
              </w:rPr>
              <w:t>2016 Base Salary /</w:t>
            </w:r>
          </w:p>
        </w:tc>
        <w:tc>
          <w:tcPr>
            <w:tcW w:w="2440" w:type="dxa"/>
            <w:vAlign w:val="bottom"/>
            <w:shd w:val="clear" w:color="auto" w:fill="508BC7"/>
          </w:tcPr>
          <w:p>
            <w:pPr>
              <w:spacing w:after="0"/>
              <w:rPr>
                <w:sz w:val="14"/>
                <w:szCs w:val="14"/>
                <w:color w:val="auto"/>
              </w:rPr>
            </w:pPr>
          </w:p>
        </w:tc>
      </w:tr>
      <w:tr>
        <w:trPr>
          <w:trHeight w:val="162"/>
        </w:trPr>
        <w:tc>
          <w:tcPr>
            <w:tcW w:w="2660" w:type="dxa"/>
            <w:vAlign w:val="bottom"/>
            <w:shd w:val="clear" w:color="auto" w:fill="508BC7"/>
          </w:tcPr>
          <w:p>
            <w:pPr>
              <w:spacing w:after="0"/>
              <w:rPr>
                <w:sz w:val="14"/>
                <w:szCs w:val="14"/>
                <w:color w:val="auto"/>
              </w:rPr>
            </w:pPr>
          </w:p>
        </w:tc>
        <w:tc>
          <w:tcPr>
            <w:tcW w:w="3240" w:type="dxa"/>
            <w:vAlign w:val="bottom"/>
            <w:shd w:val="clear" w:color="auto" w:fill="508BC7"/>
          </w:tcPr>
          <w:p>
            <w:pPr>
              <w:jc w:val="center"/>
              <w:ind w:left="138"/>
              <w:spacing w:after="0"/>
              <w:rPr>
                <w:sz w:val="20"/>
                <w:szCs w:val="20"/>
                <w:color w:val="auto"/>
              </w:rPr>
            </w:pPr>
            <w:r>
              <w:rPr>
                <w:rFonts w:ascii="Arial" w:cs="Arial" w:eastAsia="Arial" w:hAnsi="Arial"/>
                <w:sz w:val="14"/>
                <w:szCs w:val="14"/>
                <w:b w:val="1"/>
                <w:bCs w:val="1"/>
                <w:color w:val="FFFFFF"/>
              </w:rPr>
              <w:t>Annual Fixed</w:t>
            </w:r>
          </w:p>
        </w:tc>
        <w:tc>
          <w:tcPr>
            <w:tcW w:w="3080" w:type="dxa"/>
            <w:vAlign w:val="bottom"/>
            <w:shd w:val="clear" w:color="auto" w:fill="508BC7"/>
          </w:tcPr>
          <w:p>
            <w:pPr>
              <w:jc w:val="center"/>
              <w:ind w:right="60"/>
              <w:spacing w:after="0"/>
              <w:rPr>
                <w:sz w:val="20"/>
                <w:szCs w:val="20"/>
                <w:color w:val="auto"/>
              </w:rPr>
            </w:pPr>
            <w:r>
              <w:rPr>
                <w:rFonts w:ascii="Arial" w:cs="Arial" w:eastAsia="Arial" w:hAnsi="Arial"/>
                <w:sz w:val="14"/>
                <w:szCs w:val="14"/>
                <w:b w:val="1"/>
                <w:bCs w:val="1"/>
                <w:color w:val="FFFFFF"/>
              </w:rPr>
              <w:t>Annual Fixed</w:t>
            </w:r>
          </w:p>
        </w:tc>
        <w:tc>
          <w:tcPr>
            <w:tcW w:w="2440" w:type="dxa"/>
            <w:vAlign w:val="bottom"/>
            <w:shd w:val="clear" w:color="auto" w:fill="508BC7"/>
          </w:tcPr>
          <w:p>
            <w:pPr>
              <w:spacing w:after="0"/>
              <w:rPr>
                <w:sz w:val="14"/>
                <w:szCs w:val="14"/>
                <w:color w:val="auto"/>
              </w:rPr>
            </w:pPr>
          </w:p>
        </w:tc>
      </w:tr>
      <w:tr>
        <w:trPr>
          <w:trHeight w:val="162"/>
        </w:trPr>
        <w:tc>
          <w:tcPr>
            <w:tcW w:w="2660" w:type="dxa"/>
            <w:vAlign w:val="bottom"/>
            <w:shd w:val="clear" w:color="auto" w:fill="508BC7"/>
          </w:tcPr>
          <w:p>
            <w:pPr>
              <w:spacing w:after="0"/>
              <w:rPr>
                <w:sz w:val="14"/>
                <w:szCs w:val="14"/>
                <w:color w:val="auto"/>
              </w:rPr>
            </w:pPr>
          </w:p>
        </w:tc>
        <w:tc>
          <w:tcPr>
            <w:tcW w:w="3240" w:type="dxa"/>
            <w:vAlign w:val="bottom"/>
            <w:shd w:val="clear" w:color="auto" w:fill="508BC7"/>
          </w:tcPr>
          <w:p>
            <w:pPr>
              <w:jc w:val="center"/>
              <w:ind w:left="158"/>
              <w:spacing w:after="0"/>
              <w:rPr>
                <w:sz w:val="20"/>
                <w:szCs w:val="20"/>
                <w:color w:val="auto"/>
              </w:rPr>
            </w:pPr>
            <w:r>
              <w:rPr>
                <w:rFonts w:ascii="Arial" w:cs="Arial" w:eastAsia="Arial" w:hAnsi="Arial"/>
                <w:sz w:val="14"/>
                <w:szCs w:val="14"/>
                <w:b w:val="1"/>
                <w:bCs w:val="1"/>
                <w:color w:val="FFFFFF"/>
              </w:rPr>
              <w:t>Compensation</w:t>
            </w:r>
          </w:p>
        </w:tc>
        <w:tc>
          <w:tcPr>
            <w:tcW w:w="30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Compensation</w:t>
            </w:r>
          </w:p>
        </w:tc>
        <w:tc>
          <w:tcPr>
            <w:tcW w:w="2440" w:type="dxa"/>
            <w:vAlign w:val="bottom"/>
            <w:shd w:val="clear" w:color="auto" w:fill="508BC7"/>
          </w:tcPr>
          <w:p>
            <w:pPr>
              <w:jc w:val="right"/>
              <w:ind w:right="754"/>
              <w:spacing w:after="0"/>
              <w:rPr>
                <w:sz w:val="20"/>
                <w:szCs w:val="20"/>
                <w:color w:val="auto"/>
              </w:rPr>
            </w:pPr>
            <w:r>
              <w:rPr>
                <w:rFonts w:ascii="Arial" w:cs="Arial" w:eastAsia="Arial" w:hAnsi="Arial"/>
                <w:sz w:val="14"/>
                <w:szCs w:val="14"/>
                <w:b w:val="1"/>
                <w:bCs w:val="1"/>
                <w:color w:val="FFFFFF"/>
              </w:rPr>
              <w:t>% Increase /</w:t>
            </w:r>
          </w:p>
        </w:tc>
      </w:tr>
      <w:tr>
        <w:trPr>
          <w:trHeight w:val="202"/>
        </w:trPr>
        <w:tc>
          <w:tcPr>
            <w:tcW w:w="2660" w:type="dxa"/>
            <w:vAlign w:val="bottom"/>
            <w:shd w:val="clear" w:color="auto" w:fill="508BC7"/>
          </w:tcPr>
          <w:p>
            <w:pPr>
              <w:ind w:left="1340"/>
              <w:spacing w:after="0"/>
              <w:rPr>
                <w:sz w:val="20"/>
                <w:szCs w:val="20"/>
                <w:color w:val="auto"/>
              </w:rPr>
            </w:pPr>
            <w:r>
              <w:rPr>
                <w:rFonts w:ascii="Arial" w:cs="Arial" w:eastAsia="Arial" w:hAnsi="Arial"/>
                <w:sz w:val="14"/>
                <w:szCs w:val="14"/>
                <w:b w:val="1"/>
                <w:bCs w:val="1"/>
                <w:color w:val="FFFFFF"/>
              </w:rPr>
              <w:t>Name</w:t>
            </w:r>
          </w:p>
        </w:tc>
        <w:tc>
          <w:tcPr>
            <w:tcW w:w="3240" w:type="dxa"/>
            <w:vAlign w:val="bottom"/>
            <w:shd w:val="clear" w:color="auto" w:fill="508BC7"/>
          </w:tcPr>
          <w:p>
            <w:pPr>
              <w:jc w:val="center"/>
              <w:ind w:left="178"/>
              <w:spacing w:after="0"/>
              <w:rPr>
                <w:sz w:val="20"/>
                <w:szCs w:val="20"/>
                <w:color w:val="auto"/>
              </w:rPr>
            </w:pPr>
            <w:r>
              <w:rPr>
                <w:rFonts w:ascii="Arial" w:cs="Arial" w:eastAsia="Arial" w:hAnsi="Arial"/>
                <w:sz w:val="14"/>
                <w:szCs w:val="14"/>
                <w:b w:val="1"/>
                <w:bCs w:val="1"/>
                <w:color w:val="FFFFFF"/>
              </w:rPr>
              <w:t>(Effective April 1, 2015)</w:t>
            </w:r>
          </w:p>
        </w:tc>
        <w:tc>
          <w:tcPr>
            <w:tcW w:w="3080" w:type="dxa"/>
            <w:vAlign w:val="bottom"/>
            <w:shd w:val="clear" w:color="auto" w:fill="508BC7"/>
          </w:tcPr>
          <w:p>
            <w:pPr>
              <w:jc w:val="center"/>
              <w:ind w:right="20"/>
              <w:spacing w:after="0"/>
              <w:rPr>
                <w:sz w:val="20"/>
                <w:szCs w:val="20"/>
                <w:color w:val="auto"/>
              </w:rPr>
            </w:pPr>
            <w:r>
              <w:rPr>
                <w:rFonts w:ascii="Arial" w:cs="Arial" w:eastAsia="Arial" w:hAnsi="Arial"/>
                <w:sz w:val="14"/>
                <w:szCs w:val="14"/>
                <w:b w:val="1"/>
                <w:bCs w:val="1"/>
                <w:color w:val="FFFFFF"/>
              </w:rPr>
              <w:t>(Effective April 1, 2016)</w:t>
            </w:r>
          </w:p>
        </w:tc>
        <w:tc>
          <w:tcPr>
            <w:tcW w:w="2440" w:type="dxa"/>
            <w:vAlign w:val="bottom"/>
            <w:shd w:val="clear" w:color="auto" w:fill="508BC7"/>
          </w:tcPr>
          <w:p>
            <w:pPr>
              <w:jc w:val="right"/>
              <w:ind w:right="834"/>
              <w:spacing w:after="0"/>
              <w:rPr>
                <w:sz w:val="20"/>
                <w:szCs w:val="20"/>
                <w:color w:val="auto"/>
              </w:rPr>
            </w:pPr>
            <w:r>
              <w:rPr>
                <w:rFonts w:ascii="Arial" w:cs="Arial" w:eastAsia="Arial" w:hAnsi="Arial"/>
                <w:sz w:val="14"/>
                <w:szCs w:val="14"/>
                <w:b w:val="1"/>
                <w:bCs w:val="1"/>
                <w:color w:val="FFFFFF"/>
              </w:rPr>
              <w:t>Decrease</w:t>
            </w:r>
          </w:p>
        </w:tc>
      </w:tr>
      <w:tr>
        <w:trPr>
          <w:trHeight w:val="257"/>
        </w:trPr>
        <w:tc>
          <w:tcPr>
            <w:tcW w:w="2660" w:type="dxa"/>
            <w:vAlign w:val="bottom"/>
            <w:shd w:val="clear" w:color="auto" w:fill="D0E0F0"/>
          </w:tcPr>
          <w:p>
            <w:pPr>
              <w:ind w:left="100"/>
              <w:spacing w:after="0"/>
              <w:rPr>
                <w:sz w:val="20"/>
                <w:szCs w:val="20"/>
                <w:color w:val="auto"/>
              </w:rPr>
            </w:pPr>
            <w:r>
              <w:rPr>
                <w:rFonts w:ascii="Arial" w:cs="Arial" w:eastAsia="Arial" w:hAnsi="Arial"/>
                <w:sz w:val="18"/>
                <w:szCs w:val="18"/>
                <w:color w:val="auto"/>
              </w:rPr>
              <w:t>Rohit Kapoor</w:t>
            </w:r>
          </w:p>
        </w:tc>
        <w:tc>
          <w:tcPr>
            <w:tcW w:w="3240" w:type="dxa"/>
            <w:vAlign w:val="bottom"/>
            <w:shd w:val="clear" w:color="auto" w:fill="D0E0F0"/>
          </w:tcPr>
          <w:p>
            <w:pPr>
              <w:ind w:left="1500"/>
              <w:spacing w:after="0" w:line="256" w:lineRule="exact"/>
              <w:rPr>
                <w:sz w:val="20"/>
                <w:szCs w:val="20"/>
                <w:color w:val="auto"/>
              </w:rPr>
            </w:pPr>
            <w:r>
              <w:rPr>
                <w:rFonts w:ascii="Arial" w:cs="Arial" w:eastAsia="Arial" w:hAnsi="Arial"/>
                <w:sz w:val="18"/>
                <w:szCs w:val="18"/>
                <w:color w:val="auto"/>
              </w:rPr>
              <w:t>$600,000</w:t>
            </w:r>
            <w:r>
              <w:rPr>
                <w:rFonts w:ascii="Arial" w:cs="Arial" w:eastAsia="Arial" w:hAnsi="Arial"/>
                <w:sz w:val="29"/>
                <w:szCs w:val="29"/>
                <w:color w:val="auto"/>
                <w:vertAlign w:val="superscript"/>
              </w:rPr>
              <w:t>(1)</w:t>
            </w:r>
          </w:p>
        </w:tc>
        <w:tc>
          <w:tcPr>
            <w:tcW w:w="3080" w:type="dxa"/>
            <w:vAlign w:val="bottom"/>
            <w:shd w:val="clear" w:color="auto" w:fill="D0E0F0"/>
          </w:tcPr>
          <w:p>
            <w:pPr>
              <w:ind w:left="1260"/>
              <w:spacing w:after="0"/>
              <w:rPr>
                <w:sz w:val="20"/>
                <w:szCs w:val="20"/>
                <w:color w:val="auto"/>
              </w:rPr>
            </w:pPr>
            <w:r>
              <w:rPr>
                <w:rFonts w:ascii="Arial" w:cs="Arial" w:eastAsia="Arial" w:hAnsi="Arial"/>
                <w:sz w:val="18"/>
                <w:szCs w:val="18"/>
                <w:color w:val="auto"/>
              </w:rPr>
              <w:t>$620,000</w:t>
            </w:r>
          </w:p>
        </w:tc>
        <w:tc>
          <w:tcPr>
            <w:tcW w:w="2440" w:type="dxa"/>
            <w:vAlign w:val="bottom"/>
            <w:shd w:val="clear" w:color="auto" w:fill="D0E0F0"/>
          </w:tcPr>
          <w:p>
            <w:pPr>
              <w:jc w:val="right"/>
              <w:ind w:right="874"/>
              <w:spacing w:after="0"/>
              <w:rPr>
                <w:sz w:val="20"/>
                <w:szCs w:val="20"/>
                <w:color w:val="auto"/>
              </w:rPr>
            </w:pPr>
            <w:r>
              <w:rPr>
                <w:rFonts w:ascii="Arial" w:cs="Arial" w:eastAsia="Arial" w:hAnsi="Arial"/>
                <w:sz w:val="18"/>
                <w:szCs w:val="18"/>
                <w:color w:val="auto"/>
              </w:rPr>
              <w:t>3.3%</w:t>
            </w:r>
          </w:p>
        </w:tc>
      </w:tr>
      <w:tr>
        <w:trPr>
          <w:trHeight w:val="243"/>
        </w:trPr>
        <w:tc>
          <w:tcPr>
            <w:tcW w:w="2660" w:type="dxa"/>
            <w:vAlign w:val="bottom"/>
          </w:tcPr>
          <w:p>
            <w:pPr>
              <w:ind w:left="100"/>
              <w:spacing w:after="0"/>
              <w:rPr>
                <w:sz w:val="20"/>
                <w:szCs w:val="20"/>
                <w:color w:val="auto"/>
              </w:rPr>
            </w:pPr>
            <w:r>
              <w:rPr>
                <w:rFonts w:ascii="Arial" w:cs="Arial" w:eastAsia="Arial" w:hAnsi="Arial"/>
                <w:sz w:val="18"/>
                <w:szCs w:val="18"/>
                <w:color w:val="auto"/>
              </w:rPr>
              <w:t>Vishal Chhibbar</w:t>
            </w:r>
          </w:p>
        </w:tc>
        <w:tc>
          <w:tcPr>
            <w:tcW w:w="3240" w:type="dxa"/>
            <w:vAlign w:val="bottom"/>
          </w:tcPr>
          <w:p>
            <w:pPr>
              <w:ind w:left="1500"/>
              <w:spacing w:after="0"/>
              <w:rPr>
                <w:sz w:val="20"/>
                <w:szCs w:val="20"/>
                <w:color w:val="auto"/>
              </w:rPr>
            </w:pPr>
            <w:r>
              <w:rPr>
                <w:rFonts w:ascii="Arial" w:cs="Arial" w:eastAsia="Arial" w:hAnsi="Arial"/>
                <w:sz w:val="18"/>
                <w:szCs w:val="18"/>
                <w:color w:val="auto"/>
              </w:rPr>
              <w:t>$309,376</w:t>
            </w:r>
          </w:p>
        </w:tc>
        <w:tc>
          <w:tcPr>
            <w:tcW w:w="3080" w:type="dxa"/>
            <w:vAlign w:val="bottom"/>
          </w:tcPr>
          <w:p>
            <w:pPr>
              <w:ind w:left="1260"/>
              <w:spacing w:after="0" w:line="243" w:lineRule="exact"/>
              <w:rPr>
                <w:sz w:val="20"/>
                <w:szCs w:val="20"/>
                <w:color w:val="auto"/>
              </w:rPr>
            </w:pPr>
            <w:r>
              <w:rPr>
                <w:rFonts w:ascii="Arial" w:cs="Arial" w:eastAsia="Arial" w:hAnsi="Arial"/>
                <w:sz w:val="17"/>
                <w:szCs w:val="17"/>
                <w:color w:val="auto"/>
              </w:rPr>
              <w:t>$400,000</w:t>
            </w:r>
            <w:r>
              <w:rPr>
                <w:rFonts w:ascii="Arial" w:cs="Arial" w:eastAsia="Arial" w:hAnsi="Arial"/>
                <w:sz w:val="28"/>
                <w:szCs w:val="28"/>
                <w:color w:val="auto"/>
                <w:vertAlign w:val="superscript"/>
              </w:rPr>
              <w:t>(2)</w:t>
            </w:r>
          </w:p>
        </w:tc>
        <w:tc>
          <w:tcPr>
            <w:tcW w:w="2440" w:type="dxa"/>
            <w:vAlign w:val="bottom"/>
          </w:tcPr>
          <w:p>
            <w:pPr>
              <w:jc w:val="right"/>
              <w:ind w:right="854"/>
              <w:spacing w:after="0"/>
              <w:rPr>
                <w:sz w:val="20"/>
                <w:szCs w:val="20"/>
                <w:color w:val="auto"/>
              </w:rPr>
            </w:pPr>
            <w:r>
              <w:rPr>
                <w:rFonts w:ascii="Arial" w:cs="Arial" w:eastAsia="Arial" w:hAnsi="Arial"/>
                <w:sz w:val="18"/>
                <w:szCs w:val="18"/>
                <w:color w:val="auto"/>
              </w:rPr>
              <w:t>29.3%</w:t>
            </w:r>
          </w:p>
        </w:tc>
      </w:tr>
      <w:tr>
        <w:trPr>
          <w:trHeight w:val="203"/>
        </w:trPr>
        <w:tc>
          <w:tcPr>
            <w:tcW w:w="266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Pavan Bagai</w:t>
            </w:r>
          </w:p>
        </w:tc>
        <w:tc>
          <w:tcPr>
            <w:tcW w:w="3240" w:type="dxa"/>
            <w:vAlign w:val="bottom"/>
            <w:shd w:val="clear" w:color="auto" w:fill="D0E0F0"/>
          </w:tcPr>
          <w:p>
            <w:pPr>
              <w:ind w:left="1500"/>
              <w:spacing w:after="0" w:line="202" w:lineRule="exact"/>
              <w:rPr>
                <w:sz w:val="20"/>
                <w:szCs w:val="20"/>
                <w:color w:val="auto"/>
              </w:rPr>
            </w:pPr>
            <w:r>
              <w:rPr>
                <w:rFonts w:ascii="Arial" w:cs="Arial" w:eastAsia="Arial" w:hAnsi="Arial"/>
                <w:sz w:val="18"/>
                <w:szCs w:val="18"/>
                <w:color w:val="auto"/>
              </w:rPr>
              <w:t>$337,934</w:t>
            </w:r>
          </w:p>
        </w:tc>
        <w:tc>
          <w:tcPr>
            <w:tcW w:w="3080" w:type="dxa"/>
            <w:vAlign w:val="bottom"/>
            <w:shd w:val="clear" w:color="auto" w:fill="D0E0F0"/>
          </w:tcPr>
          <w:p>
            <w:pPr>
              <w:ind w:left="1260"/>
              <w:spacing w:after="0" w:line="202" w:lineRule="exact"/>
              <w:rPr>
                <w:sz w:val="20"/>
                <w:szCs w:val="20"/>
                <w:color w:val="auto"/>
              </w:rPr>
            </w:pPr>
            <w:r>
              <w:rPr>
                <w:rFonts w:ascii="Arial" w:cs="Arial" w:eastAsia="Arial" w:hAnsi="Arial"/>
                <w:sz w:val="15"/>
                <w:szCs w:val="15"/>
                <w:color w:val="auto"/>
              </w:rPr>
              <w:t>$358,646</w:t>
            </w:r>
            <w:r>
              <w:rPr>
                <w:rFonts w:ascii="Arial" w:cs="Arial" w:eastAsia="Arial" w:hAnsi="Arial"/>
                <w:sz w:val="23"/>
                <w:szCs w:val="23"/>
                <w:color w:val="auto"/>
                <w:vertAlign w:val="superscript"/>
              </w:rPr>
              <w:t>(3)</w:t>
            </w:r>
          </w:p>
        </w:tc>
        <w:tc>
          <w:tcPr>
            <w:tcW w:w="2440" w:type="dxa"/>
            <w:vAlign w:val="bottom"/>
            <w:shd w:val="clear" w:color="auto" w:fill="D0E0F0"/>
          </w:tcPr>
          <w:p>
            <w:pPr>
              <w:jc w:val="right"/>
              <w:ind w:right="854"/>
              <w:spacing w:after="0" w:line="202" w:lineRule="exact"/>
              <w:rPr>
                <w:sz w:val="20"/>
                <w:szCs w:val="20"/>
                <w:color w:val="auto"/>
              </w:rPr>
            </w:pPr>
            <w:r>
              <w:rPr>
                <w:rFonts w:ascii="Arial" w:cs="Arial" w:eastAsia="Arial" w:hAnsi="Arial"/>
                <w:sz w:val="18"/>
                <w:szCs w:val="18"/>
                <w:color w:val="auto"/>
              </w:rPr>
              <w:t>6.1%</w:t>
            </w:r>
          </w:p>
        </w:tc>
      </w:tr>
      <w:tr>
        <w:trPr>
          <w:trHeight w:val="203"/>
        </w:trPr>
        <w:tc>
          <w:tcPr>
            <w:tcW w:w="2660" w:type="dxa"/>
            <w:vAlign w:val="bottom"/>
            <w:shd w:val="clear" w:color="auto" w:fill="D0E0F0"/>
          </w:tcPr>
          <w:p>
            <w:pPr>
              <w:spacing w:after="0"/>
              <w:rPr>
                <w:sz w:val="17"/>
                <w:szCs w:val="17"/>
                <w:color w:val="auto"/>
              </w:rPr>
            </w:pPr>
          </w:p>
        </w:tc>
        <w:tc>
          <w:tcPr>
            <w:tcW w:w="3240" w:type="dxa"/>
            <w:vAlign w:val="bottom"/>
            <w:shd w:val="clear" w:color="auto" w:fill="D0E0F0"/>
          </w:tcPr>
          <w:p>
            <w:pPr>
              <w:spacing w:after="0"/>
              <w:rPr>
                <w:sz w:val="17"/>
                <w:szCs w:val="17"/>
                <w:color w:val="auto"/>
              </w:rPr>
            </w:pPr>
          </w:p>
        </w:tc>
        <w:tc>
          <w:tcPr>
            <w:tcW w:w="3080" w:type="dxa"/>
            <w:vAlign w:val="bottom"/>
            <w:shd w:val="clear" w:color="auto" w:fill="D0E0F0"/>
          </w:tcPr>
          <w:p>
            <w:pPr>
              <w:spacing w:after="0"/>
              <w:rPr>
                <w:sz w:val="17"/>
                <w:szCs w:val="17"/>
                <w:color w:val="auto"/>
              </w:rPr>
            </w:pPr>
          </w:p>
        </w:tc>
        <w:tc>
          <w:tcPr>
            <w:tcW w:w="2440" w:type="dxa"/>
            <w:vAlign w:val="bottom"/>
            <w:shd w:val="clear" w:color="auto" w:fill="D0E0F0"/>
          </w:tcPr>
          <w:p>
            <w:pPr>
              <w:jc w:val="right"/>
              <w:ind w:right="474"/>
              <w:spacing w:after="0" w:line="202" w:lineRule="exact"/>
              <w:rPr>
                <w:sz w:val="20"/>
                <w:szCs w:val="20"/>
                <w:color w:val="auto"/>
              </w:rPr>
            </w:pPr>
            <w:r>
              <w:rPr>
                <w:rFonts w:ascii="Arial" w:cs="Arial" w:eastAsia="Arial" w:hAnsi="Arial"/>
                <w:sz w:val="18"/>
                <w:szCs w:val="18"/>
                <w:color w:val="auto"/>
              </w:rPr>
              <w:t>(8.0% INR)</w:t>
            </w:r>
          </w:p>
        </w:tc>
      </w:tr>
      <w:tr>
        <w:trPr>
          <w:trHeight w:val="203"/>
        </w:trPr>
        <w:tc>
          <w:tcPr>
            <w:tcW w:w="2660" w:type="dxa"/>
            <w:vAlign w:val="bottom"/>
          </w:tcPr>
          <w:p>
            <w:pPr>
              <w:ind w:left="100"/>
              <w:spacing w:after="0" w:line="202" w:lineRule="exact"/>
              <w:rPr>
                <w:sz w:val="20"/>
                <w:szCs w:val="20"/>
                <w:color w:val="auto"/>
              </w:rPr>
            </w:pPr>
            <w:r>
              <w:rPr>
                <w:rFonts w:ascii="Arial" w:cs="Arial" w:eastAsia="Arial" w:hAnsi="Arial"/>
                <w:sz w:val="18"/>
                <w:szCs w:val="18"/>
                <w:color w:val="auto"/>
              </w:rPr>
              <w:t>Nalin Miglani</w:t>
            </w:r>
          </w:p>
        </w:tc>
        <w:tc>
          <w:tcPr>
            <w:tcW w:w="3240" w:type="dxa"/>
            <w:vAlign w:val="bottom"/>
          </w:tcPr>
          <w:p>
            <w:pPr>
              <w:ind w:left="1500"/>
              <w:spacing w:after="0" w:line="202" w:lineRule="exact"/>
              <w:rPr>
                <w:sz w:val="20"/>
                <w:szCs w:val="20"/>
                <w:color w:val="auto"/>
              </w:rPr>
            </w:pPr>
            <w:r>
              <w:rPr>
                <w:rFonts w:ascii="Arial" w:cs="Arial" w:eastAsia="Arial" w:hAnsi="Arial"/>
                <w:sz w:val="18"/>
                <w:szCs w:val="18"/>
                <w:color w:val="auto"/>
              </w:rPr>
              <w:t>$400,000</w:t>
            </w:r>
          </w:p>
        </w:tc>
        <w:tc>
          <w:tcPr>
            <w:tcW w:w="3080" w:type="dxa"/>
            <w:vAlign w:val="bottom"/>
          </w:tcPr>
          <w:p>
            <w:pPr>
              <w:ind w:left="1260"/>
              <w:spacing w:after="0" w:line="202" w:lineRule="exact"/>
              <w:rPr>
                <w:sz w:val="20"/>
                <w:szCs w:val="20"/>
                <w:color w:val="auto"/>
              </w:rPr>
            </w:pPr>
            <w:r>
              <w:rPr>
                <w:rFonts w:ascii="Arial" w:cs="Arial" w:eastAsia="Arial" w:hAnsi="Arial"/>
                <w:sz w:val="18"/>
                <w:szCs w:val="18"/>
                <w:color w:val="auto"/>
              </w:rPr>
              <w:t>$410,000</w:t>
            </w:r>
          </w:p>
        </w:tc>
        <w:tc>
          <w:tcPr>
            <w:tcW w:w="2440" w:type="dxa"/>
            <w:vAlign w:val="bottom"/>
          </w:tcPr>
          <w:p>
            <w:pPr>
              <w:jc w:val="right"/>
              <w:ind w:right="854"/>
              <w:spacing w:after="0" w:line="202" w:lineRule="exact"/>
              <w:rPr>
                <w:sz w:val="20"/>
                <w:szCs w:val="20"/>
                <w:color w:val="auto"/>
              </w:rPr>
            </w:pPr>
            <w:r>
              <w:rPr>
                <w:rFonts w:ascii="Arial" w:cs="Arial" w:eastAsia="Arial" w:hAnsi="Arial"/>
                <w:sz w:val="18"/>
                <w:szCs w:val="18"/>
                <w:color w:val="auto"/>
              </w:rPr>
              <w:t>2.5%</w:t>
            </w:r>
          </w:p>
        </w:tc>
      </w:tr>
      <w:tr>
        <w:trPr>
          <w:trHeight w:val="216"/>
        </w:trPr>
        <w:tc>
          <w:tcPr>
            <w:tcW w:w="2660" w:type="dxa"/>
            <w:vAlign w:val="bottom"/>
            <w:shd w:val="clear" w:color="auto" w:fill="D0E0F0"/>
          </w:tcPr>
          <w:p>
            <w:pPr>
              <w:ind w:left="100"/>
              <w:spacing w:after="0"/>
              <w:rPr>
                <w:sz w:val="20"/>
                <w:szCs w:val="20"/>
                <w:color w:val="auto"/>
              </w:rPr>
            </w:pPr>
            <w:r>
              <w:rPr>
                <w:rFonts w:ascii="Arial" w:cs="Arial" w:eastAsia="Arial" w:hAnsi="Arial"/>
                <w:sz w:val="18"/>
                <w:szCs w:val="18"/>
                <w:color w:val="auto"/>
              </w:rPr>
              <w:t>Rembert de Villa</w:t>
            </w:r>
          </w:p>
        </w:tc>
        <w:tc>
          <w:tcPr>
            <w:tcW w:w="3240" w:type="dxa"/>
            <w:vAlign w:val="bottom"/>
            <w:shd w:val="clear" w:color="auto" w:fill="D0E0F0"/>
          </w:tcPr>
          <w:p>
            <w:pPr>
              <w:ind w:left="1500"/>
              <w:spacing w:after="0"/>
              <w:rPr>
                <w:sz w:val="20"/>
                <w:szCs w:val="20"/>
                <w:color w:val="auto"/>
              </w:rPr>
            </w:pPr>
            <w:r>
              <w:rPr>
                <w:rFonts w:ascii="Arial" w:cs="Arial" w:eastAsia="Arial" w:hAnsi="Arial"/>
                <w:sz w:val="18"/>
                <w:szCs w:val="18"/>
                <w:color w:val="auto"/>
              </w:rPr>
              <w:t>$400,000</w:t>
            </w:r>
          </w:p>
        </w:tc>
        <w:tc>
          <w:tcPr>
            <w:tcW w:w="3080" w:type="dxa"/>
            <w:vAlign w:val="bottom"/>
            <w:shd w:val="clear" w:color="auto" w:fill="D0E0F0"/>
          </w:tcPr>
          <w:p>
            <w:pPr>
              <w:ind w:left="1260"/>
              <w:spacing w:after="0"/>
              <w:rPr>
                <w:sz w:val="20"/>
                <w:szCs w:val="20"/>
                <w:color w:val="auto"/>
              </w:rPr>
            </w:pPr>
            <w:r>
              <w:rPr>
                <w:rFonts w:ascii="Arial" w:cs="Arial" w:eastAsia="Arial" w:hAnsi="Arial"/>
                <w:sz w:val="18"/>
                <w:szCs w:val="18"/>
                <w:color w:val="auto"/>
              </w:rPr>
              <w:t>$410,000</w:t>
            </w:r>
          </w:p>
        </w:tc>
        <w:tc>
          <w:tcPr>
            <w:tcW w:w="2440" w:type="dxa"/>
            <w:vAlign w:val="bottom"/>
            <w:shd w:val="clear" w:color="auto" w:fill="D0E0F0"/>
          </w:tcPr>
          <w:p>
            <w:pPr>
              <w:jc w:val="right"/>
              <w:ind w:right="854"/>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-857250</wp:posOffset>
            </wp:positionV>
            <wp:extent cx="71094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4490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0" w:lineRule="exact"/>
        <w:rPr>
          <w:sz w:val="20"/>
          <w:szCs w:val="20"/>
          <w:color w:val="auto"/>
        </w:rPr>
      </w:pPr>
    </w:p>
    <w:p>
      <w:pPr>
        <w:ind w:left="660" w:hanging="269"/>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Kapoor’s base salary, along with his employment agreement, became effective January 1, 2015.</w:t>
      </w:r>
    </w:p>
    <w:p>
      <w:pPr>
        <w:spacing w:after="0" w:line="5" w:lineRule="exact"/>
        <w:rPr>
          <w:rFonts w:ascii="Arial" w:cs="Arial" w:eastAsia="Arial" w:hAnsi="Arial"/>
          <w:sz w:val="16"/>
          <w:szCs w:val="16"/>
          <w:color w:val="auto"/>
        </w:rPr>
      </w:pPr>
    </w:p>
    <w:p>
      <w:pPr>
        <w:ind w:left="660" w:hanging="269"/>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Chhibbar’s base salary, along with his employment agreement, became effective January 1, 2016 as a result of his relocation to the United States.</w:t>
      </w:r>
    </w:p>
    <w:p>
      <w:pPr>
        <w:spacing w:after="0" w:line="5" w:lineRule="exact"/>
        <w:rPr>
          <w:rFonts w:ascii="Arial" w:cs="Arial" w:eastAsia="Arial" w:hAnsi="Arial"/>
          <w:sz w:val="16"/>
          <w:szCs w:val="16"/>
          <w:color w:val="auto"/>
        </w:rPr>
      </w:pPr>
    </w:p>
    <w:p>
      <w:pPr>
        <w:ind w:left="660" w:right="380" w:hanging="269"/>
        <w:spacing w:after="0" w:line="260"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exchange rate used for the annual fixed compensation conversion from Indian rupees to U.S. dollars for Mr. Bagai was 64.13, which was the exchange rate on January 1, 2016.</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Incentive Bonus</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have established an annual incentive bonus program in order to align our executive officers’ goals with our performance targets for the current year and to encourage meaningful contributions to our future financial performance. Our Compensation Committee approved the framework of our incentive bonus program in December 2015 for the year 2016 for bonuses payable in respect of 2016 performance. Under the program, bonus target amounts, expressed as a percentage of base salary or annual fixed compensation, are established for participants at the beginning of each year unless their employment agreements contain different terms. Funding of potential bonus payouts for the year are determined by our financial results for the year relative to predetermined performance measures, and may be increased or decreased depending upon the executive’s individual performance against his performance goals. If our performance falls short of target, our aggregate funding of the annual cash bonus incentive pool declines. If we do not achieve a minimum threshold for the established financial performance objectives, then the bonus pool is not funded for that particular objective. At the end of the performance period, our Compensation Committee has discretion to adjust an award payout from the amount yielded by the formula.</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5" w:name="page36"/>
    <w:bookmarkEnd w:id="35"/>
    <w:p>
      <w:pPr>
        <w:ind w:left="652"/>
        <w:spacing w:after="0"/>
        <w:rPr>
          <w:sz w:val="20"/>
          <w:szCs w:val="20"/>
          <w:color w:val="auto"/>
        </w:rPr>
      </w:pPr>
      <w:r>
        <w:rPr>
          <w:rFonts w:ascii="Arial" w:cs="Arial" w:eastAsia="Arial" w:hAnsi="Arial"/>
          <w:sz w:val="18"/>
          <w:szCs w:val="18"/>
          <w:color w:val="auto"/>
        </w:rPr>
        <w:t>Our Compensation Committee considered the following when establishing the awards for 2016:</w:t>
      </w:r>
    </w:p>
    <w:p>
      <w:pPr>
        <w:spacing w:after="0" w:line="180" w:lineRule="exact"/>
        <w:rPr>
          <w:sz w:val="20"/>
          <w:szCs w:val="20"/>
          <w:color w:val="auto"/>
        </w:rPr>
      </w:pPr>
    </w:p>
    <w:p>
      <w:pPr>
        <w:ind w:left="332" w:right="20" w:hanging="332"/>
        <w:spacing w:after="0" w:line="241" w:lineRule="auto"/>
        <w:tabs>
          <w:tab w:leader="none" w:pos="33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Bonus Targets</w:t>
      </w:r>
      <w:r>
        <w:rPr>
          <w:rFonts w:ascii="Arial" w:cs="Arial" w:eastAsia="Arial" w:hAnsi="Arial"/>
          <w:sz w:val="18"/>
          <w:szCs w:val="18"/>
          <w:color w:val="auto"/>
        </w:rPr>
        <w:t>. Bonus targets were established based on job responsibilities and comparable market data. Our objective was to set bonus</w:t>
      </w:r>
      <w:r>
        <w:rPr>
          <w:rFonts w:ascii="Arial" w:cs="Arial" w:eastAsia="Arial" w:hAnsi="Arial"/>
          <w:sz w:val="18"/>
          <w:szCs w:val="18"/>
          <w:i w:val="1"/>
          <w:iCs w:val="1"/>
          <w:color w:val="auto"/>
        </w:rPr>
        <w:t xml:space="preserve"> </w:t>
      </w:r>
      <w:r>
        <w:rPr>
          <w:rFonts w:ascii="Arial" w:cs="Arial" w:eastAsia="Arial" w:hAnsi="Arial"/>
          <w:sz w:val="18"/>
          <w:szCs w:val="18"/>
          <w:color w:val="auto"/>
        </w:rPr>
        <w:t>targets such that total annual cash compensation was within the broad middle range of market data and a substantial portion of that compensation was linked to our performance. Consistent with our executive compensation policy, individuals with greater job responsibilities had a greater proportion of their total compensation tied to our performance. During 2016, our Compensation Committee established the following bonus targets (expressed as a percentage of base salary or annual fixed compensation) as well as maximum bonus targets for each named executive officer.</w:t>
      </w:r>
    </w:p>
    <w:p>
      <w:pPr>
        <w:spacing w:after="0" w:line="190" w:lineRule="exact"/>
        <w:rPr>
          <w:sz w:val="20"/>
          <w:szCs w:val="20"/>
          <w:color w:val="auto"/>
        </w:rPr>
      </w:pPr>
    </w:p>
    <w:tbl>
      <w:tblPr>
        <w:tblLayout w:type="fixed"/>
        <w:tblInd w:w="172" w:type="dxa"/>
        <w:tblCellMar>
          <w:top w:w="0" w:type="dxa"/>
          <w:left w:w="0" w:type="dxa"/>
          <w:bottom w:w="0" w:type="dxa"/>
          <w:right w:w="0" w:type="dxa"/>
        </w:tblCellMar>
      </w:tblPr>
      <w:tr>
        <w:trPr>
          <w:trHeight w:val="189"/>
        </w:trPr>
        <w:tc>
          <w:tcPr>
            <w:tcW w:w="2400" w:type="dxa"/>
            <w:vAlign w:val="bottom"/>
            <w:shd w:val="clear" w:color="auto" w:fill="508BC7"/>
          </w:tcPr>
          <w:p>
            <w:pPr>
              <w:ind w:left="1300"/>
              <w:spacing w:after="0"/>
              <w:rPr>
                <w:sz w:val="20"/>
                <w:szCs w:val="20"/>
                <w:color w:val="auto"/>
              </w:rPr>
            </w:pPr>
            <w:r>
              <w:rPr>
                <w:rFonts w:ascii="Arial" w:cs="Arial" w:eastAsia="Arial" w:hAnsi="Arial"/>
                <w:sz w:val="14"/>
                <w:szCs w:val="14"/>
                <w:b w:val="1"/>
                <w:bCs w:val="1"/>
                <w:color w:val="FFFFFF"/>
              </w:rPr>
              <w:t>Name</w:t>
            </w:r>
          </w:p>
        </w:tc>
        <w:tc>
          <w:tcPr>
            <w:tcW w:w="4000" w:type="dxa"/>
            <w:vAlign w:val="bottom"/>
            <w:shd w:val="clear" w:color="auto" w:fill="508BC7"/>
          </w:tcPr>
          <w:p>
            <w:pPr>
              <w:ind w:left="2080"/>
              <w:spacing w:after="0"/>
              <w:rPr>
                <w:sz w:val="20"/>
                <w:szCs w:val="20"/>
                <w:color w:val="auto"/>
              </w:rPr>
            </w:pPr>
            <w:r>
              <w:rPr>
                <w:rFonts w:ascii="Arial" w:cs="Arial" w:eastAsia="Arial" w:hAnsi="Arial"/>
                <w:sz w:val="14"/>
                <w:szCs w:val="14"/>
                <w:b w:val="1"/>
                <w:bCs w:val="1"/>
                <w:color w:val="FFFFFF"/>
              </w:rPr>
              <w:t>Bonus Target</w:t>
            </w:r>
          </w:p>
        </w:tc>
        <w:tc>
          <w:tcPr>
            <w:tcW w:w="4660" w:type="dxa"/>
            <w:vAlign w:val="bottom"/>
            <w:shd w:val="clear" w:color="auto" w:fill="508BC7"/>
          </w:tcPr>
          <w:p>
            <w:pPr>
              <w:ind w:left="1980"/>
              <w:spacing w:after="0"/>
              <w:rPr>
                <w:sz w:val="20"/>
                <w:szCs w:val="20"/>
                <w:color w:val="auto"/>
              </w:rPr>
            </w:pPr>
            <w:r>
              <w:rPr>
                <w:rFonts w:ascii="Arial" w:cs="Arial" w:eastAsia="Arial" w:hAnsi="Arial"/>
                <w:sz w:val="14"/>
                <w:szCs w:val="14"/>
                <w:b w:val="1"/>
                <w:bCs w:val="1"/>
                <w:color w:val="FFFFFF"/>
              </w:rPr>
              <w:t>Bonus Maximum</w:t>
            </w:r>
          </w:p>
        </w:tc>
      </w:tr>
      <w:tr>
        <w:trPr>
          <w:trHeight w:val="203"/>
        </w:trPr>
        <w:tc>
          <w:tcPr>
            <w:tcW w:w="240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Rohit Kapoor</w:t>
            </w:r>
          </w:p>
        </w:tc>
        <w:tc>
          <w:tcPr>
            <w:tcW w:w="4000" w:type="dxa"/>
            <w:vAlign w:val="bottom"/>
            <w:shd w:val="clear" w:color="auto" w:fill="D0E0F0"/>
          </w:tcPr>
          <w:p>
            <w:pPr>
              <w:ind w:left="700"/>
              <w:spacing w:after="0" w:line="202" w:lineRule="exact"/>
              <w:rPr>
                <w:sz w:val="20"/>
                <w:szCs w:val="20"/>
                <w:color w:val="auto"/>
              </w:rPr>
            </w:pPr>
            <w:r>
              <w:rPr>
                <w:rFonts w:ascii="Arial" w:cs="Arial" w:eastAsia="Arial" w:hAnsi="Arial"/>
                <w:sz w:val="18"/>
                <w:szCs w:val="18"/>
                <w:color w:val="auto"/>
              </w:rPr>
              <w:t>100% of base salary</w:t>
            </w:r>
          </w:p>
        </w:tc>
        <w:tc>
          <w:tcPr>
            <w:tcW w:w="4660" w:type="dxa"/>
            <w:vAlign w:val="bottom"/>
            <w:shd w:val="clear" w:color="auto" w:fill="D0E0F0"/>
          </w:tcPr>
          <w:p>
            <w:pPr>
              <w:ind w:left="560"/>
              <w:spacing w:after="0" w:line="202" w:lineRule="exact"/>
              <w:rPr>
                <w:sz w:val="20"/>
                <w:szCs w:val="20"/>
                <w:color w:val="auto"/>
              </w:rPr>
            </w:pPr>
            <w:r>
              <w:rPr>
                <w:rFonts w:ascii="Arial" w:cs="Arial" w:eastAsia="Arial" w:hAnsi="Arial"/>
                <w:sz w:val="18"/>
                <w:szCs w:val="18"/>
                <w:color w:val="auto"/>
              </w:rPr>
              <w:t>200% of base salary</w:t>
            </w:r>
          </w:p>
        </w:tc>
      </w:tr>
      <w:tr>
        <w:trPr>
          <w:trHeight w:val="203"/>
        </w:trPr>
        <w:tc>
          <w:tcPr>
            <w:tcW w:w="2400" w:type="dxa"/>
            <w:vAlign w:val="bottom"/>
          </w:tcPr>
          <w:p>
            <w:pPr>
              <w:ind w:left="100"/>
              <w:spacing w:after="0" w:line="202" w:lineRule="exact"/>
              <w:rPr>
                <w:sz w:val="20"/>
                <w:szCs w:val="20"/>
                <w:color w:val="auto"/>
              </w:rPr>
            </w:pPr>
            <w:r>
              <w:rPr>
                <w:rFonts w:ascii="Arial" w:cs="Arial" w:eastAsia="Arial" w:hAnsi="Arial"/>
                <w:sz w:val="18"/>
                <w:szCs w:val="18"/>
                <w:color w:val="auto"/>
              </w:rPr>
              <w:t>Vishal Chhibbar</w:t>
            </w:r>
          </w:p>
        </w:tc>
        <w:tc>
          <w:tcPr>
            <w:tcW w:w="4000" w:type="dxa"/>
            <w:vAlign w:val="bottom"/>
          </w:tcPr>
          <w:p>
            <w:pPr>
              <w:ind w:left="700"/>
              <w:spacing w:after="0" w:line="202" w:lineRule="exact"/>
              <w:rPr>
                <w:sz w:val="20"/>
                <w:szCs w:val="20"/>
                <w:color w:val="auto"/>
              </w:rPr>
            </w:pPr>
            <w:r>
              <w:rPr>
                <w:rFonts w:ascii="Arial" w:cs="Arial" w:eastAsia="Arial" w:hAnsi="Arial"/>
                <w:sz w:val="18"/>
                <w:szCs w:val="18"/>
                <w:color w:val="auto"/>
              </w:rPr>
              <w:t>60% of base salary</w:t>
            </w:r>
          </w:p>
        </w:tc>
        <w:tc>
          <w:tcPr>
            <w:tcW w:w="4660" w:type="dxa"/>
            <w:vAlign w:val="bottom"/>
          </w:tcPr>
          <w:p>
            <w:pPr>
              <w:ind w:left="560"/>
              <w:spacing w:after="0" w:line="202" w:lineRule="exact"/>
              <w:rPr>
                <w:sz w:val="20"/>
                <w:szCs w:val="20"/>
                <w:color w:val="auto"/>
              </w:rPr>
            </w:pPr>
            <w:r>
              <w:rPr>
                <w:rFonts w:ascii="Arial" w:cs="Arial" w:eastAsia="Arial" w:hAnsi="Arial"/>
                <w:sz w:val="18"/>
                <w:szCs w:val="18"/>
                <w:color w:val="auto"/>
              </w:rPr>
              <w:t>120% of base salary</w:t>
            </w:r>
          </w:p>
        </w:tc>
      </w:tr>
      <w:tr>
        <w:trPr>
          <w:trHeight w:val="203"/>
        </w:trPr>
        <w:tc>
          <w:tcPr>
            <w:tcW w:w="240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Pavan Bagai</w:t>
            </w:r>
          </w:p>
        </w:tc>
        <w:tc>
          <w:tcPr>
            <w:tcW w:w="4000" w:type="dxa"/>
            <w:vAlign w:val="bottom"/>
            <w:shd w:val="clear" w:color="auto" w:fill="D0E0F0"/>
          </w:tcPr>
          <w:p>
            <w:pPr>
              <w:ind w:left="700"/>
              <w:spacing w:after="0" w:line="202" w:lineRule="exact"/>
              <w:rPr>
                <w:sz w:val="20"/>
                <w:szCs w:val="20"/>
                <w:color w:val="auto"/>
              </w:rPr>
            </w:pPr>
            <w:r>
              <w:rPr>
                <w:rFonts w:ascii="Arial" w:cs="Arial" w:eastAsia="Arial" w:hAnsi="Arial"/>
                <w:sz w:val="18"/>
                <w:szCs w:val="18"/>
                <w:color w:val="auto"/>
              </w:rPr>
              <w:t>75% of annual fixed compensation</w:t>
            </w:r>
          </w:p>
        </w:tc>
        <w:tc>
          <w:tcPr>
            <w:tcW w:w="4660" w:type="dxa"/>
            <w:vAlign w:val="bottom"/>
            <w:shd w:val="clear" w:color="auto" w:fill="D0E0F0"/>
          </w:tcPr>
          <w:p>
            <w:pPr>
              <w:ind w:left="560"/>
              <w:spacing w:after="0" w:line="202" w:lineRule="exact"/>
              <w:rPr>
                <w:sz w:val="20"/>
                <w:szCs w:val="20"/>
                <w:color w:val="auto"/>
              </w:rPr>
            </w:pPr>
            <w:r>
              <w:rPr>
                <w:rFonts w:ascii="Arial" w:cs="Arial" w:eastAsia="Arial" w:hAnsi="Arial"/>
                <w:sz w:val="18"/>
                <w:szCs w:val="18"/>
                <w:color w:val="auto"/>
              </w:rPr>
              <w:t>150% of annual fixed compensation</w:t>
            </w:r>
          </w:p>
        </w:tc>
      </w:tr>
      <w:tr>
        <w:trPr>
          <w:trHeight w:val="203"/>
        </w:trPr>
        <w:tc>
          <w:tcPr>
            <w:tcW w:w="2400" w:type="dxa"/>
            <w:vAlign w:val="bottom"/>
          </w:tcPr>
          <w:p>
            <w:pPr>
              <w:ind w:left="100"/>
              <w:spacing w:after="0" w:line="202" w:lineRule="exact"/>
              <w:rPr>
                <w:sz w:val="20"/>
                <w:szCs w:val="20"/>
                <w:color w:val="auto"/>
              </w:rPr>
            </w:pPr>
            <w:r>
              <w:rPr>
                <w:rFonts w:ascii="Arial" w:cs="Arial" w:eastAsia="Arial" w:hAnsi="Arial"/>
                <w:sz w:val="18"/>
                <w:szCs w:val="18"/>
                <w:color w:val="auto"/>
              </w:rPr>
              <w:t>Rembert de Villa</w:t>
            </w:r>
          </w:p>
        </w:tc>
        <w:tc>
          <w:tcPr>
            <w:tcW w:w="4000" w:type="dxa"/>
            <w:vAlign w:val="bottom"/>
          </w:tcPr>
          <w:p>
            <w:pPr>
              <w:ind w:left="700"/>
              <w:spacing w:after="0" w:line="202" w:lineRule="exact"/>
              <w:rPr>
                <w:sz w:val="20"/>
                <w:szCs w:val="20"/>
                <w:color w:val="auto"/>
              </w:rPr>
            </w:pPr>
            <w:r>
              <w:rPr>
                <w:rFonts w:ascii="Arial" w:cs="Arial" w:eastAsia="Arial" w:hAnsi="Arial"/>
                <w:sz w:val="18"/>
                <w:szCs w:val="18"/>
                <w:color w:val="auto"/>
              </w:rPr>
              <w:t>75% of base salary</w:t>
            </w:r>
          </w:p>
        </w:tc>
        <w:tc>
          <w:tcPr>
            <w:tcW w:w="4660" w:type="dxa"/>
            <w:vAlign w:val="bottom"/>
          </w:tcPr>
          <w:p>
            <w:pPr>
              <w:ind w:left="560"/>
              <w:spacing w:after="0" w:line="202" w:lineRule="exact"/>
              <w:rPr>
                <w:sz w:val="20"/>
                <w:szCs w:val="20"/>
                <w:color w:val="auto"/>
              </w:rPr>
            </w:pPr>
            <w:r>
              <w:rPr>
                <w:rFonts w:ascii="Arial" w:cs="Arial" w:eastAsia="Arial" w:hAnsi="Arial"/>
                <w:sz w:val="18"/>
                <w:szCs w:val="18"/>
                <w:color w:val="auto"/>
              </w:rPr>
              <w:t>150% of base salary</w:t>
            </w:r>
          </w:p>
        </w:tc>
      </w:tr>
      <w:tr>
        <w:trPr>
          <w:trHeight w:val="203"/>
        </w:trPr>
        <w:tc>
          <w:tcPr>
            <w:tcW w:w="240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Nalin Miglani</w:t>
            </w:r>
          </w:p>
        </w:tc>
        <w:tc>
          <w:tcPr>
            <w:tcW w:w="4000" w:type="dxa"/>
            <w:vAlign w:val="bottom"/>
            <w:shd w:val="clear" w:color="auto" w:fill="D0E0F0"/>
          </w:tcPr>
          <w:p>
            <w:pPr>
              <w:ind w:left="700"/>
              <w:spacing w:after="0" w:line="202" w:lineRule="exact"/>
              <w:rPr>
                <w:sz w:val="20"/>
                <w:szCs w:val="20"/>
                <w:color w:val="auto"/>
              </w:rPr>
            </w:pPr>
            <w:r>
              <w:rPr>
                <w:rFonts w:ascii="Arial" w:cs="Arial" w:eastAsia="Arial" w:hAnsi="Arial"/>
                <w:sz w:val="18"/>
                <w:szCs w:val="18"/>
                <w:color w:val="auto"/>
              </w:rPr>
              <w:t>60% of base salary</w:t>
            </w:r>
          </w:p>
        </w:tc>
        <w:tc>
          <w:tcPr>
            <w:tcW w:w="4660" w:type="dxa"/>
            <w:vAlign w:val="bottom"/>
            <w:shd w:val="clear" w:color="auto" w:fill="D0E0F0"/>
          </w:tcPr>
          <w:p>
            <w:pPr>
              <w:ind w:left="560"/>
              <w:spacing w:after="0" w:line="202" w:lineRule="exact"/>
              <w:rPr>
                <w:sz w:val="20"/>
                <w:szCs w:val="20"/>
                <w:color w:val="auto"/>
              </w:rPr>
            </w:pPr>
            <w:r>
              <w:rPr>
                <w:rFonts w:ascii="Arial" w:cs="Arial" w:eastAsia="Arial" w:hAnsi="Arial"/>
                <w:sz w:val="18"/>
                <w:szCs w:val="18"/>
                <w:color w:val="auto"/>
              </w:rPr>
              <w:t>120% of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-659765</wp:posOffset>
            </wp:positionV>
            <wp:extent cx="69037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64" w:lineRule="exact"/>
        <w:rPr>
          <w:sz w:val="20"/>
          <w:szCs w:val="20"/>
          <w:color w:val="auto"/>
        </w:rPr>
      </w:pPr>
    </w:p>
    <w:p>
      <w:pPr>
        <w:jc w:val="both"/>
        <w:ind w:left="332" w:right="60" w:hanging="332"/>
        <w:spacing w:after="0" w:line="251" w:lineRule="auto"/>
        <w:tabs>
          <w:tab w:leader="none" w:pos="33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Annual Bonuses Exclusively Denominated in Cash. </w:t>
      </w:r>
      <w:r>
        <w:rPr>
          <w:rFonts w:ascii="Arial" w:cs="Arial" w:eastAsia="Arial" w:hAnsi="Arial"/>
          <w:sz w:val="18"/>
          <w:szCs w:val="18"/>
          <w:color w:val="auto"/>
        </w:rPr>
        <w:t>The Committee believes cash bonuses align with market compensation practices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make the Company’s overall compensation program more competitive. The long-term retention and performance features associated with equity grants continue to be an important part of the Company’s compensation mix, as described below.</w:t>
      </w:r>
    </w:p>
    <w:p>
      <w:pPr>
        <w:spacing w:after="0" w:line="160" w:lineRule="exact"/>
        <w:rPr>
          <w:rFonts w:ascii="Arial" w:cs="Arial" w:eastAsia="Arial" w:hAnsi="Arial"/>
          <w:sz w:val="18"/>
          <w:szCs w:val="18"/>
          <w:color w:val="auto"/>
        </w:rPr>
      </w:pPr>
    </w:p>
    <w:p>
      <w:pPr>
        <w:ind w:left="332" w:right="120" w:hanging="332"/>
        <w:spacing w:after="0" w:line="267" w:lineRule="auto"/>
        <w:tabs>
          <w:tab w:leader="none" w:pos="33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Performance Measures</w:t>
      </w:r>
      <w:r>
        <w:rPr>
          <w:rFonts w:ascii="Arial" w:cs="Arial" w:eastAsia="Arial" w:hAnsi="Arial"/>
          <w:sz w:val="18"/>
          <w:szCs w:val="18"/>
          <w:color w:val="auto"/>
        </w:rPr>
        <w:t>. Our executives were eligible to earn annual bonuses based on their achievement of company-wide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metrics, business line or other company performance metrics and individual performance, as described in the tables below.</w:t>
      </w:r>
    </w:p>
    <w:p>
      <w:pPr>
        <w:spacing w:after="0" w:line="166" w:lineRule="exact"/>
        <w:rPr>
          <w:sz w:val="20"/>
          <w:szCs w:val="20"/>
          <w:color w:val="auto"/>
        </w:rPr>
      </w:pPr>
    </w:p>
    <w:tbl>
      <w:tblPr>
        <w:tblLayout w:type="fixed"/>
        <w:tblInd w:w="172" w:type="dxa"/>
        <w:tblCellMar>
          <w:top w:w="0" w:type="dxa"/>
          <w:left w:w="0" w:type="dxa"/>
          <w:bottom w:w="0" w:type="dxa"/>
          <w:right w:w="0" w:type="dxa"/>
        </w:tblCellMar>
      </w:tblPr>
      <w:tr>
        <w:trPr>
          <w:trHeight w:val="162"/>
        </w:trPr>
        <w:tc>
          <w:tcPr>
            <w:tcW w:w="2920" w:type="dxa"/>
            <w:vAlign w:val="bottom"/>
            <w:shd w:val="clear" w:color="auto" w:fill="508BC7"/>
          </w:tcPr>
          <w:p>
            <w:pPr>
              <w:spacing w:after="0"/>
              <w:rPr>
                <w:sz w:val="14"/>
                <w:szCs w:val="14"/>
                <w:color w:val="auto"/>
              </w:rPr>
            </w:pPr>
          </w:p>
        </w:tc>
        <w:tc>
          <w:tcPr>
            <w:tcW w:w="2960" w:type="dxa"/>
            <w:vAlign w:val="bottom"/>
            <w:shd w:val="clear" w:color="auto" w:fill="508BC7"/>
          </w:tcPr>
          <w:p>
            <w:pPr>
              <w:jc w:val="center"/>
              <w:ind w:left="215"/>
              <w:spacing w:after="0"/>
              <w:rPr>
                <w:sz w:val="20"/>
                <w:szCs w:val="20"/>
                <w:color w:val="auto"/>
              </w:rPr>
            </w:pPr>
            <w:r>
              <w:rPr>
                <w:rFonts w:ascii="Arial" w:cs="Arial" w:eastAsia="Arial" w:hAnsi="Arial"/>
                <w:sz w:val="14"/>
                <w:szCs w:val="14"/>
                <w:b w:val="1"/>
                <w:bCs w:val="1"/>
                <w:color w:val="FFFFFF"/>
              </w:rPr>
              <w:t>Company-Wide</w:t>
            </w:r>
          </w:p>
        </w:tc>
        <w:tc>
          <w:tcPr>
            <w:tcW w:w="2380" w:type="dxa"/>
            <w:vAlign w:val="bottom"/>
            <w:shd w:val="clear" w:color="auto" w:fill="508BC7"/>
          </w:tcPr>
          <w:p>
            <w:pPr>
              <w:jc w:val="center"/>
              <w:ind w:left="75"/>
              <w:spacing w:after="0"/>
              <w:rPr>
                <w:sz w:val="20"/>
                <w:szCs w:val="20"/>
                <w:color w:val="auto"/>
              </w:rPr>
            </w:pPr>
            <w:r>
              <w:rPr>
                <w:rFonts w:ascii="Arial" w:cs="Arial" w:eastAsia="Arial" w:hAnsi="Arial"/>
                <w:sz w:val="14"/>
                <w:szCs w:val="14"/>
                <w:b w:val="1"/>
                <w:bCs w:val="1"/>
                <w:color w:val="FFFFFF"/>
              </w:rPr>
              <w:t>Individual</w:t>
            </w:r>
          </w:p>
        </w:tc>
        <w:tc>
          <w:tcPr>
            <w:tcW w:w="2800" w:type="dxa"/>
            <w:vAlign w:val="bottom"/>
            <w:shd w:val="clear" w:color="auto" w:fill="508BC7"/>
          </w:tcPr>
          <w:p>
            <w:pPr>
              <w:jc w:val="center"/>
              <w:ind w:left="75"/>
              <w:spacing w:after="0"/>
              <w:rPr>
                <w:sz w:val="20"/>
                <w:szCs w:val="20"/>
                <w:color w:val="auto"/>
              </w:rPr>
            </w:pPr>
            <w:r>
              <w:rPr>
                <w:rFonts w:ascii="Arial" w:cs="Arial" w:eastAsia="Arial" w:hAnsi="Arial"/>
                <w:sz w:val="14"/>
                <w:szCs w:val="14"/>
                <w:b w:val="1"/>
                <w:bCs w:val="1"/>
                <w:color w:val="FFFFFF"/>
              </w:rPr>
              <w:t>Business Line or Other</w:t>
            </w:r>
          </w:p>
        </w:tc>
      </w:tr>
      <w:tr>
        <w:trPr>
          <w:trHeight w:val="216"/>
        </w:trPr>
        <w:tc>
          <w:tcPr>
            <w:tcW w:w="2920" w:type="dxa"/>
            <w:vAlign w:val="bottom"/>
            <w:shd w:val="clear" w:color="auto" w:fill="508BC7"/>
          </w:tcPr>
          <w:p>
            <w:pPr>
              <w:ind w:left="1420"/>
              <w:spacing w:after="0"/>
              <w:rPr>
                <w:sz w:val="20"/>
                <w:szCs w:val="20"/>
                <w:color w:val="auto"/>
              </w:rPr>
            </w:pPr>
            <w:r>
              <w:rPr>
                <w:rFonts w:ascii="Arial" w:cs="Arial" w:eastAsia="Arial" w:hAnsi="Arial"/>
                <w:sz w:val="14"/>
                <w:szCs w:val="14"/>
                <w:b w:val="1"/>
                <w:bCs w:val="1"/>
                <w:color w:val="FFFFFF"/>
              </w:rPr>
              <w:t>Name</w:t>
            </w:r>
          </w:p>
        </w:tc>
        <w:tc>
          <w:tcPr>
            <w:tcW w:w="2960" w:type="dxa"/>
            <w:vAlign w:val="bottom"/>
            <w:shd w:val="clear" w:color="auto" w:fill="508BC7"/>
          </w:tcPr>
          <w:p>
            <w:pPr>
              <w:jc w:val="center"/>
              <w:ind w:left="215"/>
              <w:spacing w:after="0" w:line="216" w:lineRule="exact"/>
              <w:rPr>
                <w:sz w:val="20"/>
                <w:szCs w:val="20"/>
                <w:color w:val="auto"/>
              </w:rPr>
            </w:pPr>
            <w:r>
              <w:rPr>
                <w:rFonts w:ascii="Arial" w:cs="Arial" w:eastAsia="Arial" w:hAnsi="Arial"/>
                <w:sz w:val="14"/>
                <w:szCs w:val="14"/>
                <w:b w:val="1"/>
                <w:bCs w:val="1"/>
                <w:color w:val="FFFFFF"/>
                <w:w w:val="97"/>
              </w:rPr>
              <w:t>Performance</w:t>
            </w:r>
            <w:r>
              <w:rPr>
                <w:rFonts w:ascii="Arial" w:cs="Arial" w:eastAsia="Arial" w:hAnsi="Arial"/>
                <w:sz w:val="23"/>
                <w:szCs w:val="23"/>
                <w:b w:val="1"/>
                <w:bCs w:val="1"/>
                <w:color w:val="FFFFFF"/>
                <w:w w:val="97"/>
                <w:vertAlign w:val="superscript"/>
              </w:rPr>
              <w:t>(1)</w:t>
            </w:r>
          </w:p>
        </w:tc>
        <w:tc>
          <w:tcPr>
            <w:tcW w:w="2380" w:type="dxa"/>
            <w:vAlign w:val="bottom"/>
            <w:shd w:val="clear" w:color="auto" w:fill="508BC7"/>
          </w:tcPr>
          <w:p>
            <w:pPr>
              <w:jc w:val="center"/>
              <w:ind w:left="55"/>
              <w:spacing w:after="0"/>
              <w:rPr>
                <w:sz w:val="20"/>
                <w:szCs w:val="20"/>
                <w:color w:val="auto"/>
              </w:rPr>
            </w:pPr>
            <w:r>
              <w:rPr>
                <w:rFonts w:ascii="Arial" w:cs="Arial" w:eastAsia="Arial" w:hAnsi="Arial"/>
                <w:sz w:val="14"/>
                <w:szCs w:val="14"/>
                <w:b w:val="1"/>
                <w:bCs w:val="1"/>
                <w:color w:val="FFFFFF"/>
              </w:rPr>
              <w:t>Performance</w:t>
            </w:r>
          </w:p>
        </w:tc>
        <w:tc>
          <w:tcPr>
            <w:tcW w:w="2800" w:type="dxa"/>
            <w:vAlign w:val="bottom"/>
            <w:shd w:val="clear" w:color="auto" w:fill="508BC7"/>
          </w:tcPr>
          <w:p>
            <w:pPr>
              <w:jc w:val="center"/>
              <w:ind w:left="75"/>
              <w:spacing w:after="0"/>
              <w:rPr>
                <w:sz w:val="20"/>
                <w:szCs w:val="20"/>
                <w:color w:val="auto"/>
              </w:rPr>
            </w:pPr>
            <w:r>
              <w:rPr>
                <w:rFonts w:ascii="Arial" w:cs="Arial" w:eastAsia="Arial" w:hAnsi="Arial"/>
                <w:sz w:val="14"/>
                <w:szCs w:val="14"/>
                <w:b w:val="1"/>
                <w:bCs w:val="1"/>
                <w:color w:val="FFFFFF"/>
              </w:rPr>
              <w:t>Company Performance</w:t>
            </w:r>
          </w:p>
        </w:tc>
      </w:tr>
      <w:tr>
        <w:trPr>
          <w:trHeight w:val="203"/>
        </w:trPr>
        <w:tc>
          <w:tcPr>
            <w:tcW w:w="29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Rohit Kapoor</w:t>
            </w:r>
          </w:p>
        </w:tc>
        <w:tc>
          <w:tcPr>
            <w:tcW w:w="2960" w:type="dxa"/>
            <w:vAlign w:val="bottom"/>
            <w:shd w:val="clear" w:color="auto" w:fill="D0E0F0"/>
          </w:tcPr>
          <w:p>
            <w:pPr>
              <w:jc w:val="center"/>
              <w:ind w:left="195"/>
              <w:spacing w:after="0" w:line="202" w:lineRule="exact"/>
              <w:rPr>
                <w:sz w:val="20"/>
                <w:szCs w:val="20"/>
                <w:color w:val="auto"/>
              </w:rPr>
            </w:pPr>
            <w:r>
              <w:rPr>
                <w:rFonts w:ascii="Arial" w:cs="Arial" w:eastAsia="Arial" w:hAnsi="Arial"/>
                <w:sz w:val="18"/>
                <w:szCs w:val="18"/>
                <w:color w:val="auto"/>
                <w:w w:val="99"/>
              </w:rPr>
              <w:t>65%</w:t>
            </w:r>
          </w:p>
        </w:tc>
        <w:tc>
          <w:tcPr>
            <w:tcW w:w="2380" w:type="dxa"/>
            <w:vAlign w:val="bottom"/>
            <w:shd w:val="clear" w:color="auto" w:fill="D0E0F0"/>
          </w:tcPr>
          <w:p>
            <w:pPr>
              <w:jc w:val="center"/>
              <w:ind w:left="55"/>
              <w:spacing w:after="0" w:line="202" w:lineRule="exact"/>
              <w:rPr>
                <w:sz w:val="20"/>
                <w:szCs w:val="20"/>
                <w:color w:val="auto"/>
              </w:rPr>
            </w:pPr>
            <w:r>
              <w:rPr>
                <w:rFonts w:ascii="Arial" w:cs="Arial" w:eastAsia="Arial" w:hAnsi="Arial"/>
                <w:sz w:val="18"/>
                <w:szCs w:val="18"/>
                <w:color w:val="auto"/>
                <w:w w:val="99"/>
              </w:rPr>
              <w:t>15%</w:t>
            </w:r>
          </w:p>
        </w:tc>
        <w:tc>
          <w:tcPr>
            <w:tcW w:w="2800" w:type="dxa"/>
            <w:vAlign w:val="bottom"/>
            <w:shd w:val="clear" w:color="auto" w:fill="D0E0F0"/>
          </w:tcPr>
          <w:p>
            <w:pPr>
              <w:jc w:val="center"/>
              <w:ind w:left="75"/>
              <w:spacing w:after="0" w:line="202" w:lineRule="exact"/>
              <w:rPr>
                <w:sz w:val="20"/>
                <w:szCs w:val="20"/>
                <w:color w:val="auto"/>
              </w:rPr>
            </w:pPr>
            <w:r>
              <w:rPr>
                <w:rFonts w:ascii="Arial" w:cs="Arial" w:eastAsia="Arial" w:hAnsi="Arial"/>
                <w:sz w:val="18"/>
                <w:szCs w:val="18"/>
                <w:color w:val="auto"/>
                <w:w w:val="99"/>
              </w:rPr>
              <w:t>20%</w:t>
            </w:r>
          </w:p>
        </w:tc>
      </w:tr>
      <w:tr>
        <w:trPr>
          <w:trHeight w:val="203"/>
        </w:trPr>
        <w:tc>
          <w:tcPr>
            <w:tcW w:w="2920" w:type="dxa"/>
            <w:vAlign w:val="bottom"/>
          </w:tcPr>
          <w:p>
            <w:pPr>
              <w:ind w:left="100"/>
              <w:spacing w:after="0" w:line="202" w:lineRule="exact"/>
              <w:rPr>
                <w:sz w:val="20"/>
                <w:szCs w:val="20"/>
                <w:color w:val="auto"/>
              </w:rPr>
            </w:pPr>
            <w:r>
              <w:rPr>
                <w:rFonts w:ascii="Arial" w:cs="Arial" w:eastAsia="Arial" w:hAnsi="Arial"/>
                <w:sz w:val="18"/>
                <w:szCs w:val="18"/>
                <w:color w:val="auto"/>
              </w:rPr>
              <w:t>Vishal Chhibbar</w:t>
            </w:r>
          </w:p>
        </w:tc>
        <w:tc>
          <w:tcPr>
            <w:tcW w:w="2960" w:type="dxa"/>
            <w:vAlign w:val="bottom"/>
          </w:tcPr>
          <w:p>
            <w:pPr>
              <w:jc w:val="center"/>
              <w:ind w:left="195"/>
              <w:spacing w:after="0" w:line="202" w:lineRule="exact"/>
              <w:rPr>
                <w:sz w:val="20"/>
                <w:szCs w:val="20"/>
                <w:color w:val="auto"/>
              </w:rPr>
            </w:pPr>
            <w:r>
              <w:rPr>
                <w:rFonts w:ascii="Arial" w:cs="Arial" w:eastAsia="Arial" w:hAnsi="Arial"/>
                <w:sz w:val="18"/>
                <w:szCs w:val="18"/>
                <w:color w:val="auto"/>
                <w:w w:val="99"/>
              </w:rPr>
              <w:t>60%</w:t>
            </w:r>
          </w:p>
        </w:tc>
        <w:tc>
          <w:tcPr>
            <w:tcW w:w="2380" w:type="dxa"/>
            <w:vAlign w:val="bottom"/>
          </w:tcPr>
          <w:p>
            <w:pPr>
              <w:jc w:val="center"/>
              <w:ind w:left="55"/>
              <w:spacing w:after="0" w:line="202" w:lineRule="exact"/>
              <w:rPr>
                <w:sz w:val="20"/>
                <w:szCs w:val="20"/>
                <w:color w:val="auto"/>
              </w:rPr>
            </w:pPr>
            <w:r>
              <w:rPr>
                <w:rFonts w:ascii="Arial" w:cs="Arial" w:eastAsia="Arial" w:hAnsi="Arial"/>
                <w:sz w:val="18"/>
                <w:szCs w:val="18"/>
                <w:color w:val="auto"/>
                <w:w w:val="99"/>
              </w:rPr>
              <w:t>20%</w:t>
            </w:r>
          </w:p>
        </w:tc>
        <w:tc>
          <w:tcPr>
            <w:tcW w:w="2800" w:type="dxa"/>
            <w:vAlign w:val="bottom"/>
          </w:tcPr>
          <w:p>
            <w:pPr>
              <w:jc w:val="center"/>
              <w:ind w:left="75"/>
              <w:spacing w:after="0" w:line="202" w:lineRule="exact"/>
              <w:rPr>
                <w:sz w:val="20"/>
                <w:szCs w:val="20"/>
                <w:color w:val="auto"/>
              </w:rPr>
            </w:pPr>
            <w:r>
              <w:rPr>
                <w:rFonts w:ascii="Arial" w:cs="Arial" w:eastAsia="Arial" w:hAnsi="Arial"/>
                <w:sz w:val="18"/>
                <w:szCs w:val="18"/>
                <w:color w:val="auto"/>
                <w:w w:val="99"/>
              </w:rPr>
              <w:t>20%</w:t>
            </w:r>
          </w:p>
        </w:tc>
      </w:tr>
      <w:tr>
        <w:trPr>
          <w:trHeight w:val="203"/>
        </w:trPr>
        <w:tc>
          <w:tcPr>
            <w:tcW w:w="29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Pavan Bagai</w:t>
            </w:r>
          </w:p>
        </w:tc>
        <w:tc>
          <w:tcPr>
            <w:tcW w:w="2960" w:type="dxa"/>
            <w:vAlign w:val="bottom"/>
            <w:shd w:val="clear" w:color="auto" w:fill="D0E0F0"/>
          </w:tcPr>
          <w:p>
            <w:pPr>
              <w:jc w:val="center"/>
              <w:ind w:left="195"/>
              <w:spacing w:after="0" w:line="202" w:lineRule="exact"/>
              <w:rPr>
                <w:sz w:val="20"/>
                <w:szCs w:val="20"/>
                <w:color w:val="auto"/>
              </w:rPr>
            </w:pPr>
            <w:r>
              <w:rPr>
                <w:rFonts w:ascii="Arial" w:cs="Arial" w:eastAsia="Arial" w:hAnsi="Arial"/>
                <w:sz w:val="18"/>
                <w:szCs w:val="18"/>
                <w:color w:val="auto"/>
                <w:w w:val="99"/>
              </w:rPr>
              <w:t>65%</w:t>
            </w:r>
          </w:p>
        </w:tc>
        <w:tc>
          <w:tcPr>
            <w:tcW w:w="2380" w:type="dxa"/>
            <w:vAlign w:val="bottom"/>
            <w:shd w:val="clear" w:color="auto" w:fill="D0E0F0"/>
          </w:tcPr>
          <w:p>
            <w:pPr>
              <w:jc w:val="center"/>
              <w:ind w:left="55"/>
              <w:spacing w:after="0" w:line="202" w:lineRule="exact"/>
              <w:rPr>
                <w:sz w:val="20"/>
                <w:szCs w:val="20"/>
                <w:color w:val="auto"/>
              </w:rPr>
            </w:pPr>
            <w:r>
              <w:rPr>
                <w:rFonts w:ascii="Arial" w:cs="Arial" w:eastAsia="Arial" w:hAnsi="Arial"/>
                <w:sz w:val="18"/>
                <w:szCs w:val="18"/>
                <w:color w:val="auto"/>
                <w:w w:val="99"/>
              </w:rPr>
              <w:t>15%</w:t>
            </w:r>
          </w:p>
        </w:tc>
        <w:tc>
          <w:tcPr>
            <w:tcW w:w="2800" w:type="dxa"/>
            <w:vAlign w:val="bottom"/>
            <w:shd w:val="clear" w:color="auto" w:fill="D0E0F0"/>
          </w:tcPr>
          <w:p>
            <w:pPr>
              <w:jc w:val="center"/>
              <w:ind w:left="75"/>
              <w:spacing w:after="0" w:line="202" w:lineRule="exact"/>
              <w:rPr>
                <w:sz w:val="20"/>
                <w:szCs w:val="20"/>
                <w:color w:val="auto"/>
              </w:rPr>
            </w:pPr>
            <w:r>
              <w:rPr>
                <w:rFonts w:ascii="Arial" w:cs="Arial" w:eastAsia="Arial" w:hAnsi="Arial"/>
                <w:sz w:val="18"/>
                <w:szCs w:val="18"/>
                <w:color w:val="auto"/>
                <w:w w:val="99"/>
              </w:rPr>
              <w:t>20%</w:t>
            </w:r>
          </w:p>
        </w:tc>
      </w:tr>
      <w:tr>
        <w:trPr>
          <w:trHeight w:val="203"/>
        </w:trPr>
        <w:tc>
          <w:tcPr>
            <w:tcW w:w="2920" w:type="dxa"/>
            <w:vAlign w:val="bottom"/>
          </w:tcPr>
          <w:p>
            <w:pPr>
              <w:ind w:left="100"/>
              <w:spacing w:after="0" w:line="202" w:lineRule="exact"/>
              <w:rPr>
                <w:sz w:val="20"/>
                <w:szCs w:val="20"/>
                <w:color w:val="auto"/>
              </w:rPr>
            </w:pPr>
            <w:r>
              <w:rPr>
                <w:rFonts w:ascii="Arial" w:cs="Arial" w:eastAsia="Arial" w:hAnsi="Arial"/>
                <w:sz w:val="18"/>
                <w:szCs w:val="18"/>
                <w:color w:val="auto"/>
              </w:rPr>
              <w:t>Rembert de Villa</w:t>
            </w:r>
          </w:p>
        </w:tc>
        <w:tc>
          <w:tcPr>
            <w:tcW w:w="2960" w:type="dxa"/>
            <w:vAlign w:val="bottom"/>
          </w:tcPr>
          <w:p>
            <w:pPr>
              <w:jc w:val="center"/>
              <w:ind w:left="195"/>
              <w:spacing w:after="0" w:line="202" w:lineRule="exact"/>
              <w:rPr>
                <w:sz w:val="20"/>
                <w:szCs w:val="20"/>
                <w:color w:val="auto"/>
              </w:rPr>
            </w:pPr>
            <w:r>
              <w:rPr>
                <w:rFonts w:ascii="Arial" w:cs="Arial" w:eastAsia="Arial" w:hAnsi="Arial"/>
                <w:sz w:val="18"/>
                <w:szCs w:val="18"/>
                <w:color w:val="auto"/>
                <w:w w:val="99"/>
              </w:rPr>
              <w:t>40%</w:t>
            </w:r>
          </w:p>
        </w:tc>
        <w:tc>
          <w:tcPr>
            <w:tcW w:w="2380" w:type="dxa"/>
            <w:vAlign w:val="bottom"/>
          </w:tcPr>
          <w:p>
            <w:pPr>
              <w:jc w:val="center"/>
              <w:ind w:left="55"/>
              <w:spacing w:after="0" w:line="202" w:lineRule="exact"/>
              <w:rPr>
                <w:sz w:val="20"/>
                <w:szCs w:val="20"/>
                <w:color w:val="auto"/>
              </w:rPr>
            </w:pPr>
            <w:r>
              <w:rPr>
                <w:rFonts w:ascii="Arial" w:cs="Arial" w:eastAsia="Arial" w:hAnsi="Arial"/>
                <w:sz w:val="18"/>
                <w:szCs w:val="18"/>
                <w:color w:val="auto"/>
                <w:w w:val="99"/>
              </w:rPr>
              <w:t>20%</w:t>
            </w:r>
          </w:p>
        </w:tc>
        <w:tc>
          <w:tcPr>
            <w:tcW w:w="2800" w:type="dxa"/>
            <w:vAlign w:val="bottom"/>
          </w:tcPr>
          <w:p>
            <w:pPr>
              <w:jc w:val="center"/>
              <w:ind w:left="75"/>
              <w:spacing w:after="0" w:line="202" w:lineRule="exact"/>
              <w:rPr>
                <w:sz w:val="20"/>
                <w:szCs w:val="20"/>
                <w:color w:val="auto"/>
              </w:rPr>
            </w:pPr>
            <w:r>
              <w:rPr>
                <w:rFonts w:ascii="Arial" w:cs="Arial" w:eastAsia="Arial" w:hAnsi="Arial"/>
                <w:sz w:val="18"/>
                <w:szCs w:val="18"/>
                <w:color w:val="auto"/>
                <w:w w:val="99"/>
              </w:rPr>
              <w:t>40%</w:t>
            </w:r>
          </w:p>
        </w:tc>
      </w:tr>
      <w:tr>
        <w:trPr>
          <w:trHeight w:val="203"/>
        </w:trPr>
        <w:tc>
          <w:tcPr>
            <w:tcW w:w="29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Nalin Miglani</w:t>
            </w:r>
          </w:p>
        </w:tc>
        <w:tc>
          <w:tcPr>
            <w:tcW w:w="2960" w:type="dxa"/>
            <w:vAlign w:val="bottom"/>
            <w:shd w:val="clear" w:color="auto" w:fill="D0E0F0"/>
          </w:tcPr>
          <w:p>
            <w:pPr>
              <w:jc w:val="center"/>
              <w:ind w:left="195"/>
              <w:spacing w:after="0" w:line="202" w:lineRule="exact"/>
              <w:rPr>
                <w:sz w:val="20"/>
                <w:szCs w:val="20"/>
                <w:color w:val="auto"/>
              </w:rPr>
            </w:pPr>
            <w:r>
              <w:rPr>
                <w:rFonts w:ascii="Arial" w:cs="Arial" w:eastAsia="Arial" w:hAnsi="Arial"/>
                <w:sz w:val="18"/>
                <w:szCs w:val="18"/>
                <w:color w:val="auto"/>
                <w:w w:val="99"/>
              </w:rPr>
              <w:t>60%</w:t>
            </w:r>
          </w:p>
        </w:tc>
        <w:tc>
          <w:tcPr>
            <w:tcW w:w="2380" w:type="dxa"/>
            <w:vAlign w:val="bottom"/>
            <w:shd w:val="clear" w:color="auto" w:fill="D0E0F0"/>
          </w:tcPr>
          <w:p>
            <w:pPr>
              <w:jc w:val="center"/>
              <w:ind w:left="55"/>
              <w:spacing w:after="0" w:line="202" w:lineRule="exact"/>
              <w:rPr>
                <w:sz w:val="20"/>
                <w:szCs w:val="20"/>
                <w:color w:val="auto"/>
              </w:rPr>
            </w:pPr>
            <w:r>
              <w:rPr>
                <w:rFonts w:ascii="Arial" w:cs="Arial" w:eastAsia="Arial" w:hAnsi="Arial"/>
                <w:sz w:val="18"/>
                <w:szCs w:val="18"/>
                <w:color w:val="auto"/>
                <w:w w:val="99"/>
              </w:rPr>
              <w:t>20%</w:t>
            </w:r>
          </w:p>
        </w:tc>
        <w:tc>
          <w:tcPr>
            <w:tcW w:w="2800" w:type="dxa"/>
            <w:vAlign w:val="bottom"/>
            <w:shd w:val="clear" w:color="auto" w:fill="D0E0F0"/>
          </w:tcPr>
          <w:p>
            <w:pPr>
              <w:jc w:val="center"/>
              <w:ind w:left="75"/>
              <w:spacing w:after="0" w:line="202" w:lineRule="exact"/>
              <w:rPr>
                <w:sz w:val="20"/>
                <w:szCs w:val="20"/>
                <w:color w:val="auto"/>
              </w:rPr>
            </w:pPr>
            <w:r>
              <w:rPr>
                <w:rFonts w:ascii="Arial" w:cs="Arial" w:eastAsia="Arial" w:hAnsi="Arial"/>
                <w:sz w:val="18"/>
                <w:szCs w:val="18"/>
                <w:color w:val="auto"/>
                <w:w w:val="99"/>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-659765</wp:posOffset>
            </wp:positionV>
            <wp:extent cx="69037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wp:posOffset>
            </wp:positionV>
            <wp:extent cx="14490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0" w:lineRule="exact"/>
        <w:rPr>
          <w:sz w:val="20"/>
          <w:szCs w:val="20"/>
          <w:color w:val="auto"/>
        </w:rPr>
      </w:pPr>
    </w:p>
    <w:p>
      <w:pPr>
        <w:ind w:left="652" w:right="140" w:hanging="328"/>
        <w:spacing w:after="0" w:line="253" w:lineRule="auto"/>
        <w:tabs>
          <w:tab w:leader="none" w:pos="652"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50% on the Company’s Adjusted EPS goal and 50% on the Company’s revenue goal, for all employees whose incentive bonus is linked to Company-wide financial performance, including our named executive officers. The Company-wide performance component for Messrs. Kapoor and Bagai was reduced from 80% in 2015 to 65% for 2016.</w:t>
      </w:r>
    </w:p>
    <w:p>
      <w:pPr>
        <w:spacing w:after="0" w:line="185" w:lineRule="exact"/>
        <w:rPr>
          <w:sz w:val="20"/>
          <w:szCs w:val="20"/>
          <w:color w:val="auto"/>
        </w:rPr>
      </w:pPr>
    </w:p>
    <w:p>
      <w:pPr>
        <w:ind w:left="332" w:firstLine="486"/>
        <w:spacing w:after="0" w:line="237" w:lineRule="auto"/>
        <w:rPr>
          <w:sz w:val="20"/>
          <w:szCs w:val="20"/>
          <w:color w:val="auto"/>
        </w:rPr>
      </w:pPr>
      <w:r>
        <w:rPr>
          <w:rFonts w:ascii="Arial" w:cs="Arial" w:eastAsia="Arial" w:hAnsi="Arial"/>
          <w:sz w:val="18"/>
          <w:szCs w:val="18"/>
          <w:color w:val="auto"/>
        </w:rPr>
        <w:t>Historically, the Compensation Committee has based annual bonus opportunities for Messrs. Kapoor and Bagai on the Company’s achievement of Adjusted EPS and revenue goals. As part of the Compensation Committee’s continuous evaluation of the Company’s compensation program, it determined to modify Messrs. Kapoor’s and Bagia’s bonus opportunities in 2016 to bring their incentives more in line with those offered to our other Named Executive Officers. As a result, for 2016, the Compensation Committee believed Messrs. Kapoor’s and Bagai’s annual bonus should be 65% based on the Company’s Adjusted EPS and revenues goals, 15% based on individual performance, and 20% based on the aggregated performance of all Business Units Revenue and Adjusted EPS due to the nature of their positions as Vice Chairman and CEO and President and Chief Operating</w:t>
      </w:r>
    </w:p>
    <w:p>
      <w:pPr>
        <w:spacing w:after="0" w:line="29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32"/>
          </w:cols>
          <w:pgMar w:left="248" w:top="800" w:right="319" w:bottom="1440" w:gutter="0" w:footer="0" w:header="0"/>
        </w:sectPr>
      </w:pPr>
    </w:p>
    <w:bookmarkStart w:id="36" w:name="page37"/>
    <w:bookmarkEnd w:id="36"/>
    <w:p>
      <w:pPr>
        <w:ind w:left="340" w:right="80"/>
        <w:spacing w:after="0" w:line="238" w:lineRule="auto"/>
        <w:rPr>
          <w:sz w:val="20"/>
          <w:szCs w:val="20"/>
          <w:color w:val="auto"/>
        </w:rPr>
      </w:pPr>
      <w:r>
        <w:rPr>
          <w:rFonts w:ascii="Arial" w:cs="Arial" w:eastAsia="Arial" w:hAnsi="Arial"/>
          <w:sz w:val="18"/>
          <w:szCs w:val="18"/>
          <w:color w:val="auto"/>
        </w:rPr>
        <w:t>Officer, respectively. The Committee believed it was important to set the business line and other Company performance goals as well as the individual performance goals described above for all named executive officers to ensure the executives were properly focused on both the Company’s Adjusted EPS and revenue goals, aggregate of business units performance on revenue and Adjusted EPS goals and other areas of performance that are unique to their positions within the organization. The Compensation Committee believes achievement of these performance metrics will drive our business and, in turn, lead to increased stockholder value.</w:t>
      </w:r>
    </w:p>
    <w:p>
      <w:pPr>
        <w:spacing w:after="0" w:line="171" w:lineRule="exact"/>
        <w:rPr>
          <w:sz w:val="20"/>
          <w:szCs w:val="20"/>
          <w:color w:val="auto"/>
        </w:rPr>
      </w:pPr>
    </w:p>
    <w:p>
      <w:pPr>
        <w:ind w:left="340" w:right="280" w:hanging="332"/>
        <w:spacing w:after="0" w:line="297"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Determination of Financial Performance Achievement</w:t>
      </w:r>
      <w:r>
        <w:rPr>
          <w:rFonts w:ascii="Arial" w:cs="Arial" w:eastAsia="Arial" w:hAnsi="Arial"/>
          <w:sz w:val="17"/>
          <w:szCs w:val="17"/>
          <w:color w:val="auto"/>
        </w:rPr>
        <w:t>. In 2016, the portion of incentive bonus payments that were subject to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measures could have ranged from zero to 200% of target depending on the achievement of performance goals,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740" w:type="dxa"/>
            <w:vAlign w:val="bottom"/>
            <w:gridSpan w:val="2"/>
            <w:shd w:val="clear" w:color="auto" w:fill="508BC7"/>
          </w:tcPr>
          <w:p>
            <w:pPr>
              <w:jc w:val="right"/>
              <w:ind w:right="1910"/>
              <w:spacing w:after="0"/>
              <w:rPr>
                <w:sz w:val="20"/>
                <w:szCs w:val="20"/>
                <w:color w:val="auto"/>
              </w:rPr>
            </w:pPr>
            <w:r>
              <w:rPr>
                <w:rFonts w:ascii="Arial" w:cs="Arial" w:eastAsia="Arial" w:hAnsi="Arial"/>
                <w:sz w:val="18"/>
                <w:szCs w:val="18"/>
                <w:b w:val="1"/>
                <w:bCs w:val="1"/>
                <w:color w:val="FFFFFF"/>
              </w:rPr>
              <w:t>Adjusted EPS Goals</w:t>
            </w:r>
          </w:p>
        </w:tc>
        <w:tc>
          <w:tcPr>
            <w:tcW w:w="440" w:type="dxa"/>
            <w:vAlign w:val="bottom"/>
          </w:tcPr>
          <w:p>
            <w:pPr>
              <w:spacing w:after="0"/>
              <w:rPr>
                <w:sz w:val="20"/>
                <w:szCs w:val="20"/>
                <w:color w:val="auto"/>
              </w:rPr>
            </w:pPr>
          </w:p>
        </w:tc>
        <w:tc>
          <w:tcPr>
            <w:tcW w:w="5240" w:type="dxa"/>
            <w:vAlign w:val="bottom"/>
            <w:gridSpan w:val="2"/>
            <w:shd w:val="clear" w:color="auto" w:fill="508BC7"/>
          </w:tcPr>
          <w:p>
            <w:pPr>
              <w:jc w:val="right"/>
              <w:ind w:right="1870"/>
              <w:spacing w:after="0"/>
              <w:rPr>
                <w:sz w:val="20"/>
                <w:szCs w:val="20"/>
                <w:color w:val="auto"/>
              </w:rPr>
            </w:pPr>
            <w:r>
              <w:rPr>
                <w:rFonts w:ascii="Arial" w:cs="Arial" w:eastAsia="Arial" w:hAnsi="Arial"/>
                <w:sz w:val="18"/>
                <w:szCs w:val="18"/>
                <w:b w:val="1"/>
                <w:bCs w:val="1"/>
                <w:color w:val="FFFFFF"/>
              </w:rPr>
              <w:t>Revenue Goals</w:t>
            </w:r>
          </w:p>
        </w:tc>
      </w:tr>
      <w:tr>
        <w:trPr>
          <w:trHeight w:val="224"/>
        </w:trPr>
        <w:tc>
          <w:tcPr>
            <w:tcW w:w="2820" w:type="dxa"/>
            <w:vAlign w:val="bottom"/>
            <w:shd w:val="clear" w:color="auto" w:fill="508BC7"/>
          </w:tcPr>
          <w:p>
            <w:pPr>
              <w:jc w:val="center"/>
              <w:ind w:left="150"/>
              <w:spacing w:after="0"/>
              <w:rPr>
                <w:sz w:val="20"/>
                <w:szCs w:val="20"/>
                <w:color w:val="auto"/>
              </w:rPr>
            </w:pPr>
            <w:r>
              <w:rPr>
                <w:rFonts w:ascii="Arial" w:cs="Arial" w:eastAsia="Arial" w:hAnsi="Arial"/>
                <w:sz w:val="18"/>
                <w:szCs w:val="18"/>
                <w:b w:val="1"/>
                <w:bCs w:val="1"/>
                <w:color w:val="FFFFFF"/>
              </w:rPr>
              <w:t>% of Adjusted EPS</w:t>
            </w:r>
          </w:p>
        </w:tc>
        <w:tc>
          <w:tcPr>
            <w:tcW w:w="2920" w:type="dxa"/>
            <w:vAlign w:val="bottom"/>
            <w:shd w:val="clear" w:color="auto" w:fill="508BC7"/>
          </w:tcPr>
          <w:p>
            <w:pPr>
              <w:spacing w:after="0"/>
              <w:rPr>
                <w:sz w:val="19"/>
                <w:szCs w:val="19"/>
                <w:color w:val="auto"/>
              </w:rPr>
            </w:pPr>
          </w:p>
        </w:tc>
        <w:tc>
          <w:tcPr>
            <w:tcW w:w="440" w:type="dxa"/>
            <w:vAlign w:val="bottom"/>
          </w:tcPr>
          <w:p>
            <w:pPr>
              <w:spacing w:after="0"/>
              <w:rPr>
                <w:sz w:val="19"/>
                <w:szCs w:val="19"/>
                <w:color w:val="auto"/>
              </w:rPr>
            </w:pPr>
          </w:p>
        </w:tc>
        <w:tc>
          <w:tcPr>
            <w:tcW w:w="2400" w:type="dxa"/>
            <w:vAlign w:val="bottom"/>
            <w:shd w:val="clear" w:color="auto" w:fill="508BC7"/>
          </w:tcPr>
          <w:p>
            <w:pPr>
              <w:jc w:val="center"/>
              <w:ind w:left="70"/>
              <w:spacing w:after="0"/>
              <w:rPr>
                <w:sz w:val="20"/>
                <w:szCs w:val="20"/>
                <w:color w:val="auto"/>
              </w:rPr>
            </w:pPr>
            <w:r>
              <w:rPr>
                <w:rFonts w:ascii="Arial" w:cs="Arial" w:eastAsia="Arial" w:hAnsi="Arial"/>
                <w:sz w:val="18"/>
                <w:szCs w:val="18"/>
                <w:b w:val="1"/>
                <w:bCs w:val="1"/>
                <w:color w:val="FFFFFF"/>
                <w:w w:val="99"/>
              </w:rPr>
              <w:t>% of Revenues</w:t>
            </w:r>
          </w:p>
        </w:tc>
        <w:tc>
          <w:tcPr>
            <w:tcW w:w="2840" w:type="dxa"/>
            <w:vAlign w:val="bottom"/>
            <w:shd w:val="clear" w:color="auto" w:fill="508BC7"/>
          </w:tcPr>
          <w:p>
            <w:pPr>
              <w:spacing w:after="0"/>
              <w:rPr>
                <w:sz w:val="19"/>
                <w:szCs w:val="19"/>
                <w:color w:val="auto"/>
              </w:rPr>
            </w:pPr>
          </w:p>
        </w:tc>
      </w:tr>
      <w:tr>
        <w:trPr>
          <w:trHeight w:val="203"/>
        </w:trPr>
        <w:tc>
          <w:tcPr>
            <w:tcW w:w="2820" w:type="dxa"/>
            <w:vAlign w:val="bottom"/>
            <w:shd w:val="clear" w:color="auto" w:fill="508BC7"/>
          </w:tcPr>
          <w:p>
            <w:pPr>
              <w:jc w:val="center"/>
              <w:ind w:left="130"/>
              <w:spacing w:after="0" w:line="202" w:lineRule="exact"/>
              <w:rPr>
                <w:sz w:val="20"/>
                <w:szCs w:val="20"/>
                <w:color w:val="auto"/>
              </w:rPr>
            </w:pPr>
            <w:r>
              <w:rPr>
                <w:rFonts w:ascii="Arial" w:cs="Arial" w:eastAsia="Arial" w:hAnsi="Arial"/>
                <w:sz w:val="18"/>
                <w:szCs w:val="18"/>
                <w:b w:val="1"/>
                <w:bCs w:val="1"/>
                <w:color w:val="FFFFFF"/>
                <w:w w:val="99"/>
              </w:rPr>
              <w:t>Achieved Compared to</w:t>
            </w:r>
          </w:p>
        </w:tc>
        <w:tc>
          <w:tcPr>
            <w:tcW w:w="2920" w:type="dxa"/>
            <w:vAlign w:val="bottom"/>
            <w:shd w:val="clear" w:color="auto" w:fill="508BC7"/>
          </w:tcPr>
          <w:p>
            <w:pPr>
              <w:jc w:val="center"/>
              <w:ind w:left="130"/>
              <w:spacing w:after="0" w:line="202" w:lineRule="exact"/>
              <w:rPr>
                <w:sz w:val="20"/>
                <w:szCs w:val="20"/>
                <w:color w:val="auto"/>
              </w:rPr>
            </w:pPr>
            <w:r>
              <w:rPr>
                <w:rFonts w:ascii="Arial" w:cs="Arial" w:eastAsia="Arial" w:hAnsi="Arial"/>
                <w:sz w:val="18"/>
                <w:szCs w:val="18"/>
                <w:b w:val="1"/>
                <w:bCs w:val="1"/>
                <w:color w:val="FFFFFF"/>
                <w:w w:val="99"/>
              </w:rPr>
              <w:t>% of Target Portion</w:t>
            </w:r>
          </w:p>
        </w:tc>
        <w:tc>
          <w:tcPr>
            <w:tcW w:w="440" w:type="dxa"/>
            <w:vAlign w:val="bottom"/>
          </w:tcPr>
          <w:p>
            <w:pPr>
              <w:spacing w:after="0"/>
              <w:rPr>
                <w:sz w:val="17"/>
                <w:szCs w:val="17"/>
                <w:color w:val="auto"/>
              </w:rPr>
            </w:pPr>
          </w:p>
        </w:tc>
        <w:tc>
          <w:tcPr>
            <w:tcW w:w="2400" w:type="dxa"/>
            <w:vAlign w:val="bottom"/>
            <w:shd w:val="clear" w:color="auto" w:fill="508BC7"/>
          </w:tcPr>
          <w:p>
            <w:pPr>
              <w:jc w:val="center"/>
              <w:ind w:left="90"/>
              <w:spacing w:after="0" w:line="202" w:lineRule="exact"/>
              <w:rPr>
                <w:sz w:val="20"/>
                <w:szCs w:val="20"/>
                <w:color w:val="auto"/>
              </w:rPr>
            </w:pPr>
            <w:r>
              <w:rPr>
                <w:rFonts w:ascii="Arial" w:cs="Arial" w:eastAsia="Arial" w:hAnsi="Arial"/>
                <w:sz w:val="18"/>
                <w:szCs w:val="18"/>
                <w:b w:val="1"/>
                <w:bCs w:val="1"/>
                <w:color w:val="FFFFFF"/>
                <w:w w:val="99"/>
              </w:rPr>
              <w:t>Achieved Compared</w:t>
            </w:r>
          </w:p>
        </w:tc>
        <w:tc>
          <w:tcPr>
            <w:tcW w:w="2840" w:type="dxa"/>
            <w:vAlign w:val="bottom"/>
            <w:shd w:val="clear" w:color="auto" w:fill="508BC7"/>
          </w:tcPr>
          <w:p>
            <w:pPr>
              <w:jc w:val="center"/>
              <w:ind w:left="70"/>
              <w:spacing w:after="0" w:line="202" w:lineRule="exact"/>
              <w:rPr>
                <w:sz w:val="20"/>
                <w:szCs w:val="20"/>
                <w:color w:val="auto"/>
              </w:rPr>
            </w:pPr>
            <w:r>
              <w:rPr>
                <w:rFonts w:ascii="Arial" w:cs="Arial" w:eastAsia="Arial" w:hAnsi="Arial"/>
                <w:sz w:val="18"/>
                <w:szCs w:val="18"/>
                <w:b w:val="1"/>
                <w:bCs w:val="1"/>
                <w:color w:val="FFFFFF"/>
                <w:w w:val="98"/>
              </w:rPr>
              <w:t>% of Target Portion</w:t>
            </w:r>
          </w:p>
        </w:tc>
      </w:tr>
      <w:tr>
        <w:trPr>
          <w:trHeight w:val="239"/>
        </w:trPr>
        <w:tc>
          <w:tcPr>
            <w:tcW w:w="2820" w:type="dxa"/>
            <w:vAlign w:val="bottom"/>
            <w:shd w:val="clear" w:color="auto" w:fill="508BC7"/>
          </w:tcPr>
          <w:p>
            <w:pPr>
              <w:jc w:val="center"/>
              <w:ind w:left="190"/>
              <w:spacing w:after="0"/>
              <w:rPr>
                <w:sz w:val="20"/>
                <w:szCs w:val="20"/>
                <w:color w:val="auto"/>
              </w:rPr>
            </w:pPr>
            <w:r>
              <w:rPr>
                <w:rFonts w:ascii="Arial" w:cs="Arial" w:eastAsia="Arial" w:hAnsi="Arial"/>
                <w:sz w:val="18"/>
                <w:szCs w:val="18"/>
                <w:b w:val="1"/>
                <w:bCs w:val="1"/>
                <w:color w:val="FFFFFF"/>
                <w:w w:val="97"/>
              </w:rPr>
              <w:t>Target Goal</w:t>
            </w:r>
          </w:p>
        </w:tc>
        <w:tc>
          <w:tcPr>
            <w:tcW w:w="2920" w:type="dxa"/>
            <w:vAlign w:val="bottom"/>
            <w:shd w:val="clear" w:color="auto" w:fill="508BC7"/>
          </w:tcPr>
          <w:p>
            <w:pPr>
              <w:jc w:val="center"/>
              <w:ind w:left="190"/>
              <w:spacing w:after="0"/>
              <w:rPr>
                <w:sz w:val="20"/>
                <w:szCs w:val="20"/>
                <w:color w:val="auto"/>
              </w:rPr>
            </w:pPr>
            <w:r>
              <w:rPr>
                <w:rFonts w:ascii="Arial" w:cs="Arial" w:eastAsia="Arial" w:hAnsi="Arial"/>
                <w:sz w:val="18"/>
                <w:szCs w:val="18"/>
                <w:b w:val="1"/>
                <w:bCs w:val="1"/>
                <w:color w:val="FFFFFF"/>
                <w:w w:val="98"/>
              </w:rPr>
              <w:t>Funded</w:t>
            </w:r>
          </w:p>
        </w:tc>
        <w:tc>
          <w:tcPr>
            <w:tcW w:w="440" w:type="dxa"/>
            <w:vAlign w:val="bottom"/>
          </w:tcPr>
          <w:p>
            <w:pPr>
              <w:spacing w:after="0"/>
              <w:rPr>
                <w:sz w:val="20"/>
                <w:szCs w:val="20"/>
                <w:color w:val="auto"/>
              </w:rPr>
            </w:pPr>
          </w:p>
        </w:tc>
        <w:tc>
          <w:tcPr>
            <w:tcW w:w="2400" w:type="dxa"/>
            <w:vAlign w:val="bottom"/>
            <w:shd w:val="clear" w:color="auto" w:fill="508BC7"/>
          </w:tcPr>
          <w:p>
            <w:pPr>
              <w:jc w:val="center"/>
              <w:ind w:left="130"/>
              <w:spacing w:after="0"/>
              <w:rPr>
                <w:sz w:val="20"/>
                <w:szCs w:val="20"/>
                <w:color w:val="auto"/>
              </w:rPr>
            </w:pPr>
            <w:r>
              <w:rPr>
                <w:rFonts w:ascii="Arial" w:cs="Arial" w:eastAsia="Arial" w:hAnsi="Arial"/>
                <w:sz w:val="18"/>
                <w:szCs w:val="18"/>
                <w:b w:val="1"/>
                <w:bCs w:val="1"/>
                <w:color w:val="FFFFFF"/>
                <w:w w:val="99"/>
              </w:rPr>
              <w:t>to Target Goal</w:t>
            </w:r>
          </w:p>
        </w:tc>
        <w:tc>
          <w:tcPr>
            <w:tcW w:w="2840" w:type="dxa"/>
            <w:vAlign w:val="bottom"/>
            <w:shd w:val="clear" w:color="auto" w:fill="508BC7"/>
          </w:tcPr>
          <w:p>
            <w:pPr>
              <w:jc w:val="center"/>
              <w:ind w:left="130"/>
              <w:spacing w:after="0"/>
              <w:rPr>
                <w:sz w:val="20"/>
                <w:szCs w:val="20"/>
                <w:color w:val="auto"/>
              </w:rPr>
            </w:pPr>
            <w:r>
              <w:rPr>
                <w:rFonts w:ascii="Arial" w:cs="Arial" w:eastAsia="Arial" w:hAnsi="Arial"/>
                <w:sz w:val="18"/>
                <w:szCs w:val="18"/>
                <w:b w:val="1"/>
                <w:bCs w:val="1"/>
                <w:color w:val="FFFFFF"/>
              </w:rPr>
              <w:t>Funded</w:t>
            </w:r>
          </w:p>
        </w:tc>
      </w:tr>
      <w:tr>
        <w:trPr>
          <w:trHeight w:val="291"/>
        </w:trPr>
        <w:tc>
          <w:tcPr>
            <w:tcW w:w="2820" w:type="dxa"/>
            <w:vAlign w:val="bottom"/>
            <w:tcBorders>
              <w:bottom w:val="single" w:sz="8" w:color="D0E0F0"/>
            </w:tcBorders>
            <w:shd w:val="clear" w:color="auto" w:fill="D0E0F0"/>
          </w:tcPr>
          <w:p>
            <w:pPr>
              <w:jc w:val="center"/>
              <w:ind w:left="190"/>
              <w:spacing w:after="0"/>
              <w:rPr>
                <w:sz w:val="20"/>
                <w:szCs w:val="20"/>
                <w:color w:val="auto"/>
              </w:rPr>
            </w:pPr>
            <w:r>
              <w:rPr>
                <w:rFonts w:ascii="Arial" w:cs="Arial" w:eastAsia="Arial" w:hAnsi="Arial"/>
                <w:sz w:val="18"/>
                <w:szCs w:val="18"/>
                <w:color w:val="auto"/>
                <w:w w:val="99"/>
              </w:rPr>
              <w:t>Less than 90%</w:t>
            </w:r>
          </w:p>
        </w:tc>
        <w:tc>
          <w:tcPr>
            <w:tcW w:w="2920" w:type="dxa"/>
            <w:vAlign w:val="bottom"/>
            <w:tcBorders>
              <w:bottom w:val="single" w:sz="8" w:color="D0E0F0"/>
            </w:tcBorders>
            <w:shd w:val="clear" w:color="auto" w:fill="D0E0F0"/>
          </w:tcPr>
          <w:p>
            <w:pPr>
              <w:jc w:val="right"/>
              <w:ind w:right="107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4"/>
                <w:szCs w:val="24"/>
                <w:color w:val="auto"/>
              </w:rPr>
            </w:pPr>
          </w:p>
        </w:tc>
        <w:tc>
          <w:tcPr>
            <w:tcW w:w="2400" w:type="dxa"/>
            <w:vAlign w:val="bottom"/>
            <w:tcBorders>
              <w:bottom w:val="single" w:sz="8" w:color="D0E0F0"/>
            </w:tcBorders>
            <w:shd w:val="clear" w:color="auto" w:fill="D0E0F0"/>
          </w:tcPr>
          <w:p>
            <w:pPr>
              <w:jc w:val="center"/>
              <w:ind w:left="130"/>
              <w:spacing w:after="0"/>
              <w:rPr>
                <w:sz w:val="20"/>
                <w:szCs w:val="20"/>
                <w:color w:val="auto"/>
              </w:rPr>
            </w:pPr>
            <w:r>
              <w:rPr>
                <w:rFonts w:ascii="Arial" w:cs="Arial" w:eastAsia="Arial" w:hAnsi="Arial"/>
                <w:sz w:val="18"/>
                <w:szCs w:val="18"/>
                <w:color w:val="auto"/>
                <w:w w:val="99"/>
              </w:rPr>
              <w:t>Less than 90%</w:t>
            </w:r>
          </w:p>
        </w:tc>
        <w:tc>
          <w:tcPr>
            <w:tcW w:w="2840" w:type="dxa"/>
            <w:vAlign w:val="bottom"/>
            <w:tcBorders>
              <w:bottom w:val="single" w:sz="8" w:color="D0E0F0"/>
            </w:tcBorders>
            <w:shd w:val="clear" w:color="auto" w:fill="D0E0F0"/>
          </w:tcPr>
          <w:p>
            <w:pPr>
              <w:jc w:val="right"/>
              <w:ind w:right="1070"/>
              <w:spacing w:after="0"/>
              <w:rPr>
                <w:sz w:val="20"/>
                <w:szCs w:val="20"/>
                <w:color w:val="auto"/>
              </w:rPr>
            </w:pPr>
            <w:r>
              <w:rPr>
                <w:rFonts w:ascii="Arial" w:cs="Arial" w:eastAsia="Arial" w:hAnsi="Arial"/>
                <w:sz w:val="18"/>
                <w:szCs w:val="18"/>
                <w:color w:val="auto"/>
              </w:rPr>
              <w:t>0%</w:t>
            </w:r>
          </w:p>
        </w:tc>
      </w:tr>
      <w:tr>
        <w:trPr>
          <w:trHeight w:val="270"/>
        </w:trPr>
        <w:tc>
          <w:tcPr>
            <w:tcW w:w="2820" w:type="dxa"/>
            <w:vAlign w:val="bottom"/>
          </w:tcPr>
          <w:p>
            <w:pPr>
              <w:jc w:val="center"/>
              <w:ind w:left="190"/>
              <w:spacing w:after="0"/>
              <w:rPr>
                <w:sz w:val="20"/>
                <w:szCs w:val="20"/>
                <w:color w:val="auto"/>
              </w:rPr>
            </w:pPr>
            <w:r>
              <w:rPr>
                <w:rFonts w:ascii="Arial" w:cs="Arial" w:eastAsia="Arial" w:hAnsi="Arial"/>
                <w:sz w:val="18"/>
                <w:szCs w:val="18"/>
                <w:color w:val="auto"/>
                <w:w w:val="99"/>
              </w:rPr>
              <w:t>At 90%</w:t>
            </w:r>
          </w:p>
        </w:tc>
        <w:tc>
          <w:tcPr>
            <w:tcW w:w="2920" w:type="dxa"/>
            <w:vAlign w:val="bottom"/>
          </w:tcPr>
          <w:p>
            <w:pPr>
              <w:jc w:val="center"/>
              <w:ind w:left="190"/>
              <w:spacing w:after="0"/>
              <w:rPr>
                <w:sz w:val="20"/>
                <w:szCs w:val="20"/>
                <w:color w:val="auto"/>
              </w:rPr>
            </w:pPr>
            <w:r>
              <w:rPr>
                <w:rFonts w:ascii="Arial" w:cs="Arial" w:eastAsia="Arial" w:hAnsi="Arial"/>
                <w:sz w:val="18"/>
                <w:szCs w:val="18"/>
                <w:color w:val="auto"/>
                <w:w w:val="99"/>
              </w:rPr>
              <w:t>25%</w:t>
            </w:r>
          </w:p>
        </w:tc>
        <w:tc>
          <w:tcPr>
            <w:tcW w:w="440" w:type="dxa"/>
            <w:vAlign w:val="bottom"/>
          </w:tcPr>
          <w:p>
            <w:pPr>
              <w:spacing w:after="0"/>
              <w:rPr>
                <w:sz w:val="23"/>
                <w:szCs w:val="23"/>
                <w:color w:val="auto"/>
              </w:rPr>
            </w:pPr>
          </w:p>
        </w:tc>
        <w:tc>
          <w:tcPr>
            <w:tcW w:w="2400" w:type="dxa"/>
            <w:vAlign w:val="bottom"/>
          </w:tcPr>
          <w:p>
            <w:pPr>
              <w:jc w:val="center"/>
              <w:ind w:left="130"/>
              <w:spacing w:after="0"/>
              <w:rPr>
                <w:sz w:val="20"/>
                <w:szCs w:val="20"/>
                <w:color w:val="auto"/>
              </w:rPr>
            </w:pPr>
            <w:r>
              <w:rPr>
                <w:rFonts w:ascii="Arial" w:cs="Arial" w:eastAsia="Arial" w:hAnsi="Arial"/>
                <w:sz w:val="18"/>
                <w:szCs w:val="18"/>
                <w:color w:val="auto"/>
                <w:w w:val="99"/>
              </w:rPr>
              <w:t>At 90%</w:t>
            </w:r>
          </w:p>
        </w:tc>
        <w:tc>
          <w:tcPr>
            <w:tcW w:w="2840" w:type="dxa"/>
            <w:vAlign w:val="bottom"/>
          </w:tcPr>
          <w:p>
            <w:pPr>
              <w:jc w:val="center"/>
              <w:ind w:left="130"/>
              <w:spacing w:after="0"/>
              <w:rPr>
                <w:sz w:val="20"/>
                <w:szCs w:val="20"/>
                <w:color w:val="auto"/>
              </w:rPr>
            </w:pPr>
            <w:r>
              <w:rPr>
                <w:rFonts w:ascii="Arial" w:cs="Arial" w:eastAsia="Arial" w:hAnsi="Arial"/>
                <w:sz w:val="18"/>
                <w:szCs w:val="18"/>
                <w:color w:val="auto"/>
              </w:rPr>
              <w:t>25%</w:t>
            </w:r>
          </w:p>
        </w:tc>
      </w:tr>
      <w:tr>
        <w:trPr>
          <w:trHeight w:val="41"/>
        </w:trPr>
        <w:tc>
          <w:tcPr>
            <w:tcW w:w="28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56"/>
        </w:trPr>
        <w:tc>
          <w:tcPr>
            <w:tcW w:w="2820" w:type="dxa"/>
            <w:vAlign w:val="bottom"/>
            <w:shd w:val="clear" w:color="auto" w:fill="D0E0F0"/>
          </w:tcPr>
          <w:p>
            <w:pPr>
              <w:jc w:val="center"/>
              <w:ind w:left="190"/>
              <w:spacing w:after="0"/>
              <w:rPr>
                <w:sz w:val="20"/>
                <w:szCs w:val="20"/>
                <w:color w:val="auto"/>
              </w:rPr>
            </w:pPr>
            <w:r>
              <w:rPr>
                <w:rFonts w:ascii="Arial" w:cs="Arial" w:eastAsia="Arial" w:hAnsi="Arial"/>
                <w:sz w:val="18"/>
                <w:szCs w:val="18"/>
                <w:color w:val="auto"/>
                <w:w w:val="99"/>
              </w:rPr>
              <w:t>From 90% to 100%</w:t>
            </w:r>
          </w:p>
        </w:tc>
        <w:tc>
          <w:tcPr>
            <w:tcW w:w="2920" w:type="dxa"/>
            <w:vAlign w:val="bottom"/>
            <w:shd w:val="clear" w:color="auto" w:fill="D0E0F0"/>
          </w:tcPr>
          <w:p>
            <w:pPr>
              <w:jc w:val="center"/>
              <w:ind w:left="190"/>
              <w:spacing w:after="0"/>
              <w:rPr>
                <w:sz w:val="20"/>
                <w:szCs w:val="20"/>
                <w:color w:val="auto"/>
              </w:rPr>
            </w:pPr>
            <w:r>
              <w:rPr>
                <w:rFonts w:ascii="Arial" w:cs="Arial" w:eastAsia="Arial" w:hAnsi="Arial"/>
                <w:sz w:val="18"/>
                <w:szCs w:val="18"/>
                <w:color w:val="auto"/>
              </w:rPr>
              <w:t>Linear interpolation from 25% to</w:t>
            </w:r>
          </w:p>
        </w:tc>
        <w:tc>
          <w:tcPr>
            <w:tcW w:w="440" w:type="dxa"/>
            <w:vAlign w:val="bottom"/>
          </w:tcPr>
          <w:p>
            <w:pPr>
              <w:spacing w:after="0"/>
              <w:rPr>
                <w:sz w:val="22"/>
                <w:szCs w:val="22"/>
                <w:color w:val="auto"/>
              </w:rPr>
            </w:pPr>
          </w:p>
        </w:tc>
        <w:tc>
          <w:tcPr>
            <w:tcW w:w="2400" w:type="dxa"/>
            <w:vAlign w:val="bottom"/>
            <w:shd w:val="clear" w:color="auto" w:fill="D0E0F0"/>
          </w:tcPr>
          <w:p>
            <w:pPr>
              <w:jc w:val="center"/>
              <w:ind w:left="130"/>
              <w:spacing w:after="0"/>
              <w:rPr>
                <w:sz w:val="20"/>
                <w:szCs w:val="20"/>
                <w:color w:val="auto"/>
              </w:rPr>
            </w:pPr>
            <w:r>
              <w:rPr>
                <w:rFonts w:ascii="Arial" w:cs="Arial" w:eastAsia="Arial" w:hAnsi="Arial"/>
                <w:sz w:val="18"/>
                <w:szCs w:val="18"/>
                <w:color w:val="auto"/>
                <w:w w:val="99"/>
              </w:rPr>
              <w:t>From 90% to 100%</w:t>
            </w:r>
          </w:p>
        </w:tc>
        <w:tc>
          <w:tcPr>
            <w:tcW w:w="2840" w:type="dxa"/>
            <w:vAlign w:val="bottom"/>
            <w:shd w:val="clear" w:color="auto" w:fill="D0E0F0"/>
          </w:tcPr>
          <w:p>
            <w:pPr>
              <w:jc w:val="center"/>
              <w:ind w:left="130"/>
              <w:spacing w:after="0"/>
              <w:rPr>
                <w:sz w:val="20"/>
                <w:szCs w:val="20"/>
                <w:color w:val="auto"/>
              </w:rPr>
            </w:pPr>
            <w:r>
              <w:rPr>
                <w:rFonts w:ascii="Arial" w:cs="Arial" w:eastAsia="Arial" w:hAnsi="Arial"/>
                <w:sz w:val="18"/>
                <w:szCs w:val="18"/>
                <w:color w:val="auto"/>
                <w:w w:val="99"/>
              </w:rPr>
              <w:t>Linear interpolation from 25% to</w:t>
            </w:r>
          </w:p>
        </w:tc>
      </w:tr>
      <w:tr>
        <w:trPr>
          <w:trHeight w:val="237"/>
        </w:trPr>
        <w:tc>
          <w:tcPr>
            <w:tcW w:w="2820" w:type="dxa"/>
            <w:vAlign w:val="bottom"/>
            <w:tcBorders>
              <w:bottom w:val="single" w:sz="8" w:color="D0E0F0"/>
            </w:tcBorders>
            <w:shd w:val="clear" w:color="auto" w:fill="D0E0F0"/>
          </w:tcPr>
          <w:p>
            <w:pPr>
              <w:spacing w:after="0"/>
              <w:rPr>
                <w:sz w:val="20"/>
                <w:szCs w:val="20"/>
                <w:color w:val="auto"/>
              </w:rPr>
            </w:pPr>
          </w:p>
        </w:tc>
        <w:tc>
          <w:tcPr>
            <w:tcW w:w="2920" w:type="dxa"/>
            <w:vAlign w:val="bottom"/>
            <w:tcBorders>
              <w:bottom w:val="single" w:sz="8" w:color="D0E0F0"/>
            </w:tcBorders>
            <w:shd w:val="clear" w:color="auto" w:fill="D0E0F0"/>
          </w:tcPr>
          <w:p>
            <w:pPr>
              <w:jc w:val="center"/>
              <w:ind w:left="170"/>
              <w:spacing w:after="0"/>
              <w:rPr>
                <w:sz w:val="20"/>
                <w:szCs w:val="20"/>
                <w:color w:val="auto"/>
              </w:rPr>
            </w:pPr>
            <w:r>
              <w:rPr>
                <w:rFonts w:ascii="Arial" w:cs="Arial" w:eastAsia="Arial" w:hAnsi="Arial"/>
                <w:sz w:val="18"/>
                <w:szCs w:val="18"/>
                <w:color w:val="auto"/>
                <w:w w:val="99"/>
              </w:rPr>
              <w:t>100%</w:t>
            </w:r>
          </w:p>
        </w:tc>
        <w:tc>
          <w:tcPr>
            <w:tcW w:w="440" w:type="dxa"/>
            <w:vAlign w:val="bottom"/>
          </w:tcPr>
          <w:p>
            <w:pPr>
              <w:spacing w:after="0"/>
              <w:rPr>
                <w:sz w:val="20"/>
                <w:szCs w:val="20"/>
                <w:color w:val="auto"/>
              </w:rPr>
            </w:pPr>
          </w:p>
        </w:tc>
        <w:tc>
          <w:tcPr>
            <w:tcW w:w="2400" w:type="dxa"/>
            <w:vAlign w:val="bottom"/>
            <w:tcBorders>
              <w:bottom w:val="single" w:sz="8" w:color="D0E0F0"/>
            </w:tcBorders>
            <w:shd w:val="clear" w:color="auto" w:fill="D0E0F0"/>
          </w:tcPr>
          <w:p>
            <w:pPr>
              <w:spacing w:after="0"/>
              <w:rPr>
                <w:sz w:val="20"/>
                <w:szCs w:val="20"/>
                <w:color w:val="auto"/>
              </w:rPr>
            </w:pPr>
          </w:p>
        </w:tc>
        <w:tc>
          <w:tcPr>
            <w:tcW w:w="2840" w:type="dxa"/>
            <w:vAlign w:val="bottom"/>
            <w:tcBorders>
              <w:bottom w:val="single" w:sz="8" w:color="D0E0F0"/>
            </w:tcBorders>
            <w:shd w:val="clear" w:color="auto" w:fill="D0E0F0"/>
          </w:tcPr>
          <w:p>
            <w:pPr>
              <w:jc w:val="center"/>
              <w:ind w:left="130"/>
              <w:spacing w:after="0"/>
              <w:rPr>
                <w:sz w:val="20"/>
                <w:szCs w:val="20"/>
                <w:color w:val="auto"/>
              </w:rPr>
            </w:pPr>
            <w:r>
              <w:rPr>
                <w:rFonts w:ascii="Arial" w:cs="Arial" w:eastAsia="Arial" w:hAnsi="Arial"/>
                <w:sz w:val="18"/>
                <w:szCs w:val="18"/>
                <w:color w:val="auto"/>
                <w:w w:val="99"/>
              </w:rPr>
              <w:t>100%</w:t>
            </w:r>
          </w:p>
        </w:tc>
      </w:tr>
      <w:tr>
        <w:trPr>
          <w:trHeight w:val="270"/>
        </w:trPr>
        <w:tc>
          <w:tcPr>
            <w:tcW w:w="2820" w:type="dxa"/>
            <w:vAlign w:val="bottom"/>
          </w:tcPr>
          <w:p>
            <w:pPr>
              <w:jc w:val="center"/>
              <w:ind w:left="210"/>
              <w:spacing w:after="0"/>
              <w:rPr>
                <w:sz w:val="20"/>
                <w:szCs w:val="20"/>
                <w:color w:val="auto"/>
              </w:rPr>
            </w:pPr>
            <w:r>
              <w:rPr>
                <w:rFonts w:ascii="Arial" w:cs="Arial" w:eastAsia="Arial" w:hAnsi="Arial"/>
                <w:sz w:val="18"/>
                <w:szCs w:val="18"/>
                <w:color w:val="auto"/>
                <w:w w:val="99"/>
              </w:rPr>
              <w:t>At 100%</w:t>
            </w:r>
          </w:p>
        </w:tc>
        <w:tc>
          <w:tcPr>
            <w:tcW w:w="2920" w:type="dxa"/>
            <w:vAlign w:val="bottom"/>
          </w:tcPr>
          <w:p>
            <w:pPr>
              <w:jc w:val="center"/>
              <w:ind w:left="170"/>
              <w:spacing w:after="0"/>
              <w:rPr>
                <w:sz w:val="20"/>
                <w:szCs w:val="20"/>
                <w:color w:val="auto"/>
              </w:rPr>
            </w:pPr>
            <w:r>
              <w:rPr>
                <w:rFonts w:ascii="Arial" w:cs="Arial" w:eastAsia="Arial" w:hAnsi="Arial"/>
                <w:sz w:val="18"/>
                <w:szCs w:val="18"/>
                <w:color w:val="auto"/>
                <w:w w:val="99"/>
              </w:rPr>
              <w:t>100%</w:t>
            </w:r>
          </w:p>
        </w:tc>
        <w:tc>
          <w:tcPr>
            <w:tcW w:w="440" w:type="dxa"/>
            <w:vAlign w:val="bottom"/>
          </w:tcPr>
          <w:p>
            <w:pPr>
              <w:spacing w:after="0"/>
              <w:rPr>
                <w:sz w:val="23"/>
                <w:szCs w:val="23"/>
                <w:color w:val="auto"/>
              </w:rPr>
            </w:pPr>
          </w:p>
        </w:tc>
        <w:tc>
          <w:tcPr>
            <w:tcW w:w="2400" w:type="dxa"/>
            <w:vAlign w:val="bottom"/>
          </w:tcPr>
          <w:p>
            <w:pPr>
              <w:jc w:val="center"/>
              <w:ind w:left="130"/>
              <w:spacing w:after="0"/>
              <w:rPr>
                <w:sz w:val="20"/>
                <w:szCs w:val="20"/>
                <w:color w:val="auto"/>
              </w:rPr>
            </w:pPr>
            <w:r>
              <w:rPr>
                <w:rFonts w:ascii="Arial" w:cs="Arial" w:eastAsia="Arial" w:hAnsi="Arial"/>
                <w:sz w:val="18"/>
                <w:szCs w:val="18"/>
                <w:color w:val="auto"/>
              </w:rPr>
              <w:t>At 100%</w:t>
            </w:r>
          </w:p>
        </w:tc>
        <w:tc>
          <w:tcPr>
            <w:tcW w:w="2840" w:type="dxa"/>
            <w:vAlign w:val="bottom"/>
          </w:tcPr>
          <w:p>
            <w:pPr>
              <w:jc w:val="center"/>
              <w:ind w:left="130"/>
              <w:spacing w:after="0"/>
              <w:rPr>
                <w:sz w:val="20"/>
                <w:szCs w:val="20"/>
                <w:color w:val="auto"/>
              </w:rPr>
            </w:pPr>
            <w:r>
              <w:rPr>
                <w:rFonts w:ascii="Arial" w:cs="Arial" w:eastAsia="Arial" w:hAnsi="Arial"/>
                <w:sz w:val="18"/>
                <w:szCs w:val="18"/>
                <w:color w:val="auto"/>
                <w:w w:val="99"/>
              </w:rPr>
              <w:t>100%</w:t>
            </w:r>
          </w:p>
        </w:tc>
      </w:tr>
      <w:tr>
        <w:trPr>
          <w:trHeight w:val="41"/>
        </w:trPr>
        <w:tc>
          <w:tcPr>
            <w:tcW w:w="28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56"/>
        </w:trPr>
        <w:tc>
          <w:tcPr>
            <w:tcW w:w="2820" w:type="dxa"/>
            <w:vAlign w:val="bottom"/>
            <w:shd w:val="clear" w:color="auto" w:fill="D0E0F0"/>
          </w:tcPr>
          <w:p>
            <w:pPr>
              <w:jc w:val="center"/>
              <w:ind w:left="210"/>
              <w:spacing w:after="0"/>
              <w:rPr>
                <w:sz w:val="20"/>
                <w:szCs w:val="20"/>
                <w:color w:val="auto"/>
              </w:rPr>
            </w:pPr>
            <w:r>
              <w:rPr>
                <w:rFonts w:ascii="Arial" w:cs="Arial" w:eastAsia="Arial" w:hAnsi="Arial"/>
                <w:sz w:val="18"/>
                <w:szCs w:val="18"/>
                <w:color w:val="auto"/>
                <w:w w:val="99"/>
              </w:rPr>
              <w:t>From 100% to 110%</w:t>
            </w:r>
          </w:p>
        </w:tc>
        <w:tc>
          <w:tcPr>
            <w:tcW w:w="2920" w:type="dxa"/>
            <w:vAlign w:val="bottom"/>
            <w:shd w:val="clear" w:color="auto" w:fill="D0E0F0"/>
          </w:tcPr>
          <w:p>
            <w:pPr>
              <w:jc w:val="center"/>
              <w:ind w:left="190"/>
              <w:spacing w:after="0"/>
              <w:rPr>
                <w:sz w:val="20"/>
                <w:szCs w:val="20"/>
                <w:color w:val="auto"/>
              </w:rPr>
            </w:pPr>
            <w:r>
              <w:rPr>
                <w:rFonts w:ascii="Arial" w:cs="Arial" w:eastAsia="Arial" w:hAnsi="Arial"/>
                <w:sz w:val="18"/>
                <w:szCs w:val="18"/>
                <w:color w:val="auto"/>
                <w:w w:val="99"/>
              </w:rPr>
              <w:t>Linear interpolation from 100%</w:t>
            </w:r>
          </w:p>
        </w:tc>
        <w:tc>
          <w:tcPr>
            <w:tcW w:w="440" w:type="dxa"/>
            <w:vAlign w:val="bottom"/>
          </w:tcPr>
          <w:p>
            <w:pPr>
              <w:spacing w:after="0"/>
              <w:rPr>
                <w:sz w:val="22"/>
                <w:szCs w:val="22"/>
                <w:color w:val="auto"/>
              </w:rPr>
            </w:pPr>
          </w:p>
        </w:tc>
        <w:tc>
          <w:tcPr>
            <w:tcW w:w="2400" w:type="dxa"/>
            <w:vAlign w:val="bottom"/>
            <w:shd w:val="clear" w:color="auto" w:fill="D0E0F0"/>
          </w:tcPr>
          <w:p>
            <w:pPr>
              <w:jc w:val="center"/>
              <w:ind w:left="130"/>
              <w:spacing w:after="0"/>
              <w:rPr>
                <w:sz w:val="20"/>
                <w:szCs w:val="20"/>
                <w:color w:val="auto"/>
              </w:rPr>
            </w:pPr>
            <w:r>
              <w:rPr>
                <w:rFonts w:ascii="Arial" w:cs="Arial" w:eastAsia="Arial" w:hAnsi="Arial"/>
                <w:sz w:val="18"/>
                <w:szCs w:val="18"/>
                <w:color w:val="auto"/>
              </w:rPr>
              <w:t>From 100% to 110%</w:t>
            </w:r>
          </w:p>
        </w:tc>
        <w:tc>
          <w:tcPr>
            <w:tcW w:w="2840" w:type="dxa"/>
            <w:vAlign w:val="bottom"/>
            <w:shd w:val="clear" w:color="auto" w:fill="D0E0F0"/>
          </w:tcPr>
          <w:p>
            <w:pPr>
              <w:jc w:val="center"/>
              <w:ind w:left="130"/>
              <w:spacing w:after="0"/>
              <w:rPr>
                <w:sz w:val="20"/>
                <w:szCs w:val="20"/>
                <w:color w:val="auto"/>
              </w:rPr>
            </w:pPr>
            <w:r>
              <w:rPr>
                <w:rFonts w:ascii="Arial" w:cs="Arial" w:eastAsia="Arial" w:hAnsi="Arial"/>
                <w:sz w:val="18"/>
                <w:szCs w:val="18"/>
                <w:color w:val="auto"/>
              </w:rPr>
              <w:t>Linear interpolation from 100%</w:t>
            </w:r>
          </w:p>
        </w:tc>
      </w:tr>
      <w:tr>
        <w:trPr>
          <w:trHeight w:val="237"/>
        </w:trPr>
        <w:tc>
          <w:tcPr>
            <w:tcW w:w="2820" w:type="dxa"/>
            <w:vAlign w:val="bottom"/>
            <w:tcBorders>
              <w:bottom w:val="single" w:sz="8" w:color="D0E0F0"/>
            </w:tcBorders>
            <w:shd w:val="clear" w:color="auto" w:fill="D0E0F0"/>
          </w:tcPr>
          <w:p>
            <w:pPr>
              <w:spacing w:after="0"/>
              <w:rPr>
                <w:sz w:val="20"/>
                <w:szCs w:val="20"/>
                <w:color w:val="auto"/>
              </w:rPr>
            </w:pPr>
          </w:p>
        </w:tc>
        <w:tc>
          <w:tcPr>
            <w:tcW w:w="2920" w:type="dxa"/>
            <w:vAlign w:val="bottom"/>
            <w:tcBorders>
              <w:bottom w:val="single" w:sz="8" w:color="D0E0F0"/>
            </w:tcBorders>
            <w:shd w:val="clear" w:color="auto" w:fill="D0E0F0"/>
          </w:tcPr>
          <w:p>
            <w:pPr>
              <w:jc w:val="center"/>
              <w:ind w:left="170"/>
              <w:spacing w:after="0"/>
              <w:rPr>
                <w:sz w:val="20"/>
                <w:szCs w:val="20"/>
                <w:color w:val="auto"/>
              </w:rPr>
            </w:pPr>
            <w:r>
              <w:rPr>
                <w:rFonts w:ascii="Arial" w:cs="Arial" w:eastAsia="Arial" w:hAnsi="Arial"/>
                <w:sz w:val="18"/>
                <w:szCs w:val="18"/>
                <w:color w:val="auto"/>
                <w:w w:val="99"/>
              </w:rPr>
              <w:t>to 200%</w:t>
            </w:r>
          </w:p>
        </w:tc>
        <w:tc>
          <w:tcPr>
            <w:tcW w:w="440" w:type="dxa"/>
            <w:vAlign w:val="bottom"/>
          </w:tcPr>
          <w:p>
            <w:pPr>
              <w:spacing w:after="0"/>
              <w:rPr>
                <w:sz w:val="20"/>
                <w:szCs w:val="20"/>
                <w:color w:val="auto"/>
              </w:rPr>
            </w:pPr>
          </w:p>
        </w:tc>
        <w:tc>
          <w:tcPr>
            <w:tcW w:w="2400" w:type="dxa"/>
            <w:vAlign w:val="bottom"/>
            <w:tcBorders>
              <w:bottom w:val="single" w:sz="8" w:color="D0E0F0"/>
            </w:tcBorders>
            <w:shd w:val="clear" w:color="auto" w:fill="D0E0F0"/>
          </w:tcPr>
          <w:p>
            <w:pPr>
              <w:spacing w:after="0"/>
              <w:rPr>
                <w:sz w:val="20"/>
                <w:szCs w:val="20"/>
                <w:color w:val="auto"/>
              </w:rPr>
            </w:pPr>
          </w:p>
        </w:tc>
        <w:tc>
          <w:tcPr>
            <w:tcW w:w="2840" w:type="dxa"/>
            <w:vAlign w:val="bottom"/>
            <w:tcBorders>
              <w:bottom w:val="single" w:sz="8" w:color="D0E0F0"/>
            </w:tcBorders>
            <w:shd w:val="clear" w:color="auto" w:fill="D0E0F0"/>
          </w:tcPr>
          <w:p>
            <w:pPr>
              <w:jc w:val="center"/>
              <w:ind w:left="130"/>
              <w:spacing w:after="0"/>
              <w:rPr>
                <w:sz w:val="20"/>
                <w:szCs w:val="20"/>
                <w:color w:val="auto"/>
              </w:rPr>
            </w:pPr>
            <w:r>
              <w:rPr>
                <w:rFonts w:ascii="Arial" w:cs="Arial" w:eastAsia="Arial" w:hAnsi="Arial"/>
                <w:sz w:val="18"/>
                <w:szCs w:val="18"/>
                <w:color w:val="auto"/>
                <w:w w:val="99"/>
              </w:rPr>
              <w:t>to 200%</w:t>
            </w:r>
          </w:p>
        </w:tc>
      </w:tr>
      <w:tr>
        <w:trPr>
          <w:trHeight w:val="270"/>
        </w:trPr>
        <w:tc>
          <w:tcPr>
            <w:tcW w:w="2820" w:type="dxa"/>
            <w:vAlign w:val="bottom"/>
          </w:tcPr>
          <w:p>
            <w:pPr>
              <w:jc w:val="center"/>
              <w:ind w:left="190"/>
              <w:spacing w:after="0"/>
              <w:rPr>
                <w:sz w:val="20"/>
                <w:szCs w:val="20"/>
                <w:color w:val="auto"/>
              </w:rPr>
            </w:pPr>
            <w:r>
              <w:rPr>
                <w:rFonts w:ascii="Arial" w:cs="Arial" w:eastAsia="Arial" w:hAnsi="Arial"/>
                <w:sz w:val="18"/>
                <w:szCs w:val="18"/>
                <w:color w:val="auto"/>
                <w:w w:val="99"/>
              </w:rPr>
              <w:t>Above 110%</w:t>
            </w:r>
          </w:p>
        </w:tc>
        <w:tc>
          <w:tcPr>
            <w:tcW w:w="2920" w:type="dxa"/>
            <w:vAlign w:val="bottom"/>
          </w:tcPr>
          <w:p>
            <w:pPr>
              <w:jc w:val="center"/>
              <w:ind w:left="170"/>
              <w:spacing w:after="0"/>
              <w:rPr>
                <w:sz w:val="20"/>
                <w:szCs w:val="20"/>
                <w:color w:val="auto"/>
              </w:rPr>
            </w:pPr>
            <w:r>
              <w:rPr>
                <w:rFonts w:ascii="Arial" w:cs="Arial" w:eastAsia="Arial" w:hAnsi="Arial"/>
                <w:sz w:val="18"/>
                <w:szCs w:val="18"/>
                <w:color w:val="auto"/>
                <w:w w:val="99"/>
              </w:rPr>
              <w:t>200%</w:t>
            </w:r>
          </w:p>
        </w:tc>
        <w:tc>
          <w:tcPr>
            <w:tcW w:w="440" w:type="dxa"/>
            <w:vAlign w:val="bottom"/>
          </w:tcPr>
          <w:p>
            <w:pPr>
              <w:spacing w:after="0"/>
              <w:rPr>
                <w:sz w:val="23"/>
                <w:szCs w:val="23"/>
                <w:color w:val="auto"/>
              </w:rPr>
            </w:pPr>
          </w:p>
        </w:tc>
        <w:tc>
          <w:tcPr>
            <w:tcW w:w="2400" w:type="dxa"/>
            <w:vAlign w:val="bottom"/>
          </w:tcPr>
          <w:p>
            <w:pPr>
              <w:jc w:val="center"/>
              <w:ind w:left="130"/>
              <w:spacing w:after="0"/>
              <w:rPr>
                <w:sz w:val="20"/>
                <w:szCs w:val="20"/>
                <w:color w:val="auto"/>
              </w:rPr>
            </w:pPr>
            <w:r>
              <w:rPr>
                <w:rFonts w:ascii="Arial" w:cs="Arial" w:eastAsia="Arial" w:hAnsi="Arial"/>
                <w:sz w:val="18"/>
                <w:szCs w:val="18"/>
                <w:color w:val="auto"/>
                <w:w w:val="99"/>
              </w:rPr>
              <w:t>Above 110%</w:t>
            </w:r>
          </w:p>
        </w:tc>
        <w:tc>
          <w:tcPr>
            <w:tcW w:w="2840" w:type="dxa"/>
            <w:vAlign w:val="bottom"/>
          </w:tcPr>
          <w:p>
            <w:pPr>
              <w:jc w:val="center"/>
              <w:ind w:left="130"/>
              <w:spacing w:after="0"/>
              <w:rPr>
                <w:sz w:val="20"/>
                <w:szCs w:val="20"/>
                <w:color w:val="auto"/>
              </w:rPr>
            </w:pPr>
            <w:r>
              <w:rPr>
                <w:rFonts w:ascii="Arial" w:cs="Arial" w:eastAsia="Arial" w:hAnsi="Arial"/>
                <w:sz w:val="18"/>
                <w:szCs w:val="18"/>
                <w:color w:val="auto"/>
                <w:w w:val="99"/>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-1860550</wp:posOffset>
            </wp:positionV>
            <wp:extent cx="71266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22" w:lineRule="exact"/>
        <w:rPr>
          <w:sz w:val="20"/>
          <w:szCs w:val="20"/>
          <w:color w:val="auto"/>
        </w:rPr>
      </w:pPr>
    </w:p>
    <w:p>
      <w:pPr>
        <w:jc w:val="both"/>
        <w:ind w:left="340" w:right="360" w:firstLine="492"/>
        <w:spacing w:after="0"/>
        <w:rPr>
          <w:sz w:val="20"/>
          <w:szCs w:val="20"/>
          <w:color w:val="auto"/>
        </w:rPr>
      </w:pPr>
      <w:r>
        <w:rPr>
          <w:rFonts w:ascii="Arial" w:cs="Arial" w:eastAsia="Arial" w:hAnsi="Arial"/>
          <w:sz w:val="18"/>
          <w:szCs w:val="18"/>
          <w:color w:val="auto"/>
        </w:rPr>
        <w:t>In 2016, our Compensation Committee established an Adjusted EPS target of $2.35 and a stretch revenue target of $715 million. Based on our performance during the 2016 fiscal year, we achieved 99% of our Adjusted EPS target, and 96.2% of our stretch revenue target.</w:t>
      </w:r>
    </w:p>
    <w:p>
      <w:pPr>
        <w:spacing w:after="0" w:line="189" w:lineRule="exact"/>
        <w:rPr>
          <w:sz w:val="20"/>
          <w:szCs w:val="20"/>
          <w:color w:val="auto"/>
        </w:rPr>
      </w:pPr>
    </w:p>
    <w:p>
      <w:pPr>
        <w:ind w:left="340" w:right="20" w:firstLine="486"/>
        <w:spacing w:after="0" w:line="246" w:lineRule="auto"/>
        <w:rPr>
          <w:sz w:val="20"/>
          <w:szCs w:val="20"/>
          <w:color w:val="auto"/>
        </w:rPr>
      </w:pPr>
      <w:r>
        <w:rPr>
          <w:rFonts w:ascii="Arial" w:cs="Arial" w:eastAsia="Arial" w:hAnsi="Arial"/>
          <w:sz w:val="18"/>
          <w:szCs w:val="18"/>
          <w:color w:val="auto"/>
        </w:rPr>
        <w:t>The bonus pool funding for employees whose bonuses are tied to the performance of specific business lines is determined by targets established for such businesses by our Compensation Committee.</w:t>
      </w:r>
    </w:p>
    <w:p>
      <w:pPr>
        <w:spacing w:after="0" w:line="165" w:lineRule="exact"/>
        <w:rPr>
          <w:sz w:val="20"/>
          <w:szCs w:val="20"/>
          <w:color w:val="auto"/>
        </w:rPr>
      </w:pPr>
    </w:p>
    <w:p>
      <w:pPr>
        <w:ind w:left="340" w:right="80" w:hanging="332"/>
        <w:spacing w:after="0" w:line="23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Individual Performance Measures</w:t>
      </w:r>
      <w:r>
        <w:rPr>
          <w:rFonts w:ascii="Arial" w:cs="Arial" w:eastAsia="Arial" w:hAnsi="Arial"/>
          <w:sz w:val="18"/>
          <w:szCs w:val="18"/>
          <w:color w:val="auto"/>
        </w:rPr>
        <w:t>. As discussed above, each of our named executive officers earns a portion of his respective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bonuses based on the achievement of individual performance measures. These goals are designed to balance the attention of our named executive officers between the achievement of near-term objectives that improve specific processes or performance metrics and long-term objectives for us. While some of the goals are subjective, other goals, such as client and employee satisfaction metrics, are capable of objective measurement. The individual performance measures are generally based on strategic performance indicators such as improving sales productivity, strengthening our sales effectiveness, supporting inorganic growth through mergers and acquisitions, improving recruitment capabilities, enhancing market recognition, advancing our technological and automation capabilities and achieving revenue growth targets within specific areas.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7" w:name="page38"/>
    <w:bookmarkEnd w:id="37"/>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Determination of Individual Performance Achievement.</w:t>
      </w:r>
    </w:p>
    <w:p>
      <w:pPr>
        <w:spacing w:after="0" w:line="21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Mr. Kapoor made performance assessments and compensation recommendations for Messrs. Chhibbar, Bagai, de Villa, and Miglani and our Compensation Committee approved the recommendations after reviewing similar considerations for such named executive officers. For Mr. Chhibbar, our Compensation Committee noted his role in stewarding the finance function, driving automation in review processes, developing investor relations, and growing the finance and accounting business. For Mr. Bagai, our Compensation Committee noted his contribution in leading the delivery organization, improving the NPS score, and driving cost efficiencies as well as his role in growing the analytics business. For Mr. de Villa, our Compensation Committee noted his contribution in growing the healthcare business and role in building capabilities in the healthcare business for future growth. For Mr. Miglani, our Compensation Committee noted his contribution in building sales and marketing capabilities, developing a performance management framework, continuing the effort of instilling a strong sense of purpose and values, and significantly enhancing the leadership talent. For Mr. Kapoor, the Compensation Committee noted his contribution in building our sales capability, instilling a renewed sense of purpose and values in the large employee base, winning major, strategic deals, growing revenues, EPS and, in particular, driving the growth of the analytics business.</w:t>
      </w:r>
    </w:p>
    <w:p>
      <w:pPr>
        <w:spacing w:after="0" w:line="174"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Actual Bonus Payments.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out the 2016 incentive bonuses paid to our named executive officers in March 2017.</w:t>
      </w:r>
    </w:p>
    <w:p>
      <w:pPr>
        <w:spacing w:after="0" w:line="187" w:lineRule="exact"/>
        <w:rPr>
          <w:sz w:val="20"/>
          <w:szCs w:val="20"/>
          <w:color w:val="auto"/>
        </w:rPr>
      </w:pPr>
    </w:p>
    <w:tbl>
      <w:tblPr>
        <w:tblLayout w:type="fixed"/>
        <w:tblInd w:w="4000" w:type="dxa"/>
        <w:tblCellMar>
          <w:top w:w="0" w:type="dxa"/>
          <w:left w:w="0" w:type="dxa"/>
          <w:bottom w:w="0" w:type="dxa"/>
          <w:right w:w="0" w:type="dxa"/>
        </w:tblCellMar>
      </w:tblPr>
      <w:tr>
        <w:trPr>
          <w:trHeight w:val="161"/>
        </w:trPr>
        <w:tc>
          <w:tcPr>
            <w:tcW w:w="1800" w:type="dxa"/>
            <w:vAlign w:val="bottom"/>
            <w:shd w:val="clear" w:color="auto" w:fill="508BC7"/>
          </w:tcPr>
          <w:p>
            <w:pPr>
              <w:spacing w:after="0"/>
              <w:rPr>
                <w:sz w:val="14"/>
                <w:szCs w:val="14"/>
                <w:color w:val="auto"/>
              </w:rPr>
            </w:pPr>
          </w:p>
        </w:tc>
        <w:tc>
          <w:tcPr>
            <w:tcW w:w="1620" w:type="dxa"/>
            <w:vAlign w:val="bottom"/>
            <w:shd w:val="clear" w:color="auto" w:fill="508BC7"/>
          </w:tcPr>
          <w:p>
            <w:pPr>
              <w:jc w:val="center"/>
              <w:ind w:left="117"/>
              <w:spacing w:after="0"/>
              <w:rPr>
                <w:sz w:val="20"/>
                <w:szCs w:val="20"/>
                <w:color w:val="auto"/>
              </w:rPr>
            </w:pPr>
            <w:r>
              <w:rPr>
                <w:rFonts w:ascii="Arial" w:cs="Arial" w:eastAsia="Arial" w:hAnsi="Arial"/>
                <w:sz w:val="14"/>
                <w:szCs w:val="14"/>
                <w:b w:val="1"/>
                <w:bCs w:val="1"/>
                <w:color w:val="FFFFFF"/>
              </w:rPr>
              <w:t>Earned 2016</w:t>
            </w:r>
          </w:p>
        </w:tc>
      </w:tr>
      <w:tr>
        <w:trPr>
          <w:trHeight w:val="162"/>
        </w:trPr>
        <w:tc>
          <w:tcPr>
            <w:tcW w:w="1800" w:type="dxa"/>
            <w:vAlign w:val="bottom"/>
            <w:shd w:val="clear" w:color="auto" w:fill="508BC7"/>
          </w:tcPr>
          <w:p>
            <w:pPr>
              <w:spacing w:after="0"/>
              <w:rPr>
                <w:sz w:val="14"/>
                <w:szCs w:val="14"/>
                <w:color w:val="auto"/>
              </w:rPr>
            </w:pPr>
          </w:p>
        </w:tc>
        <w:tc>
          <w:tcPr>
            <w:tcW w:w="1620" w:type="dxa"/>
            <w:vAlign w:val="bottom"/>
            <w:shd w:val="clear" w:color="auto" w:fill="508BC7"/>
          </w:tcPr>
          <w:p>
            <w:pPr>
              <w:jc w:val="center"/>
              <w:ind w:left="117"/>
              <w:spacing w:after="0"/>
              <w:rPr>
                <w:sz w:val="20"/>
                <w:szCs w:val="20"/>
                <w:color w:val="auto"/>
              </w:rPr>
            </w:pPr>
            <w:r>
              <w:rPr>
                <w:rFonts w:ascii="Arial" w:cs="Arial" w:eastAsia="Arial" w:hAnsi="Arial"/>
                <w:sz w:val="14"/>
                <w:szCs w:val="14"/>
                <w:b w:val="1"/>
                <w:bCs w:val="1"/>
                <w:color w:val="FFFFFF"/>
              </w:rPr>
              <w:t>Incentive Bonus</w:t>
            </w:r>
          </w:p>
        </w:tc>
      </w:tr>
      <w:tr>
        <w:trPr>
          <w:trHeight w:val="202"/>
        </w:trPr>
        <w:tc>
          <w:tcPr>
            <w:tcW w:w="1800" w:type="dxa"/>
            <w:vAlign w:val="bottom"/>
            <w:shd w:val="clear" w:color="auto" w:fill="508BC7"/>
          </w:tcPr>
          <w:p>
            <w:pPr>
              <w:ind w:left="800"/>
              <w:spacing w:after="0"/>
              <w:rPr>
                <w:sz w:val="20"/>
                <w:szCs w:val="20"/>
                <w:color w:val="auto"/>
              </w:rPr>
            </w:pPr>
            <w:r>
              <w:rPr>
                <w:rFonts w:ascii="Arial" w:cs="Arial" w:eastAsia="Arial" w:hAnsi="Arial"/>
                <w:sz w:val="14"/>
                <w:szCs w:val="14"/>
                <w:b w:val="1"/>
                <w:bCs w:val="1"/>
                <w:color w:val="FFFFFF"/>
              </w:rPr>
              <w:t>Name</w:t>
            </w:r>
          </w:p>
        </w:tc>
        <w:tc>
          <w:tcPr>
            <w:tcW w:w="1620" w:type="dxa"/>
            <w:vAlign w:val="bottom"/>
            <w:shd w:val="clear" w:color="auto" w:fill="508BC7"/>
          </w:tcPr>
          <w:p>
            <w:pPr>
              <w:jc w:val="center"/>
              <w:ind w:left="117"/>
              <w:spacing w:after="0"/>
              <w:rPr>
                <w:sz w:val="20"/>
                <w:szCs w:val="20"/>
                <w:color w:val="auto"/>
              </w:rPr>
            </w:pPr>
            <w:r>
              <w:rPr>
                <w:rFonts w:ascii="Arial" w:cs="Arial" w:eastAsia="Arial" w:hAnsi="Arial"/>
                <w:sz w:val="14"/>
                <w:szCs w:val="14"/>
                <w:b w:val="1"/>
                <w:bCs w:val="1"/>
                <w:color w:val="FFFFFF"/>
              </w:rPr>
              <w:t>($)</w:t>
            </w:r>
          </w:p>
        </w:tc>
      </w:tr>
      <w:tr>
        <w:trPr>
          <w:trHeight w:val="203"/>
        </w:trPr>
        <w:tc>
          <w:tcPr>
            <w:tcW w:w="180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Rohit Kapoor</w:t>
            </w:r>
          </w:p>
        </w:tc>
        <w:tc>
          <w:tcPr>
            <w:tcW w:w="1620" w:type="dxa"/>
            <w:vAlign w:val="bottom"/>
            <w:shd w:val="clear" w:color="auto" w:fill="D0E0F0"/>
          </w:tcPr>
          <w:p>
            <w:pPr>
              <w:jc w:val="right"/>
              <w:ind w:right="117"/>
              <w:spacing w:after="0" w:line="202" w:lineRule="exact"/>
              <w:rPr>
                <w:sz w:val="20"/>
                <w:szCs w:val="20"/>
                <w:color w:val="auto"/>
              </w:rPr>
            </w:pPr>
            <w:r>
              <w:rPr>
                <w:rFonts w:ascii="Arial" w:cs="Arial" w:eastAsia="Arial" w:hAnsi="Arial"/>
                <w:sz w:val="18"/>
                <w:szCs w:val="18"/>
                <w:color w:val="auto"/>
              </w:rPr>
              <w:t>525,043</w:t>
            </w:r>
          </w:p>
        </w:tc>
      </w:tr>
      <w:tr>
        <w:trPr>
          <w:trHeight w:val="203"/>
        </w:trPr>
        <w:tc>
          <w:tcPr>
            <w:tcW w:w="1800" w:type="dxa"/>
            <w:vAlign w:val="bottom"/>
          </w:tcPr>
          <w:p>
            <w:pPr>
              <w:ind w:left="100"/>
              <w:spacing w:after="0" w:line="202" w:lineRule="exact"/>
              <w:rPr>
                <w:sz w:val="20"/>
                <w:szCs w:val="20"/>
                <w:color w:val="auto"/>
              </w:rPr>
            </w:pPr>
            <w:r>
              <w:rPr>
                <w:rFonts w:ascii="Arial" w:cs="Arial" w:eastAsia="Arial" w:hAnsi="Arial"/>
                <w:sz w:val="18"/>
                <w:szCs w:val="18"/>
                <w:color w:val="auto"/>
              </w:rPr>
              <w:t>Vishal Chhibbar</w:t>
            </w:r>
          </w:p>
        </w:tc>
        <w:tc>
          <w:tcPr>
            <w:tcW w:w="16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210,992</w:t>
            </w:r>
          </w:p>
        </w:tc>
      </w:tr>
      <w:tr>
        <w:trPr>
          <w:trHeight w:val="243"/>
        </w:trPr>
        <w:tc>
          <w:tcPr>
            <w:tcW w:w="1800" w:type="dxa"/>
            <w:vAlign w:val="bottom"/>
            <w:shd w:val="clear" w:color="auto" w:fill="D0E0F0"/>
          </w:tcPr>
          <w:p>
            <w:pPr>
              <w:ind w:left="100"/>
              <w:spacing w:after="0"/>
              <w:rPr>
                <w:sz w:val="20"/>
                <w:szCs w:val="20"/>
                <w:color w:val="auto"/>
              </w:rPr>
            </w:pPr>
            <w:r>
              <w:rPr>
                <w:rFonts w:ascii="Arial" w:cs="Arial" w:eastAsia="Arial" w:hAnsi="Arial"/>
                <w:sz w:val="18"/>
                <w:szCs w:val="18"/>
                <w:color w:val="auto"/>
              </w:rPr>
              <w:t>Pavan Bagai</w:t>
            </w:r>
          </w:p>
        </w:tc>
        <w:tc>
          <w:tcPr>
            <w:tcW w:w="1620" w:type="dxa"/>
            <w:vAlign w:val="bottom"/>
            <w:shd w:val="clear" w:color="auto" w:fill="D0E0F0"/>
          </w:tcPr>
          <w:p>
            <w:pPr>
              <w:jc w:val="right"/>
              <w:spacing w:after="0" w:line="243" w:lineRule="exact"/>
              <w:rPr>
                <w:sz w:val="20"/>
                <w:szCs w:val="20"/>
                <w:color w:val="auto"/>
              </w:rPr>
            </w:pPr>
            <w:r>
              <w:rPr>
                <w:rFonts w:ascii="Arial" w:cs="Arial" w:eastAsia="Arial" w:hAnsi="Arial"/>
                <w:sz w:val="17"/>
                <w:szCs w:val="17"/>
                <w:color w:val="auto"/>
              </w:rPr>
              <w:t>200,449</w:t>
            </w:r>
            <w:r>
              <w:rPr>
                <w:rFonts w:ascii="Arial" w:cs="Arial" w:eastAsia="Arial" w:hAnsi="Arial"/>
                <w:sz w:val="28"/>
                <w:szCs w:val="28"/>
                <w:color w:val="auto"/>
                <w:vertAlign w:val="superscript"/>
              </w:rPr>
              <w:t>(1)</w:t>
            </w:r>
          </w:p>
        </w:tc>
      </w:tr>
      <w:tr>
        <w:trPr>
          <w:trHeight w:val="203"/>
        </w:trPr>
        <w:tc>
          <w:tcPr>
            <w:tcW w:w="1800" w:type="dxa"/>
            <w:vAlign w:val="bottom"/>
          </w:tcPr>
          <w:p>
            <w:pPr>
              <w:ind w:left="100"/>
              <w:spacing w:after="0" w:line="202" w:lineRule="exact"/>
              <w:rPr>
                <w:sz w:val="20"/>
                <w:szCs w:val="20"/>
                <w:color w:val="auto"/>
              </w:rPr>
            </w:pPr>
            <w:r>
              <w:rPr>
                <w:rFonts w:ascii="Arial" w:cs="Arial" w:eastAsia="Arial" w:hAnsi="Arial"/>
                <w:sz w:val="18"/>
                <w:szCs w:val="18"/>
                <w:color w:val="auto"/>
              </w:rPr>
              <w:t>Rembert de Villa</w:t>
            </w:r>
          </w:p>
        </w:tc>
        <w:tc>
          <w:tcPr>
            <w:tcW w:w="16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341,543</w:t>
            </w:r>
          </w:p>
        </w:tc>
      </w:tr>
      <w:tr>
        <w:trPr>
          <w:trHeight w:val="203"/>
        </w:trPr>
        <w:tc>
          <w:tcPr>
            <w:tcW w:w="180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Nalin Miglani</w:t>
            </w:r>
          </w:p>
        </w:tc>
        <w:tc>
          <w:tcPr>
            <w:tcW w:w="1620" w:type="dxa"/>
            <w:vAlign w:val="bottom"/>
            <w:shd w:val="clear" w:color="auto" w:fill="D0E0F0"/>
          </w:tcPr>
          <w:p>
            <w:pPr>
              <w:jc w:val="right"/>
              <w:ind w:right="117"/>
              <w:spacing w:after="0" w:line="202" w:lineRule="exact"/>
              <w:rPr>
                <w:sz w:val="20"/>
                <w:szCs w:val="20"/>
                <w:color w:val="auto"/>
              </w:rPr>
            </w:pPr>
            <w:r>
              <w:rPr>
                <w:rFonts w:ascii="Arial" w:cs="Arial" w:eastAsia="Arial" w:hAnsi="Arial"/>
                <w:sz w:val="18"/>
                <w:szCs w:val="18"/>
                <w:color w:val="auto"/>
              </w:rPr>
              <w:t>231,104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-685165</wp:posOffset>
            </wp:positionV>
            <wp:extent cx="20497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49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4490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0" w:lineRule="exact"/>
        <w:rPr>
          <w:sz w:val="20"/>
          <w:szCs w:val="20"/>
          <w:color w:val="auto"/>
        </w:rPr>
      </w:pPr>
    </w:p>
    <w:p>
      <w:pPr>
        <w:ind w:left="660" w:right="580" w:hanging="328"/>
        <w:spacing w:after="0" w:line="260"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exchange rate used for the bonus conversion from Indian rupees to U.S. dollars for Mr. Bagai was 67.94, which was the exchange rate on December 31, 2016.</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0"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Under our equity compensation program, our executive officers received restricted stock units under the 2015 Amendment and Restatement of the 2006 Omnibus Award Plan (the “2015 Plan”). We awarded restricted stock units to all of our named executive officers in the portions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120650</wp:posOffset>
            </wp:positionV>
            <wp:extent cx="6003290" cy="7543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0329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hanging="332"/>
        <w:spacing w:after="0" w:line="246"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Time-Vested RSUs will vest in increments of 25% on each of the first four anniversaries of the grant date, subject to continuous service with the Company through the applicable vesting date.</w:t>
      </w:r>
    </w:p>
    <w:p>
      <w:pPr>
        <w:spacing w:after="0" w:line="291"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Committee believes these Time-Vested RSUs provide an important role in promoting retention of our executive officers.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2" w:right="239" w:bottom="1440" w:gutter="0" w:footer="0" w:header="0"/>
        </w:sectPr>
      </w:pPr>
    </w:p>
    <w:bookmarkStart w:id="38" w:name="page39"/>
    <w:bookmarkEnd w:id="38"/>
    <w:p>
      <w:pPr>
        <w:ind w:left="332" w:right="340" w:hanging="332"/>
        <w:spacing w:after="0" w:line="246" w:lineRule="auto"/>
        <w:tabs>
          <w:tab w:leader="none" w:pos="3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“Performance-Vested” portion of the 2016 RSUs (“PRSUs”) are split into two types that each vest based on separate performance measures as follows:</w:t>
      </w:r>
    </w:p>
    <w:p>
      <w:pPr>
        <w:spacing w:after="0" w:line="273" w:lineRule="exact"/>
        <w:rPr>
          <w:sz w:val="20"/>
          <w:szCs w:val="20"/>
          <w:color w:val="auto"/>
        </w:rPr>
      </w:pPr>
    </w:p>
    <w:p>
      <w:pPr>
        <w:ind w:left="652" w:hanging="328"/>
        <w:spacing w:after="0" w:line="241" w:lineRule="auto"/>
        <w:tabs>
          <w:tab w:leader="none" w:pos="652"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Revenue-Linked PRSUs: </w:t>
      </w:r>
      <w:r>
        <w:rPr>
          <w:rFonts w:ascii="Arial" w:cs="Arial" w:eastAsia="Arial" w:hAnsi="Arial"/>
          <w:sz w:val="18"/>
          <w:szCs w:val="18"/>
          <w:color w:val="auto"/>
        </w:rPr>
        <w:t>50% of these performance-based restricted stock unit awards will cliff-vest on December 31 of the third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in the performance period, subject to achievement of threshold Company revenues against an annual revenue target for such third fiscal year and continuous employment through December 31, 2018 — we call these awards “Revenue-Linked PRSUs.” The ultimate amount of Revenue-Linked PRSUs that a recipient earns may be up to 200% of the target award of Revenue-Linked RSUs. The percentage of Revenue-Linked PRSUs earned will be determined based on straight-line interpolation to the extent the Company’s revenue falls in between 90% and 110%, as per the chart below:</w:t>
      </w:r>
    </w:p>
    <w:p>
      <w:pPr>
        <w:spacing w:after="0" w:line="257" w:lineRule="exact"/>
        <w:rPr>
          <w:sz w:val="20"/>
          <w:szCs w:val="20"/>
          <w:color w:val="auto"/>
        </w:rPr>
      </w:pPr>
    </w:p>
    <w:tbl>
      <w:tblPr>
        <w:tblLayout w:type="fixed"/>
        <w:tblInd w:w="1152" w:type="dxa"/>
        <w:tblCellMar>
          <w:top w:w="0" w:type="dxa"/>
          <w:left w:w="0" w:type="dxa"/>
          <w:bottom w:w="0" w:type="dxa"/>
          <w:right w:w="0" w:type="dxa"/>
        </w:tblCellMar>
      </w:tblPr>
      <w:tr>
        <w:trPr>
          <w:trHeight w:val="189"/>
        </w:trPr>
        <w:tc>
          <w:tcPr>
            <w:tcW w:w="4260" w:type="dxa"/>
            <w:vAlign w:val="bottom"/>
            <w:shd w:val="clear" w:color="auto" w:fill="508BC7"/>
          </w:tcPr>
          <w:p>
            <w:pPr>
              <w:jc w:val="right"/>
              <w:ind w:right="1354"/>
              <w:spacing w:after="0"/>
              <w:rPr>
                <w:sz w:val="20"/>
                <w:szCs w:val="20"/>
                <w:color w:val="auto"/>
              </w:rPr>
            </w:pPr>
            <w:r>
              <w:rPr>
                <w:rFonts w:ascii="Arial" w:cs="Arial" w:eastAsia="Arial" w:hAnsi="Arial"/>
                <w:sz w:val="14"/>
                <w:szCs w:val="14"/>
                <w:b w:val="1"/>
                <w:bCs w:val="1"/>
                <w:color w:val="FFFFFF"/>
              </w:rPr>
              <w:t>Revenue Target Achievement</w:t>
            </w:r>
          </w:p>
        </w:tc>
        <w:tc>
          <w:tcPr>
            <w:tcW w:w="4860" w:type="dxa"/>
            <w:vAlign w:val="bottom"/>
            <w:shd w:val="clear" w:color="auto" w:fill="508BC7"/>
          </w:tcPr>
          <w:p>
            <w:pPr>
              <w:jc w:val="right"/>
              <w:ind w:right="1954"/>
              <w:spacing w:after="0"/>
              <w:rPr>
                <w:sz w:val="20"/>
                <w:szCs w:val="20"/>
                <w:color w:val="auto"/>
              </w:rPr>
            </w:pPr>
            <w:r>
              <w:rPr>
                <w:rFonts w:ascii="Arial" w:cs="Arial" w:eastAsia="Arial" w:hAnsi="Arial"/>
                <w:sz w:val="14"/>
                <w:szCs w:val="14"/>
                <w:b w:val="1"/>
                <w:bCs w:val="1"/>
                <w:color w:val="FFFFFF"/>
              </w:rPr>
              <w:t>Funding Percentage</w:t>
            </w:r>
          </w:p>
        </w:tc>
      </w:tr>
      <w:tr>
        <w:trPr>
          <w:trHeight w:val="203"/>
        </w:trPr>
        <w:tc>
          <w:tcPr>
            <w:tcW w:w="4260" w:type="dxa"/>
            <w:vAlign w:val="bottom"/>
            <w:shd w:val="clear" w:color="auto" w:fill="D0E0F0"/>
          </w:tcPr>
          <w:p>
            <w:pPr>
              <w:jc w:val="right"/>
              <w:ind w:right="2134"/>
              <w:spacing w:after="0" w:line="202" w:lineRule="exact"/>
              <w:rPr>
                <w:sz w:val="20"/>
                <w:szCs w:val="20"/>
                <w:color w:val="auto"/>
              </w:rPr>
            </w:pPr>
            <w:r>
              <w:rPr>
                <w:rFonts w:ascii="Arial" w:cs="Arial" w:eastAsia="Arial" w:hAnsi="Arial"/>
                <w:sz w:val="18"/>
                <w:szCs w:val="18"/>
                <w:color w:val="auto"/>
              </w:rPr>
              <w:t>110%</w:t>
            </w:r>
          </w:p>
        </w:tc>
        <w:tc>
          <w:tcPr>
            <w:tcW w:w="4860" w:type="dxa"/>
            <w:vAlign w:val="bottom"/>
            <w:shd w:val="clear" w:color="auto" w:fill="D0E0F0"/>
          </w:tcPr>
          <w:p>
            <w:pPr>
              <w:jc w:val="right"/>
              <w:ind w:right="2374"/>
              <w:spacing w:after="0" w:line="202" w:lineRule="exact"/>
              <w:rPr>
                <w:sz w:val="20"/>
                <w:szCs w:val="20"/>
                <w:color w:val="auto"/>
              </w:rPr>
            </w:pPr>
            <w:r>
              <w:rPr>
                <w:rFonts w:ascii="Arial" w:cs="Arial" w:eastAsia="Arial" w:hAnsi="Arial"/>
                <w:sz w:val="18"/>
                <w:szCs w:val="18"/>
                <w:color w:val="auto"/>
              </w:rPr>
              <w:t>200%</w:t>
            </w:r>
          </w:p>
        </w:tc>
      </w:tr>
      <w:tr>
        <w:trPr>
          <w:trHeight w:val="203"/>
        </w:trPr>
        <w:tc>
          <w:tcPr>
            <w:tcW w:w="4260" w:type="dxa"/>
            <w:vAlign w:val="bottom"/>
          </w:tcPr>
          <w:p>
            <w:pPr>
              <w:jc w:val="right"/>
              <w:ind w:right="2134"/>
              <w:spacing w:after="0" w:line="202" w:lineRule="exact"/>
              <w:rPr>
                <w:sz w:val="20"/>
                <w:szCs w:val="20"/>
                <w:color w:val="auto"/>
              </w:rPr>
            </w:pPr>
            <w:r>
              <w:rPr>
                <w:rFonts w:ascii="Arial" w:cs="Arial" w:eastAsia="Arial" w:hAnsi="Arial"/>
                <w:sz w:val="18"/>
                <w:szCs w:val="18"/>
                <w:color w:val="auto"/>
              </w:rPr>
              <w:t>100%</w:t>
            </w:r>
          </w:p>
        </w:tc>
        <w:tc>
          <w:tcPr>
            <w:tcW w:w="4860" w:type="dxa"/>
            <w:vAlign w:val="bottom"/>
          </w:tcPr>
          <w:p>
            <w:pPr>
              <w:jc w:val="right"/>
              <w:ind w:right="2374"/>
              <w:spacing w:after="0" w:line="202" w:lineRule="exact"/>
              <w:rPr>
                <w:sz w:val="20"/>
                <w:szCs w:val="20"/>
                <w:color w:val="auto"/>
              </w:rPr>
            </w:pPr>
            <w:r>
              <w:rPr>
                <w:rFonts w:ascii="Arial" w:cs="Arial" w:eastAsia="Arial" w:hAnsi="Arial"/>
                <w:sz w:val="18"/>
                <w:szCs w:val="18"/>
                <w:color w:val="auto"/>
              </w:rPr>
              <w:t>100%</w:t>
            </w:r>
          </w:p>
        </w:tc>
      </w:tr>
      <w:tr>
        <w:trPr>
          <w:trHeight w:val="243"/>
        </w:trPr>
        <w:tc>
          <w:tcPr>
            <w:tcW w:w="4260" w:type="dxa"/>
            <w:vAlign w:val="bottom"/>
            <w:shd w:val="clear" w:color="auto" w:fill="D0E0F0"/>
          </w:tcPr>
          <w:p>
            <w:pPr>
              <w:jc w:val="right"/>
              <w:ind w:right="2134"/>
              <w:spacing w:after="0"/>
              <w:rPr>
                <w:sz w:val="20"/>
                <w:szCs w:val="20"/>
                <w:color w:val="auto"/>
              </w:rPr>
            </w:pPr>
            <w:r>
              <w:rPr>
                <w:rFonts w:ascii="Arial" w:cs="Arial" w:eastAsia="Arial" w:hAnsi="Arial"/>
                <w:sz w:val="18"/>
                <w:szCs w:val="18"/>
                <w:color w:val="auto"/>
              </w:rPr>
              <w:t>90%</w:t>
            </w:r>
          </w:p>
        </w:tc>
        <w:tc>
          <w:tcPr>
            <w:tcW w:w="4860" w:type="dxa"/>
            <w:vAlign w:val="bottom"/>
            <w:shd w:val="clear" w:color="auto" w:fill="D0E0F0"/>
          </w:tcPr>
          <w:p>
            <w:pPr>
              <w:jc w:val="right"/>
              <w:ind w:right="2394"/>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789305</wp:posOffset>
            </wp:positionH>
            <wp:positionV relativeFrom="paragraph">
              <wp:posOffset>-427990</wp:posOffset>
            </wp:positionV>
            <wp:extent cx="56686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68645" cy="8890"/>
                    </a:xfrm>
                    <a:prstGeom prst="rect">
                      <a:avLst/>
                    </a:prstGeom>
                    <a:noFill/>
                  </pic:spPr>
                </pic:pic>
              </a:graphicData>
            </a:graphic>
          </wp:anchor>
        </w:drawing>
      </w:r>
    </w:p>
    <w:p>
      <w:pPr>
        <w:spacing w:after="0" w:line="164" w:lineRule="exact"/>
        <w:rPr>
          <w:sz w:val="20"/>
          <w:szCs w:val="20"/>
          <w:color w:val="auto"/>
        </w:rPr>
      </w:pPr>
    </w:p>
    <w:p>
      <w:pPr>
        <w:ind w:left="652" w:right="60" w:hanging="328"/>
        <w:spacing w:after="0" w:line="239" w:lineRule="auto"/>
        <w:tabs>
          <w:tab w:leader="none" w:pos="652"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Relative TSR-Linked PRSUs: </w:t>
      </w:r>
      <w:r>
        <w:rPr>
          <w:rFonts w:ascii="Arial" w:cs="Arial" w:eastAsia="Arial" w:hAnsi="Arial"/>
          <w:sz w:val="18"/>
          <w:szCs w:val="18"/>
          <w:color w:val="auto"/>
        </w:rPr>
        <w:t>The remaining 50% of the performance-based restricted stock unit awards cliff-vest on December 31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fiscal year in the performance period, based on the achievement of relative total stockholder return performance of the Company against a peer group over the grant’s three-year performance period of January 1, 2016 to December 31, 2018 and continuous employment through December 31, 2018 — we call these awards “Relative TSR-Linked PRSUs.” The Company’s TSR for the TSR performance period will be computed and then compared to the TSR of the companies in the TSR peer group, which is comprised of the public companies in our 8-digit Global Industry Classification Standard sub-industry group. For the Relative TSR-Linked PRSUs granted in 2016, the Company included a negative TSR cap. Under the negative TSR cap, if the total stockholder return is negative over the course of the three year performance period, no named executive officer may receive greater than 100% funding of the TSR-Linked PRSUs.</w:t>
      </w:r>
    </w:p>
    <w:p>
      <w:pPr>
        <w:spacing w:after="0" w:line="202" w:lineRule="exact"/>
        <w:rPr>
          <w:rFonts w:ascii="Arial" w:cs="Arial" w:eastAsia="Arial" w:hAnsi="Arial"/>
          <w:sz w:val="18"/>
          <w:szCs w:val="18"/>
          <w:color w:val="auto"/>
        </w:rPr>
      </w:pPr>
    </w:p>
    <w:p>
      <w:pPr>
        <w:ind w:left="652" w:right="680"/>
        <w:spacing w:after="0" w:line="246" w:lineRule="auto"/>
        <w:rPr>
          <w:rFonts w:ascii="Arial" w:cs="Arial" w:eastAsia="Arial" w:hAnsi="Arial"/>
          <w:sz w:val="18"/>
          <w:szCs w:val="18"/>
          <w:color w:val="auto"/>
        </w:rPr>
      </w:pPr>
      <w:r>
        <w:rPr>
          <w:rFonts w:ascii="Arial" w:cs="Arial" w:eastAsia="Arial" w:hAnsi="Arial"/>
          <w:sz w:val="18"/>
          <w:szCs w:val="18"/>
          <w:color w:val="auto"/>
        </w:rPr>
        <w:t>The percentage of Relative TSR-Linked PRSUs earned will be determined based on straight-line interpolation to the extent the Company’s TSR falls in between the 20th and 80th percentiles, as per the chart below:</w:t>
      </w:r>
    </w:p>
    <w:p>
      <w:pPr>
        <w:spacing w:after="0" w:line="292" w:lineRule="exact"/>
        <w:rPr>
          <w:sz w:val="20"/>
          <w:szCs w:val="20"/>
          <w:color w:val="auto"/>
        </w:rPr>
      </w:pPr>
    </w:p>
    <w:tbl>
      <w:tblPr>
        <w:tblLayout w:type="fixed"/>
        <w:tblInd w:w="1152" w:type="dxa"/>
        <w:tblCellMar>
          <w:top w:w="0" w:type="dxa"/>
          <w:left w:w="0" w:type="dxa"/>
          <w:bottom w:w="0" w:type="dxa"/>
          <w:right w:w="0" w:type="dxa"/>
        </w:tblCellMar>
      </w:tblPr>
      <w:tr>
        <w:trPr>
          <w:trHeight w:val="189"/>
        </w:trPr>
        <w:tc>
          <w:tcPr>
            <w:tcW w:w="370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TSR Peer Group Percentile</w:t>
            </w:r>
          </w:p>
        </w:tc>
        <w:tc>
          <w:tcPr>
            <w:tcW w:w="5420" w:type="dxa"/>
            <w:vAlign w:val="bottom"/>
            <w:shd w:val="clear" w:color="auto" w:fill="508BC7"/>
          </w:tcPr>
          <w:p>
            <w:pPr>
              <w:jc w:val="right"/>
              <w:ind w:right="934"/>
              <w:spacing w:after="0"/>
              <w:rPr>
                <w:sz w:val="20"/>
                <w:szCs w:val="20"/>
                <w:color w:val="auto"/>
              </w:rPr>
            </w:pPr>
            <w:r>
              <w:rPr>
                <w:rFonts w:ascii="Arial" w:cs="Arial" w:eastAsia="Arial" w:hAnsi="Arial"/>
                <w:sz w:val="14"/>
                <w:szCs w:val="14"/>
                <w:b w:val="1"/>
                <w:bCs w:val="1"/>
                <w:color w:val="FFFFFF"/>
              </w:rPr>
              <w:t>Percentage of Relative TSR-Linked PRSUs Earned</w:t>
            </w:r>
          </w:p>
        </w:tc>
      </w:tr>
      <w:tr>
        <w:trPr>
          <w:trHeight w:val="203"/>
        </w:trPr>
        <w:tc>
          <w:tcPr>
            <w:tcW w:w="3700" w:type="dxa"/>
            <w:vAlign w:val="bottom"/>
            <w:shd w:val="clear" w:color="auto" w:fill="D0E0F0"/>
          </w:tcPr>
          <w:p>
            <w:pPr>
              <w:jc w:val="center"/>
              <w:spacing w:after="0" w:line="202" w:lineRule="exact"/>
              <w:rPr>
                <w:sz w:val="20"/>
                <w:szCs w:val="20"/>
                <w:color w:val="auto"/>
              </w:rPr>
            </w:pPr>
            <w:r>
              <w:rPr>
                <w:rFonts w:ascii="Arial" w:cs="Arial" w:eastAsia="Arial" w:hAnsi="Arial"/>
                <w:sz w:val="18"/>
                <w:szCs w:val="18"/>
                <w:color w:val="auto"/>
              </w:rPr>
              <w:t>80.0</w:t>
            </w:r>
          </w:p>
        </w:tc>
        <w:tc>
          <w:tcPr>
            <w:tcW w:w="5420" w:type="dxa"/>
            <w:vAlign w:val="bottom"/>
            <w:shd w:val="clear" w:color="auto" w:fill="D0E0F0"/>
          </w:tcPr>
          <w:p>
            <w:pPr>
              <w:jc w:val="right"/>
              <w:ind w:right="2294"/>
              <w:spacing w:after="0" w:line="202" w:lineRule="exact"/>
              <w:rPr>
                <w:sz w:val="20"/>
                <w:szCs w:val="20"/>
                <w:color w:val="auto"/>
              </w:rPr>
            </w:pPr>
            <w:r>
              <w:rPr>
                <w:rFonts w:ascii="Arial" w:cs="Arial" w:eastAsia="Arial" w:hAnsi="Arial"/>
                <w:sz w:val="18"/>
                <w:szCs w:val="18"/>
                <w:color w:val="auto"/>
              </w:rPr>
              <w:t>200%</w:t>
            </w:r>
          </w:p>
        </w:tc>
      </w:tr>
      <w:tr>
        <w:trPr>
          <w:trHeight w:val="203"/>
        </w:trPr>
        <w:tc>
          <w:tcPr>
            <w:tcW w:w="3700" w:type="dxa"/>
            <w:vAlign w:val="bottom"/>
          </w:tcPr>
          <w:p>
            <w:pPr>
              <w:jc w:val="center"/>
              <w:spacing w:after="0" w:line="202" w:lineRule="exact"/>
              <w:rPr>
                <w:sz w:val="20"/>
                <w:szCs w:val="20"/>
                <w:color w:val="auto"/>
              </w:rPr>
            </w:pPr>
            <w:r>
              <w:rPr>
                <w:rFonts w:ascii="Arial" w:cs="Arial" w:eastAsia="Arial" w:hAnsi="Arial"/>
                <w:sz w:val="18"/>
                <w:szCs w:val="18"/>
                <w:color w:val="auto"/>
              </w:rPr>
              <w:t>50.0</w:t>
            </w:r>
          </w:p>
        </w:tc>
        <w:tc>
          <w:tcPr>
            <w:tcW w:w="5420" w:type="dxa"/>
            <w:vAlign w:val="bottom"/>
          </w:tcPr>
          <w:p>
            <w:pPr>
              <w:jc w:val="right"/>
              <w:ind w:right="2314"/>
              <w:spacing w:after="0" w:line="202" w:lineRule="exact"/>
              <w:rPr>
                <w:sz w:val="20"/>
                <w:szCs w:val="20"/>
                <w:color w:val="auto"/>
              </w:rPr>
            </w:pPr>
            <w:r>
              <w:rPr>
                <w:rFonts w:ascii="Arial" w:cs="Arial" w:eastAsia="Arial" w:hAnsi="Arial"/>
                <w:sz w:val="18"/>
                <w:szCs w:val="18"/>
                <w:color w:val="auto"/>
              </w:rPr>
              <w:t>100%</w:t>
            </w:r>
          </w:p>
        </w:tc>
      </w:tr>
      <w:tr>
        <w:trPr>
          <w:trHeight w:val="203"/>
        </w:trPr>
        <w:tc>
          <w:tcPr>
            <w:tcW w:w="3700" w:type="dxa"/>
            <w:vAlign w:val="bottom"/>
            <w:shd w:val="clear" w:color="auto" w:fill="D0E0F0"/>
          </w:tcPr>
          <w:p>
            <w:pPr>
              <w:jc w:val="center"/>
              <w:spacing w:after="0" w:line="202" w:lineRule="exact"/>
              <w:rPr>
                <w:sz w:val="20"/>
                <w:szCs w:val="20"/>
                <w:color w:val="auto"/>
              </w:rPr>
            </w:pPr>
            <w:r>
              <w:rPr>
                <w:rFonts w:ascii="Arial" w:cs="Arial" w:eastAsia="Arial" w:hAnsi="Arial"/>
                <w:sz w:val="18"/>
                <w:szCs w:val="18"/>
                <w:color w:val="auto"/>
              </w:rPr>
              <w:t>20.0</w:t>
            </w:r>
          </w:p>
        </w:tc>
        <w:tc>
          <w:tcPr>
            <w:tcW w:w="5420" w:type="dxa"/>
            <w:vAlign w:val="bottom"/>
            <w:shd w:val="clear" w:color="auto" w:fill="D0E0F0"/>
          </w:tcPr>
          <w:p>
            <w:pPr>
              <w:jc w:val="right"/>
              <w:ind w:right="2354"/>
              <w:spacing w:after="0" w:line="202" w:lineRule="exact"/>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789305</wp:posOffset>
            </wp:positionH>
            <wp:positionV relativeFrom="paragraph">
              <wp:posOffset>-402590</wp:posOffset>
            </wp:positionV>
            <wp:extent cx="56686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68645" cy="8890"/>
                    </a:xfrm>
                    <a:prstGeom prst="rect">
                      <a:avLst/>
                    </a:prstGeom>
                    <a:noFill/>
                  </pic:spPr>
                </pic:pic>
              </a:graphicData>
            </a:graphic>
          </wp:anchor>
        </w:drawing>
      </w:r>
    </w:p>
    <w:p>
      <w:pPr>
        <w:spacing w:after="0" w:line="182" w:lineRule="exact"/>
        <w:rPr>
          <w:sz w:val="20"/>
          <w:szCs w:val="20"/>
          <w:color w:val="auto"/>
        </w:rPr>
      </w:pPr>
    </w:p>
    <w:p>
      <w:pPr>
        <w:ind w:left="332" w:right="160" w:hanging="332"/>
        <w:spacing w:after="0" w:line="246" w:lineRule="auto"/>
        <w:tabs>
          <w:tab w:leader="none" w:pos="3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Committee believes the PRSUs focus our executives on key drivers of our Company’s business that will ultimately lead to creation of additional stockholder value.</w:t>
      </w:r>
    </w:p>
    <w:p>
      <w:pPr>
        <w:spacing w:after="0" w:line="40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800" w:right="259" w:bottom="1440" w:gutter="0" w:footer="0" w:header="0"/>
        </w:sectPr>
      </w:pPr>
    </w:p>
    <w:bookmarkStart w:id="39" w:name="page40"/>
    <w:bookmarkEnd w:id="39"/>
    <w:p>
      <w:pPr>
        <w:ind w:right="60" w:firstLine="648"/>
        <w:spacing w:after="0"/>
        <w:rPr>
          <w:sz w:val="20"/>
          <w:szCs w:val="20"/>
          <w:color w:val="auto"/>
        </w:rPr>
      </w:pPr>
      <w:r>
        <w:rPr>
          <w:rFonts w:ascii="Arial" w:cs="Arial" w:eastAsia="Arial" w:hAnsi="Arial"/>
          <w:sz w:val="18"/>
          <w:szCs w:val="18"/>
          <w:color w:val="auto"/>
        </w:rPr>
        <w:t>The table below shows the amount of Time-Vested and Performance-Vested RSUs our Compensation Committee awarded our named executive officers in 2016. In general, the Compensation Committee believes that the size of the award granted to an executive officer should increase based on the executive officer’s level of responsibility within the Company.</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320" w:type="dxa"/>
            <w:vAlign w:val="bottom"/>
            <w:shd w:val="clear" w:color="auto" w:fill="508BC7"/>
          </w:tcPr>
          <w:p>
            <w:pPr>
              <w:spacing w:after="0"/>
              <w:rPr>
                <w:sz w:val="14"/>
                <w:szCs w:val="14"/>
                <w:color w:val="auto"/>
              </w:rPr>
            </w:pPr>
          </w:p>
        </w:tc>
        <w:tc>
          <w:tcPr>
            <w:tcW w:w="2720" w:type="dxa"/>
            <w:vAlign w:val="bottom"/>
            <w:shd w:val="clear" w:color="auto" w:fill="508BC7"/>
          </w:tcPr>
          <w:p>
            <w:pPr>
              <w:spacing w:after="0"/>
              <w:rPr>
                <w:sz w:val="14"/>
                <w:szCs w:val="14"/>
                <w:color w:val="auto"/>
              </w:rPr>
            </w:pPr>
          </w:p>
        </w:tc>
        <w:tc>
          <w:tcPr>
            <w:tcW w:w="2720" w:type="dxa"/>
            <w:vAlign w:val="bottom"/>
            <w:shd w:val="clear" w:color="auto" w:fill="508BC7"/>
          </w:tcPr>
          <w:p>
            <w:pPr>
              <w:spacing w:after="0"/>
              <w:rPr>
                <w:sz w:val="14"/>
                <w:szCs w:val="14"/>
                <w:color w:val="auto"/>
              </w:rPr>
            </w:pPr>
          </w:p>
        </w:tc>
        <w:tc>
          <w:tcPr>
            <w:tcW w:w="2520" w:type="dxa"/>
            <w:vAlign w:val="bottom"/>
            <w:shd w:val="clear" w:color="auto" w:fill="508BC7"/>
          </w:tcPr>
          <w:p>
            <w:pPr>
              <w:jc w:val="right"/>
              <w:ind w:right="515"/>
              <w:spacing w:after="0"/>
              <w:rPr>
                <w:sz w:val="20"/>
                <w:szCs w:val="20"/>
                <w:color w:val="auto"/>
              </w:rPr>
            </w:pPr>
            <w:r>
              <w:rPr>
                <w:rFonts w:ascii="Arial" w:cs="Arial" w:eastAsia="Arial" w:hAnsi="Arial"/>
                <w:sz w:val="14"/>
                <w:szCs w:val="14"/>
                <w:b w:val="1"/>
                <w:bCs w:val="1"/>
                <w:color w:val="FFFFFF"/>
              </w:rPr>
              <w:t>Relative TSR-Linked</w:t>
            </w:r>
          </w:p>
        </w:tc>
      </w:tr>
      <w:tr>
        <w:trPr>
          <w:trHeight w:val="202"/>
        </w:trPr>
        <w:tc>
          <w:tcPr>
            <w:tcW w:w="2320" w:type="dxa"/>
            <w:vAlign w:val="bottom"/>
            <w:shd w:val="clear" w:color="auto" w:fill="508BC7"/>
          </w:tcPr>
          <w:p>
            <w:pPr>
              <w:ind w:left="1040"/>
              <w:spacing w:after="0"/>
              <w:rPr>
                <w:sz w:val="20"/>
                <w:szCs w:val="20"/>
                <w:color w:val="auto"/>
              </w:rPr>
            </w:pPr>
            <w:r>
              <w:rPr>
                <w:rFonts w:ascii="Arial" w:cs="Arial" w:eastAsia="Arial" w:hAnsi="Arial"/>
                <w:sz w:val="14"/>
                <w:szCs w:val="14"/>
                <w:b w:val="1"/>
                <w:bCs w:val="1"/>
                <w:color w:val="FFFFFF"/>
              </w:rPr>
              <w:t>Name</w:t>
            </w:r>
          </w:p>
        </w:tc>
        <w:tc>
          <w:tcPr>
            <w:tcW w:w="2720" w:type="dxa"/>
            <w:vAlign w:val="bottom"/>
            <w:shd w:val="clear" w:color="auto" w:fill="508BC7"/>
          </w:tcPr>
          <w:p>
            <w:pPr>
              <w:jc w:val="right"/>
              <w:ind w:right="473"/>
              <w:spacing w:after="0"/>
              <w:rPr>
                <w:sz w:val="20"/>
                <w:szCs w:val="20"/>
                <w:color w:val="auto"/>
              </w:rPr>
            </w:pPr>
            <w:r>
              <w:rPr>
                <w:rFonts w:ascii="Arial" w:cs="Arial" w:eastAsia="Arial" w:hAnsi="Arial"/>
                <w:sz w:val="14"/>
                <w:szCs w:val="14"/>
                <w:b w:val="1"/>
                <w:bCs w:val="1"/>
                <w:color w:val="FFFFFF"/>
              </w:rPr>
              <w:t>Time Vested RSUs</w:t>
            </w:r>
          </w:p>
        </w:tc>
        <w:tc>
          <w:tcPr>
            <w:tcW w:w="2720" w:type="dxa"/>
            <w:vAlign w:val="bottom"/>
            <w:shd w:val="clear" w:color="auto" w:fill="508BC7"/>
          </w:tcPr>
          <w:p>
            <w:pPr>
              <w:jc w:val="right"/>
              <w:ind w:right="433"/>
              <w:spacing w:after="0"/>
              <w:rPr>
                <w:sz w:val="20"/>
                <w:szCs w:val="20"/>
                <w:color w:val="auto"/>
              </w:rPr>
            </w:pPr>
            <w:r>
              <w:rPr>
                <w:rFonts w:ascii="Arial" w:cs="Arial" w:eastAsia="Arial" w:hAnsi="Arial"/>
                <w:sz w:val="14"/>
                <w:szCs w:val="14"/>
                <w:b w:val="1"/>
                <w:bCs w:val="1"/>
                <w:color w:val="FFFFFF"/>
              </w:rPr>
              <w:t>Revenue-Linked PRSUs</w:t>
            </w:r>
          </w:p>
        </w:tc>
        <w:tc>
          <w:tcPr>
            <w:tcW w:w="2520" w:type="dxa"/>
            <w:vAlign w:val="bottom"/>
            <w:shd w:val="clear" w:color="auto" w:fill="508BC7"/>
          </w:tcPr>
          <w:p>
            <w:pPr>
              <w:jc w:val="right"/>
              <w:ind w:right="975"/>
              <w:spacing w:after="0"/>
              <w:rPr>
                <w:sz w:val="20"/>
                <w:szCs w:val="20"/>
                <w:color w:val="auto"/>
              </w:rPr>
            </w:pPr>
            <w:r>
              <w:rPr>
                <w:rFonts w:ascii="Arial" w:cs="Arial" w:eastAsia="Arial" w:hAnsi="Arial"/>
                <w:sz w:val="14"/>
                <w:szCs w:val="14"/>
                <w:b w:val="1"/>
                <w:bCs w:val="1"/>
                <w:color w:val="FFFFFF"/>
              </w:rPr>
              <w:t>PRSUs</w:t>
            </w:r>
          </w:p>
        </w:tc>
      </w:tr>
      <w:tr>
        <w:trPr>
          <w:trHeight w:val="203"/>
        </w:trPr>
        <w:tc>
          <w:tcPr>
            <w:tcW w:w="23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Rohit Kapoor</w:t>
            </w:r>
          </w:p>
        </w:tc>
        <w:tc>
          <w:tcPr>
            <w:tcW w:w="2720" w:type="dxa"/>
            <w:vAlign w:val="bottom"/>
            <w:shd w:val="clear" w:color="auto" w:fill="D0E0F0"/>
          </w:tcPr>
          <w:p>
            <w:pPr>
              <w:jc w:val="right"/>
              <w:ind w:right="793"/>
              <w:spacing w:after="0" w:line="202" w:lineRule="exact"/>
              <w:rPr>
                <w:sz w:val="20"/>
                <w:szCs w:val="20"/>
                <w:color w:val="auto"/>
              </w:rPr>
            </w:pPr>
            <w:r>
              <w:rPr>
                <w:rFonts w:ascii="Arial" w:cs="Arial" w:eastAsia="Arial" w:hAnsi="Arial"/>
                <w:sz w:val="18"/>
                <w:szCs w:val="18"/>
                <w:color w:val="auto"/>
              </w:rPr>
              <w:t>37,500</w:t>
            </w:r>
          </w:p>
        </w:tc>
        <w:tc>
          <w:tcPr>
            <w:tcW w:w="2720" w:type="dxa"/>
            <w:vAlign w:val="bottom"/>
            <w:shd w:val="clear" w:color="auto" w:fill="D0E0F0"/>
          </w:tcPr>
          <w:p>
            <w:pPr>
              <w:jc w:val="right"/>
              <w:ind w:right="953"/>
              <w:spacing w:after="0" w:line="202" w:lineRule="exact"/>
              <w:rPr>
                <w:sz w:val="20"/>
                <w:szCs w:val="20"/>
                <w:color w:val="auto"/>
              </w:rPr>
            </w:pPr>
            <w:r>
              <w:rPr>
                <w:rFonts w:ascii="Arial" w:cs="Arial" w:eastAsia="Arial" w:hAnsi="Arial"/>
                <w:sz w:val="18"/>
                <w:szCs w:val="18"/>
                <w:color w:val="auto"/>
              </w:rPr>
              <w:t>18,750</w:t>
            </w:r>
          </w:p>
        </w:tc>
        <w:tc>
          <w:tcPr>
            <w:tcW w:w="2520" w:type="dxa"/>
            <w:vAlign w:val="bottom"/>
            <w:shd w:val="clear" w:color="auto" w:fill="D0E0F0"/>
          </w:tcPr>
          <w:p>
            <w:pPr>
              <w:jc w:val="right"/>
              <w:ind w:right="895"/>
              <w:spacing w:after="0" w:line="202" w:lineRule="exact"/>
              <w:rPr>
                <w:sz w:val="20"/>
                <w:szCs w:val="20"/>
                <w:color w:val="auto"/>
              </w:rPr>
            </w:pPr>
            <w:r>
              <w:rPr>
                <w:rFonts w:ascii="Arial" w:cs="Arial" w:eastAsia="Arial" w:hAnsi="Arial"/>
                <w:sz w:val="18"/>
                <w:szCs w:val="18"/>
                <w:color w:val="auto"/>
              </w:rPr>
              <w:t>18,750</w:t>
            </w:r>
          </w:p>
        </w:tc>
      </w:tr>
      <w:tr>
        <w:trPr>
          <w:trHeight w:val="203"/>
        </w:trPr>
        <w:tc>
          <w:tcPr>
            <w:tcW w:w="2320" w:type="dxa"/>
            <w:vAlign w:val="bottom"/>
          </w:tcPr>
          <w:p>
            <w:pPr>
              <w:ind w:left="100"/>
              <w:spacing w:after="0" w:line="202" w:lineRule="exact"/>
              <w:rPr>
                <w:sz w:val="20"/>
                <w:szCs w:val="20"/>
                <w:color w:val="auto"/>
              </w:rPr>
            </w:pPr>
            <w:r>
              <w:rPr>
                <w:rFonts w:ascii="Arial" w:cs="Arial" w:eastAsia="Arial" w:hAnsi="Arial"/>
                <w:sz w:val="18"/>
                <w:szCs w:val="18"/>
                <w:color w:val="auto"/>
              </w:rPr>
              <w:t>Vishal Chhibbar</w:t>
            </w:r>
          </w:p>
        </w:tc>
        <w:tc>
          <w:tcPr>
            <w:tcW w:w="2720" w:type="dxa"/>
            <w:vAlign w:val="bottom"/>
          </w:tcPr>
          <w:p>
            <w:pPr>
              <w:jc w:val="right"/>
              <w:ind w:right="793"/>
              <w:spacing w:after="0" w:line="202" w:lineRule="exact"/>
              <w:rPr>
                <w:sz w:val="20"/>
                <w:szCs w:val="20"/>
                <w:color w:val="auto"/>
              </w:rPr>
            </w:pPr>
            <w:r>
              <w:rPr>
                <w:rFonts w:ascii="Arial" w:cs="Arial" w:eastAsia="Arial" w:hAnsi="Arial"/>
                <w:sz w:val="18"/>
                <w:szCs w:val="18"/>
                <w:color w:val="auto"/>
              </w:rPr>
              <w:t>7,000</w:t>
            </w:r>
          </w:p>
        </w:tc>
        <w:tc>
          <w:tcPr>
            <w:tcW w:w="2720" w:type="dxa"/>
            <w:vAlign w:val="bottom"/>
          </w:tcPr>
          <w:p>
            <w:pPr>
              <w:jc w:val="right"/>
              <w:ind w:right="953"/>
              <w:spacing w:after="0" w:line="202" w:lineRule="exact"/>
              <w:rPr>
                <w:sz w:val="20"/>
                <w:szCs w:val="20"/>
                <w:color w:val="auto"/>
              </w:rPr>
            </w:pPr>
            <w:r>
              <w:rPr>
                <w:rFonts w:ascii="Arial" w:cs="Arial" w:eastAsia="Arial" w:hAnsi="Arial"/>
                <w:sz w:val="18"/>
                <w:szCs w:val="18"/>
                <w:color w:val="auto"/>
              </w:rPr>
              <w:t>3,500</w:t>
            </w:r>
          </w:p>
        </w:tc>
        <w:tc>
          <w:tcPr>
            <w:tcW w:w="2520" w:type="dxa"/>
            <w:vAlign w:val="bottom"/>
          </w:tcPr>
          <w:p>
            <w:pPr>
              <w:jc w:val="right"/>
              <w:ind w:right="895"/>
              <w:spacing w:after="0" w:line="202" w:lineRule="exact"/>
              <w:rPr>
                <w:sz w:val="20"/>
                <w:szCs w:val="20"/>
                <w:color w:val="auto"/>
              </w:rPr>
            </w:pPr>
            <w:r>
              <w:rPr>
                <w:rFonts w:ascii="Arial" w:cs="Arial" w:eastAsia="Arial" w:hAnsi="Arial"/>
                <w:sz w:val="18"/>
                <w:szCs w:val="18"/>
                <w:color w:val="auto"/>
              </w:rPr>
              <w:t>3,500</w:t>
            </w:r>
          </w:p>
        </w:tc>
      </w:tr>
      <w:tr>
        <w:trPr>
          <w:trHeight w:val="203"/>
        </w:trPr>
        <w:tc>
          <w:tcPr>
            <w:tcW w:w="23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Pavan Bagai</w:t>
            </w:r>
          </w:p>
        </w:tc>
        <w:tc>
          <w:tcPr>
            <w:tcW w:w="2720" w:type="dxa"/>
            <w:vAlign w:val="bottom"/>
            <w:shd w:val="clear" w:color="auto" w:fill="D0E0F0"/>
          </w:tcPr>
          <w:p>
            <w:pPr>
              <w:jc w:val="right"/>
              <w:ind w:right="793"/>
              <w:spacing w:after="0" w:line="202" w:lineRule="exact"/>
              <w:rPr>
                <w:sz w:val="20"/>
                <w:szCs w:val="20"/>
                <w:color w:val="auto"/>
              </w:rPr>
            </w:pPr>
            <w:r>
              <w:rPr>
                <w:rFonts w:ascii="Arial" w:cs="Arial" w:eastAsia="Arial" w:hAnsi="Arial"/>
                <w:sz w:val="18"/>
                <w:szCs w:val="18"/>
                <w:color w:val="auto"/>
              </w:rPr>
              <w:t>12,500</w:t>
            </w:r>
          </w:p>
        </w:tc>
        <w:tc>
          <w:tcPr>
            <w:tcW w:w="2720" w:type="dxa"/>
            <w:vAlign w:val="bottom"/>
            <w:shd w:val="clear" w:color="auto" w:fill="D0E0F0"/>
          </w:tcPr>
          <w:p>
            <w:pPr>
              <w:jc w:val="right"/>
              <w:ind w:right="953"/>
              <w:spacing w:after="0" w:line="202" w:lineRule="exact"/>
              <w:rPr>
                <w:sz w:val="20"/>
                <w:szCs w:val="20"/>
                <w:color w:val="auto"/>
              </w:rPr>
            </w:pPr>
            <w:r>
              <w:rPr>
                <w:rFonts w:ascii="Arial" w:cs="Arial" w:eastAsia="Arial" w:hAnsi="Arial"/>
                <w:sz w:val="18"/>
                <w:szCs w:val="18"/>
                <w:color w:val="auto"/>
              </w:rPr>
              <w:t>6,250</w:t>
            </w:r>
          </w:p>
        </w:tc>
        <w:tc>
          <w:tcPr>
            <w:tcW w:w="2520" w:type="dxa"/>
            <w:vAlign w:val="bottom"/>
            <w:shd w:val="clear" w:color="auto" w:fill="D0E0F0"/>
          </w:tcPr>
          <w:p>
            <w:pPr>
              <w:jc w:val="right"/>
              <w:ind w:right="895"/>
              <w:spacing w:after="0" w:line="202" w:lineRule="exact"/>
              <w:rPr>
                <w:sz w:val="20"/>
                <w:szCs w:val="20"/>
                <w:color w:val="auto"/>
              </w:rPr>
            </w:pPr>
            <w:r>
              <w:rPr>
                <w:rFonts w:ascii="Arial" w:cs="Arial" w:eastAsia="Arial" w:hAnsi="Arial"/>
                <w:sz w:val="18"/>
                <w:szCs w:val="18"/>
                <w:color w:val="auto"/>
              </w:rPr>
              <w:t>6,250</w:t>
            </w:r>
          </w:p>
        </w:tc>
      </w:tr>
      <w:tr>
        <w:trPr>
          <w:trHeight w:val="203"/>
        </w:trPr>
        <w:tc>
          <w:tcPr>
            <w:tcW w:w="2320" w:type="dxa"/>
            <w:vAlign w:val="bottom"/>
          </w:tcPr>
          <w:p>
            <w:pPr>
              <w:ind w:left="100"/>
              <w:spacing w:after="0" w:line="202" w:lineRule="exact"/>
              <w:rPr>
                <w:sz w:val="20"/>
                <w:szCs w:val="20"/>
                <w:color w:val="auto"/>
              </w:rPr>
            </w:pPr>
            <w:r>
              <w:rPr>
                <w:rFonts w:ascii="Arial" w:cs="Arial" w:eastAsia="Arial" w:hAnsi="Arial"/>
                <w:sz w:val="18"/>
                <w:szCs w:val="18"/>
                <w:color w:val="auto"/>
              </w:rPr>
              <w:t>Rembert de Villa</w:t>
            </w:r>
          </w:p>
        </w:tc>
        <w:tc>
          <w:tcPr>
            <w:tcW w:w="2720" w:type="dxa"/>
            <w:vAlign w:val="bottom"/>
          </w:tcPr>
          <w:p>
            <w:pPr>
              <w:jc w:val="right"/>
              <w:ind w:right="793"/>
              <w:spacing w:after="0" w:line="202" w:lineRule="exact"/>
              <w:rPr>
                <w:sz w:val="20"/>
                <w:szCs w:val="20"/>
                <w:color w:val="auto"/>
              </w:rPr>
            </w:pPr>
            <w:r>
              <w:rPr>
                <w:rFonts w:ascii="Arial" w:cs="Arial" w:eastAsia="Arial" w:hAnsi="Arial"/>
                <w:sz w:val="18"/>
                <w:szCs w:val="18"/>
                <w:color w:val="auto"/>
              </w:rPr>
              <w:t>6,000</w:t>
            </w:r>
          </w:p>
        </w:tc>
        <w:tc>
          <w:tcPr>
            <w:tcW w:w="2720" w:type="dxa"/>
            <w:vAlign w:val="bottom"/>
          </w:tcPr>
          <w:p>
            <w:pPr>
              <w:jc w:val="right"/>
              <w:ind w:right="953"/>
              <w:spacing w:after="0" w:line="202" w:lineRule="exact"/>
              <w:rPr>
                <w:sz w:val="20"/>
                <w:szCs w:val="20"/>
                <w:color w:val="auto"/>
              </w:rPr>
            </w:pPr>
            <w:r>
              <w:rPr>
                <w:rFonts w:ascii="Arial" w:cs="Arial" w:eastAsia="Arial" w:hAnsi="Arial"/>
                <w:sz w:val="18"/>
                <w:szCs w:val="18"/>
                <w:color w:val="auto"/>
              </w:rPr>
              <w:t>3,000</w:t>
            </w:r>
          </w:p>
        </w:tc>
        <w:tc>
          <w:tcPr>
            <w:tcW w:w="2520" w:type="dxa"/>
            <w:vAlign w:val="bottom"/>
          </w:tcPr>
          <w:p>
            <w:pPr>
              <w:jc w:val="right"/>
              <w:ind w:right="895"/>
              <w:spacing w:after="0" w:line="202" w:lineRule="exact"/>
              <w:rPr>
                <w:sz w:val="20"/>
                <w:szCs w:val="20"/>
                <w:color w:val="auto"/>
              </w:rPr>
            </w:pPr>
            <w:r>
              <w:rPr>
                <w:rFonts w:ascii="Arial" w:cs="Arial" w:eastAsia="Arial" w:hAnsi="Arial"/>
                <w:sz w:val="18"/>
                <w:szCs w:val="18"/>
                <w:color w:val="auto"/>
              </w:rPr>
              <w:t>3,000</w:t>
            </w:r>
          </w:p>
        </w:tc>
      </w:tr>
      <w:tr>
        <w:trPr>
          <w:trHeight w:val="203"/>
        </w:trPr>
        <w:tc>
          <w:tcPr>
            <w:tcW w:w="232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Nalin Miglani</w:t>
            </w:r>
          </w:p>
        </w:tc>
        <w:tc>
          <w:tcPr>
            <w:tcW w:w="2720" w:type="dxa"/>
            <w:vAlign w:val="bottom"/>
            <w:shd w:val="clear" w:color="auto" w:fill="D0E0F0"/>
          </w:tcPr>
          <w:p>
            <w:pPr>
              <w:jc w:val="right"/>
              <w:ind w:right="793"/>
              <w:spacing w:after="0" w:line="202" w:lineRule="exact"/>
              <w:rPr>
                <w:sz w:val="20"/>
                <w:szCs w:val="20"/>
                <w:color w:val="auto"/>
              </w:rPr>
            </w:pPr>
            <w:r>
              <w:rPr>
                <w:rFonts w:ascii="Arial" w:cs="Arial" w:eastAsia="Arial" w:hAnsi="Arial"/>
                <w:sz w:val="18"/>
                <w:szCs w:val="18"/>
                <w:color w:val="auto"/>
              </w:rPr>
              <w:t>6,000</w:t>
            </w:r>
          </w:p>
        </w:tc>
        <w:tc>
          <w:tcPr>
            <w:tcW w:w="2720" w:type="dxa"/>
            <w:vAlign w:val="bottom"/>
            <w:shd w:val="clear" w:color="auto" w:fill="D0E0F0"/>
          </w:tcPr>
          <w:p>
            <w:pPr>
              <w:jc w:val="right"/>
              <w:ind w:right="953"/>
              <w:spacing w:after="0" w:line="202" w:lineRule="exact"/>
              <w:rPr>
                <w:sz w:val="20"/>
                <w:szCs w:val="20"/>
                <w:color w:val="auto"/>
              </w:rPr>
            </w:pPr>
            <w:r>
              <w:rPr>
                <w:rFonts w:ascii="Arial" w:cs="Arial" w:eastAsia="Arial" w:hAnsi="Arial"/>
                <w:sz w:val="18"/>
                <w:szCs w:val="18"/>
                <w:color w:val="auto"/>
              </w:rPr>
              <w:t>3,000</w:t>
            </w:r>
          </w:p>
        </w:tc>
        <w:tc>
          <w:tcPr>
            <w:tcW w:w="2520" w:type="dxa"/>
            <w:vAlign w:val="bottom"/>
            <w:shd w:val="clear" w:color="auto" w:fill="D0E0F0"/>
          </w:tcPr>
          <w:p>
            <w:pPr>
              <w:jc w:val="right"/>
              <w:ind w:right="895"/>
              <w:spacing w:after="0" w:line="202" w:lineRule="exact"/>
              <w:rPr>
                <w:sz w:val="20"/>
                <w:szCs w:val="20"/>
                <w:color w:val="auto"/>
              </w:rPr>
            </w:pPr>
            <w:r>
              <w:rPr>
                <w:rFonts w:ascii="Arial" w:cs="Arial" w:eastAsia="Arial" w:hAnsi="Arial"/>
                <w:sz w:val="18"/>
                <w:szCs w:val="18"/>
                <w:color w:val="auto"/>
              </w:rPr>
              <w:t>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-659765</wp:posOffset>
            </wp:positionV>
            <wp:extent cx="64490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182" w:lineRule="exact"/>
        <w:rPr>
          <w:sz w:val="20"/>
          <w:szCs w:val="20"/>
          <w:color w:val="auto"/>
        </w:rPr>
      </w:pPr>
    </w:p>
    <w:p>
      <w:pPr>
        <w:ind w:right="320" w:firstLine="648"/>
        <w:spacing w:after="0" w:line="239" w:lineRule="auto"/>
        <w:rPr>
          <w:sz w:val="20"/>
          <w:szCs w:val="20"/>
          <w:color w:val="auto"/>
        </w:rPr>
      </w:pPr>
      <w:r>
        <w:rPr>
          <w:rFonts w:ascii="Arial" w:cs="Arial" w:eastAsia="Arial" w:hAnsi="Arial"/>
          <w:sz w:val="18"/>
          <w:szCs w:val="18"/>
          <w:color w:val="auto"/>
        </w:rPr>
        <w:t>The Committee continues to believe that long-term equity awards provide employees with the incentive to stay with us for longer periods of time, which in turn, provides us with greater stability as we grow. These incentives foster the long-term perspective necessary for continued success in our business because the value of the awards is directly linked to long-term stock price performance, and they ensure that our executive officers are properly focused on stockholder value.</w:t>
      </w:r>
    </w:p>
    <w:p>
      <w:pPr>
        <w:spacing w:after="0" w:line="188"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Moreover, the Committee favors restricted stock unit awards as these awards offer executives the opportunity to receive shares of our common stock on or shortly following the date that the restrictions lapse. Such awards serve both to reward and retain executives because value is linked to the price of our stock on the date that the restriction lapses, and the executive must generally remain in employment through the date that the restrictions lapse. Restricted stock unit awards provide a significant degree of alignment of interests between our executives and stockholders.</w:t>
      </w:r>
    </w:p>
    <w:p>
      <w:pPr>
        <w:spacing w:after="0" w:line="189" w:lineRule="exact"/>
        <w:rPr>
          <w:sz w:val="20"/>
          <w:szCs w:val="20"/>
          <w:color w:val="auto"/>
        </w:rPr>
      </w:pPr>
    </w:p>
    <w:p>
      <w:pPr>
        <w:ind w:right="340" w:firstLine="648"/>
        <w:spacing w:after="0"/>
        <w:rPr>
          <w:sz w:val="20"/>
          <w:szCs w:val="20"/>
          <w:color w:val="auto"/>
        </w:rPr>
      </w:pPr>
      <w:r>
        <w:rPr>
          <w:rFonts w:ascii="Arial" w:cs="Arial" w:eastAsia="Arial" w:hAnsi="Arial"/>
          <w:sz w:val="18"/>
          <w:szCs w:val="18"/>
          <w:color w:val="auto"/>
        </w:rPr>
        <w:t>The Committee also believes that the mix between Time-Vested RSUs and Performance-Vested RSUs provides an appropriate balance between incentivizing our executives to continue their employment with the Company and to ensure they are focused on long-term financial performance and generating stockholder value, which will enable them to realize additional compensation.</w:t>
      </w:r>
    </w:p>
    <w:p>
      <w:pPr>
        <w:spacing w:after="0" w:line="189"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Finally, restricted stock units are potentially less dilutive to stockholders’ equity than stock options because restricted stock awards are full value awards, and our Compensation Committee can award fewer shares than an equivalent value of stock options.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offer employee benefits coverage in order to:</w:t>
      </w:r>
    </w:p>
    <w:p>
      <w:pPr>
        <w:spacing w:after="0" w:line="198"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our global workforce with a reasonable level of financial support in the event of illness or injury;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market-competitive benefits that enhance productivity and job satisfaction through programs that focus on work/life balance.</w:t>
      </w:r>
    </w:p>
    <w:p>
      <w:pPr>
        <w:spacing w:after="0" w:line="198"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benefits available for all U.S. employees include customary medical and dental coverage, disability insurance and life insurance. In addition, our 401(k) plan provides a reasonable level of retirement income reflecting employees’ careers with us. A number of our U.S. employees, including our U.S.-based named executive officers, participate in these plans. The cost of employee benefits is partially borne by our employees, including our named</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0" w:name="page41"/>
    <w:bookmarkEnd w:id="40"/>
    <w:p>
      <w:pPr>
        <w:ind w:right="580"/>
        <w:spacing w:after="0" w:line="246" w:lineRule="auto"/>
        <w:rPr>
          <w:sz w:val="20"/>
          <w:szCs w:val="20"/>
          <w:color w:val="auto"/>
        </w:rPr>
      </w:pPr>
      <w:r>
        <w:rPr>
          <w:rFonts w:ascii="Arial" w:cs="Arial" w:eastAsia="Arial" w:hAnsi="Arial"/>
          <w:sz w:val="18"/>
          <w:szCs w:val="18"/>
          <w:color w:val="auto"/>
        </w:rPr>
        <w:t>executive officers. Our named executive officer in India, Mr. Bagai, is eligible to participate in the Company’s pension benefit, health and welfare and fringe benefit plans otherwise available to executive employees in India.</w:t>
      </w:r>
    </w:p>
    <w:p>
      <w:pPr>
        <w:spacing w:after="0" w:line="183" w:lineRule="exact"/>
        <w:rPr>
          <w:sz w:val="20"/>
          <w:szCs w:val="20"/>
          <w:color w:val="auto"/>
        </w:rPr>
      </w:pPr>
    </w:p>
    <w:p>
      <w:pPr>
        <w:ind w:right="260" w:firstLine="648"/>
        <w:spacing w:after="0" w:line="239" w:lineRule="auto"/>
        <w:rPr>
          <w:sz w:val="20"/>
          <w:szCs w:val="20"/>
          <w:color w:val="auto"/>
        </w:rPr>
      </w:pPr>
      <w:r>
        <w:rPr>
          <w:rFonts w:ascii="Arial" w:cs="Arial" w:eastAsia="Arial" w:hAnsi="Arial"/>
          <w:sz w:val="18"/>
          <w:szCs w:val="18"/>
          <w:color w:val="auto"/>
        </w:rPr>
        <w:t>We generally do not provide significant perquisites or personal benefits to executive officers other than our Vice Chairman and CEO and our executive officers in India. Our Vice Chairman and CEO is provided a limited number of perquisites whose primary purpose is to minimize distractions from his attention to our important initiatives and to be competitive. A discussion of the benefits provided to our Vice Chairman and CEO is provided under “Employment Agreements” beginning on page 43.</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Severance and Change-in-Control Benefits</w:t>
      </w:r>
    </w:p>
    <w:p>
      <w:pPr>
        <w:spacing w:after="0" w:line="220"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Each named executive officer is party to an employment agreement or letter that sets forth the terms of his or her employment, including compensation, which was negotiated through arms’-length contract negotiations. Under these employment agreements or letters, we are obligated to pay severance or other enhanced benefits upon termination of their employment. A discussion of the severance and other enhanced benefits provided to our named executive officers is provided under “Potential Payments upon Termination or Change in Control at Fiscal 2016 Year-End” beginning on page 50.</w:t>
      </w:r>
    </w:p>
    <w:p>
      <w:pPr>
        <w:spacing w:after="0" w:line="189"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have provided change-in-control severance protection for some of our executive officers, including our named executive officers. Our Compensation Committee believes that such protection is intended to preserve employee morale and productivity and encourage retention in the face of the disruptive impact of an actual or rumored change in control. In addition, for executive officers, the program is intended to align executive officers’ and stockholders’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92" w:lineRule="exact"/>
        <w:rPr>
          <w:sz w:val="20"/>
          <w:szCs w:val="20"/>
          <w:color w:val="auto"/>
        </w:rPr>
      </w:pPr>
    </w:p>
    <w:p>
      <w:pPr>
        <w:jc w:val="both"/>
        <w:ind w:right="200" w:firstLine="648"/>
        <w:spacing w:after="0"/>
        <w:rPr>
          <w:sz w:val="20"/>
          <w:szCs w:val="20"/>
          <w:color w:val="auto"/>
        </w:rPr>
      </w:pPr>
      <w:r>
        <w:rPr>
          <w:rFonts w:ascii="Arial" w:cs="Arial" w:eastAsia="Arial" w:hAnsi="Arial"/>
          <w:sz w:val="18"/>
          <w:szCs w:val="18"/>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Looking Forward to 2017</w:t>
      </w:r>
    </w:p>
    <w:p>
      <w:pPr>
        <w:spacing w:after="0" w:line="220" w:lineRule="exact"/>
        <w:rPr>
          <w:sz w:val="20"/>
          <w:szCs w:val="20"/>
          <w:color w:val="auto"/>
        </w:rPr>
      </w:pPr>
    </w:p>
    <w:p>
      <w:pPr>
        <w:ind w:right="500" w:firstLine="648"/>
        <w:spacing w:after="0" w:line="246" w:lineRule="auto"/>
        <w:rPr>
          <w:sz w:val="20"/>
          <w:szCs w:val="20"/>
          <w:color w:val="auto"/>
        </w:rPr>
      </w:pPr>
      <w:r>
        <w:rPr>
          <w:rFonts w:ascii="Arial" w:cs="Arial" w:eastAsia="Arial" w:hAnsi="Arial"/>
          <w:sz w:val="18"/>
          <w:szCs w:val="18"/>
          <w:color w:val="auto"/>
        </w:rPr>
        <w:t>For fiscal 2017, we generally continued the annual bonus program and our long-term equity incentives for fiscal 2016, subject, of course, to new performance goals.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Deductibility Cap on Executive Compensation</w:t>
      </w:r>
    </w:p>
    <w:p>
      <w:pPr>
        <w:spacing w:after="0" w:line="220" w:lineRule="exact"/>
        <w:rPr>
          <w:sz w:val="20"/>
          <w:szCs w:val="20"/>
          <w:color w:val="auto"/>
        </w:rPr>
      </w:pPr>
    </w:p>
    <w:p>
      <w:pPr>
        <w:ind w:right="240" w:firstLine="648"/>
        <w:spacing w:after="0" w:line="236" w:lineRule="auto"/>
        <w:rPr>
          <w:sz w:val="20"/>
          <w:szCs w:val="20"/>
          <w:color w:val="auto"/>
        </w:rPr>
      </w:pPr>
      <w:r>
        <w:rPr>
          <w:rFonts w:ascii="Arial" w:cs="Arial" w:eastAsia="Arial" w:hAnsi="Arial"/>
          <w:sz w:val="18"/>
          <w:szCs w:val="18"/>
          <w:color w:val="auto"/>
        </w:rPr>
        <w:t>Our Compensation Committee’s general policy is that compensation should qualify as tax deductible to the Company for federal income tax purposes whenever possible, to the extent consistent with our overall compensation goals. Under Section 162(m) of the Code, compensation paid to our named executive officers (other than our chief financial officer) in excess of $1 million per year is not deductible unless the compensation is “performance-based” as described in the regulations under Section 162(m). Compensation is generally “performance-based” if it is determined using pre-established objective formulas and criteria approved by stockholders within the past five years. Compensation awards under our 2015 Plan generally are designed to maximize tax deductibility by satisfying the performance-based compensation exception to Section 162(m). Changes in applicable tax laws and regulations as well as factors beyond the control of the Compensation Committee can adversely impact the deductibility of</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41" w:name="page42"/>
    <w:bookmarkEnd w:id="41"/>
    <w:p>
      <w:pPr>
        <w:spacing w:after="0" w:line="238" w:lineRule="auto"/>
        <w:rPr>
          <w:sz w:val="20"/>
          <w:szCs w:val="20"/>
          <w:color w:val="auto"/>
        </w:rPr>
      </w:pPr>
      <w:r>
        <w:rPr>
          <w:rFonts w:ascii="Arial" w:cs="Arial" w:eastAsia="Arial" w:hAnsi="Arial"/>
          <w:sz w:val="18"/>
          <w:szCs w:val="18"/>
          <w:color w:val="auto"/>
        </w:rPr>
        <w:t>compensation paid to our executive officers who are covered by Section 162(m). Our Compensation Committee believes that mathematical formulas cannot always anticipate and fairly address every situation that might arise. The Compensation Committee therefore retains the authority to adjust compensation in the case of unexpected, unusual or non-recurring events or to attract and retain key executive talent, even if this results in the payment of non-deductible compensation or to otherwise award or pay non-deductible compensation if the Committee deems it in the best interests of the Company and its stockholders to do so.</w:t>
      </w:r>
    </w:p>
    <w:p>
      <w:pPr>
        <w:spacing w:after="0" w:line="189"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Our Compensation Committee may make payments that are not fully deductible if, in its judgment, such payments are necessary to achieve our compensation objectives and to protect stockholder interests.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Compensation Committee Report</w:t>
      </w:r>
    </w:p>
    <w:p>
      <w:pPr>
        <w:spacing w:after="0" w:line="220" w:lineRule="exact"/>
        <w:rPr>
          <w:sz w:val="20"/>
          <w:szCs w:val="20"/>
          <w:color w:val="auto"/>
        </w:rPr>
      </w:pPr>
    </w:p>
    <w:p>
      <w:pPr>
        <w:ind w:right="300" w:firstLine="648"/>
        <w:spacing w:after="0" w:line="239" w:lineRule="auto"/>
        <w:rPr>
          <w:sz w:val="20"/>
          <w:szCs w:val="20"/>
          <w:color w:val="auto"/>
        </w:rPr>
      </w:pPr>
      <w:r>
        <w:rPr>
          <w:rFonts w:ascii="Arial" w:cs="Arial" w:eastAsia="Arial" w:hAnsi="Arial"/>
          <w:sz w:val="18"/>
          <w:szCs w:val="18"/>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for the fiscal year ended December 31, 2016, and our proxy statement relating to the Annual Meeting.</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COMPENSATION COMMITTEE</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Ms. Anne Minto (Chair)</w:t>
      </w:r>
    </w:p>
    <w:p>
      <w:pPr>
        <w:ind w:left="5720"/>
        <w:spacing w:after="0" w:line="234" w:lineRule="auto"/>
        <w:rPr>
          <w:sz w:val="20"/>
          <w:szCs w:val="20"/>
          <w:color w:val="auto"/>
        </w:rPr>
      </w:pPr>
      <w:r>
        <w:rPr>
          <w:rFonts w:ascii="Arial" w:cs="Arial" w:eastAsia="Arial" w:hAnsi="Arial"/>
          <w:sz w:val="18"/>
          <w:szCs w:val="18"/>
          <w:color w:val="auto"/>
        </w:rPr>
        <w:t>Ms. Deborah Kerr</w:t>
      </w:r>
    </w:p>
    <w:p>
      <w:pPr>
        <w:ind w:left="5720"/>
        <w:spacing w:after="0" w:line="235" w:lineRule="auto"/>
        <w:rPr>
          <w:sz w:val="20"/>
          <w:szCs w:val="20"/>
          <w:color w:val="auto"/>
        </w:rPr>
      </w:pPr>
      <w:r>
        <w:rPr>
          <w:rFonts w:ascii="Arial" w:cs="Arial" w:eastAsia="Arial" w:hAnsi="Arial"/>
          <w:sz w:val="18"/>
          <w:szCs w:val="18"/>
          <w:color w:val="auto"/>
        </w:rPr>
        <w:t>Mr. Som Mittal</w:t>
      </w:r>
    </w:p>
    <w:p>
      <w:pPr>
        <w:ind w:left="5720"/>
        <w:spacing w:after="0" w:line="235" w:lineRule="auto"/>
        <w:rPr>
          <w:sz w:val="20"/>
          <w:szCs w:val="20"/>
          <w:color w:val="auto"/>
        </w:rPr>
      </w:pPr>
      <w:r>
        <w:rPr>
          <w:rFonts w:ascii="Arial" w:cs="Arial" w:eastAsia="Arial" w:hAnsi="Arial"/>
          <w:sz w:val="18"/>
          <w:szCs w:val="18"/>
          <w:color w:val="auto"/>
        </w:rPr>
        <w:t>Mr. Clyde W. Ostler</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Garen K. Staglin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508BC7"/>
        </w:rPr>
        <w:t>Summary Compensation Table for Fiscal Year 2016</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sets forth information for compensation earned in fiscal years 2014, 2015 and 2016 by our named executive</w:t>
      </w:r>
    </w:p>
    <w:p>
      <w:pPr>
        <w:spacing w:after="0"/>
        <w:rPr>
          <w:sz w:val="20"/>
          <w:szCs w:val="20"/>
          <w:color w:val="auto"/>
        </w:rPr>
      </w:pPr>
      <w:r>
        <w:rPr>
          <w:rFonts w:ascii="Arial" w:cs="Arial" w:eastAsia="Arial" w:hAnsi="Arial"/>
          <w:sz w:val="18"/>
          <w:szCs w:val="18"/>
          <w:color w:val="auto"/>
        </w:rPr>
        <w:t>officers: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20" w:type="dxa"/>
            <w:vAlign w:val="bottom"/>
            <w:shd w:val="clear" w:color="auto" w:fill="508BC7"/>
          </w:tcPr>
          <w:p>
            <w:pPr>
              <w:spacing w:after="0"/>
              <w:rPr>
                <w:sz w:val="15"/>
                <w:szCs w:val="15"/>
                <w:color w:val="auto"/>
              </w:rPr>
            </w:pPr>
          </w:p>
        </w:tc>
        <w:tc>
          <w:tcPr>
            <w:tcW w:w="600" w:type="dxa"/>
            <w:vAlign w:val="bottom"/>
            <w:shd w:val="clear" w:color="auto" w:fill="508BC7"/>
          </w:tcPr>
          <w:p>
            <w:pPr>
              <w:spacing w:after="0"/>
              <w:rPr>
                <w:sz w:val="15"/>
                <w:szCs w:val="15"/>
                <w:color w:val="auto"/>
              </w:rPr>
            </w:pPr>
          </w:p>
        </w:tc>
        <w:tc>
          <w:tcPr>
            <w:tcW w:w="940" w:type="dxa"/>
            <w:vAlign w:val="bottom"/>
            <w:shd w:val="clear" w:color="auto" w:fill="508BC7"/>
          </w:tcPr>
          <w:p>
            <w:pPr>
              <w:spacing w:after="0"/>
              <w:rPr>
                <w:sz w:val="15"/>
                <w:szCs w:val="15"/>
                <w:color w:val="auto"/>
              </w:rPr>
            </w:pPr>
          </w:p>
        </w:tc>
        <w:tc>
          <w:tcPr>
            <w:tcW w:w="680" w:type="dxa"/>
            <w:vAlign w:val="bottom"/>
            <w:shd w:val="clear" w:color="auto" w:fill="508BC7"/>
          </w:tcPr>
          <w:p>
            <w:pPr>
              <w:spacing w:after="0"/>
              <w:rPr>
                <w:sz w:val="15"/>
                <w:szCs w:val="15"/>
                <w:color w:val="auto"/>
              </w:rPr>
            </w:pPr>
          </w:p>
        </w:tc>
        <w:tc>
          <w:tcPr>
            <w:tcW w:w="1040" w:type="dxa"/>
            <w:vAlign w:val="bottom"/>
            <w:shd w:val="clear" w:color="auto" w:fill="508BC7"/>
          </w:tcPr>
          <w:p>
            <w:pPr>
              <w:spacing w:after="0"/>
              <w:rPr>
                <w:sz w:val="15"/>
                <w:szCs w:val="15"/>
                <w:color w:val="auto"/>
              </w:rPr>
            </w:pPr>
          </w:p>
        </w:tc>
        <w:tc>
          <w:tcPr>
            <w:tcW w:w="1380" w:type="dxa"/>
            <w:vAlign w:val="bottom"/>
            <w:shd w:val="clear" w:color="auto" w:fill="508BC7"/>
          </w:tcPr>
          <w:p>
            <w:pPr>
              <w:spacing w:after="0"/>
              <w:rPr>
                <w:sz w:val="15"/>
                <w:szCs w:val="15"/>
                <w:color w:val="auto"/>
              </w:rPr>
            </w:pPr>
          </w:p>
        </w:tc>
        <w:tc>
          <w:tcPr>
            <w:tcW w:w="14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Change in</w:t>
            </w:r>
          </w:p>
        </w:tc>
        <w:tc>
          <w:tcPr>
            <w:tcW w:w="1500" w:type="dxa"/>
            <w:vAlign w:val="bottom"/>
            <w:shd w:val="clear" w:color="auto" w:fill="508BC7"/>
          </w:tcPr>
          <w:p>
            <w:pPr>
              <w:spacing w:after="0"/>
              <w:rPr>
                <w:sz w:val="15"/>
                <w:szCs w:val="15"/>
                <w:color w:val="auto"/>
              </w:rPr>
            </w:pPr>
          </w:p>
        </w:tc>
        <w:tc>
          <w:tcPr>
            <w:tcW w:w="920" w:type="dxa"/>
            <w:vAlign w:val="bottom"/>
            <w:shd w:val="clear" w:color="auto" w:fill="508BC7"/>
          </w:tcPr>
          <w:p>
            <w:pPr>
              <w:spacing w:after="0"/>
              <w:rPr>
                <w:sz w:val="15"/>
                <w:szCs w:val="15"/>
                <w:color w:val="auto"/>
              </w:rPr>
            </w:pPr>
          </w:p>
        </w:tc>
      </w:tr>
      <w:tr>
        <w:trPr>
          <w:trHeight w:val="162"/>
        </w:trPr>
        <w:tc>
          <w:tcPr>
            <w:tcW w:w="2920" w:type="dxa"/>
            <w:vAlign w:val="bottom"/>
            <w:shd w:val="clear" w:color="auto" w:fill="508BC7"/>
          </w:tcPr>
          <w:p>
            <w:pPr>
              <w:spacing w:after="0"/>
              <w:rPr>
                <w:sz w:val="14"/>
                <w:szCs w:val="14"/>
                <w:color w:val="auto"/>
              </w:rPr>
            </w:pPr>
          </w:p>
        </w:tc>
        <w:tc>
          <w:tcPr>
            <w:tcW w:w="600" w:type="dxa"/>
            <w:vAlign w:val="bottom"/>
            <w:shd w:val="clear" w:color="auto" w:fill="508BC7"/>
          </w:tcPr>
          <w:p>
            <w:pPr>
              <w:spacing w:after="0"/>
              <w:rPr>
                <w:sz w:val="14"/>
                <w:szCs w:val="14"/>
                <w:color w:val="auto"/>
              </w:rPr>
            </w:pPr>
          </w:p>
        </w:tc>
        <w:tc>
          <w:tcPr>
            <w:tcW w:w="940" w:type="dxa"/>
            <w:vAlign w:val="bottom"/>
            <w:shd w:val="clear" w:color="auto" w:fill="508BC7"/>
          </w:tcPr>
          <w:p>
            <w:pPr>
              <w:spacing w:after="0"/>
              <w:rPr>
                <w:sz w:val="14"/>
                <w:szCs w:val="14"/>
                <w:color w:val="auto"/>
              </w:rPr>
            </w:pPr>
          </w:p>
        </w:tc>
        <w:tc>
          <w:tcPr>
            <w:tcW w:w="680" w:type="dxa"/>
            <w:vAlign w:val="bottom"/>
            <w:shd w:val="clear" w:color="auto" w:fill="508BC7"/>
          </w:tcPr>
          <w:p>
            <w:pPr>
              <w:spacing w:after="0"/>
              <w:rPr>
                <w:sz w:val="14"/>
                <w:szCs w:val="14"/>
                <w:color w:val="auto"/>
              </w:rPr>
            </w:pPr>
          </w:p>
        </w:tc>
        <w:tc>
          <w:tcPr>
            <w:tcW w:w="1040" w:type="dxa"/>
            <w:vAlign w:val="bottom"/>
            <w:shd w:val="clear" w:color="auto" w:fill="508BC7"/>
          </w:tcPr>
          <w:p>
            <w:pPr>
              <w:spacing w:after="0"/>
              <w:rPr>
                <w:sz w:val="14"/>
                <w:szCs w:val="14"/>
                <w:color w:val="auto"/>
              </w:rPr>
            </w:pPr>
          </w:p>
        </w:tc>
        <w:tc>
          <w:tcPr>
            <w:tcW w:w="1380" w:type="dxa"/>
            <w:vAlign w:val="bottom"/>
            <w:shd w:val="clear" w:color="auto" w:fill="508BC7"/>
          </w:tcPr>
          <w:p>
            <w:pPr>
              <w:spacing w:after="0"/>
              <w:rPr>
                <w:sz w:val="14"/>
                <w:szCs w:val="14"/>
                <w:color w:val="auto"/>
              </w:rPr>
            </w:pPr>
          </w:p>
        </w:tc>
        <w:tc>
          <w:tcPr>
            <w:tcW w:w="14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Pension</w:t>
            </w:r>
          </w:p>
        </w:tc>
        <w:tc>
          <w:tcPr>
            <w:tcW w:w="1500" w:type="dxa"/>
            <w:vAlign w:val="bottom"/>
            <w:shd w:val="clear" w:color="auto" w:fill="508BC7"/>
          </w:tcPr>
          <w:p>
            <w:pPr>
              <w:spacing w:after="0"/>
              <w:rPr>
                <w:sz w:val="14"/>
                <w:szCs w:val="14"/>
                <w:color w:val="auto"/>
              </w:rPr>
            </w:pPr>
          </w:p>
        </w:tc>
        <w:tc>
          <w:tcPr>
            <w:tcW w:w="920" w:type="dxa"/>
            <w:vAlign w:val="bottom"/>
            <w:shd w:val="clear" w:color="auto" w:fill="508BC7"/>
          </w:tcPr>
          <w:p>
            <w:pPr>
              <w:spacing w:after="0"/>
              <w:rPr>
                <w:sz w:val="14"/>
                <w:szCs w:val="14"/>
                <w:color w:val="auto"/>
              </w:rPr>
            </w:pPr>
          </w:p>
        </w:tc>
      </w:tr>
      <w:tr>
        <w:trPr>
          <w:trHeight w:val="162"/>
        </w:trPr>
        <w:tc>
          <w:tcPr>
            <w:tcW w:w="2920" w:type="dxa"/>
            <w:vAlign w:val="bottom"/>
            <w:shd w:val="clear" w:color="auto" w:fill="508BC7"/>
          </w:tcPr>
          <w:p>
            <w:pPr>
              <w:spacing w:after="0"/>
              <w:rPr>
                <w:sz w:val="14"/>
                <w:szCs w:val="14"/>
                <w:color w:val="auto"/>
              </w:rPr>
            </w:pPr>
          </w:p>
        </w:tc>
        <w:tc>
          <w:tcPr>
            <w:tcW w:w="600" w:type="dxa"/>
            <w:vAlign w:val="bottom"/>
            <w:shd w:val="clear" w:color="auto" w:fill="508BC7"/>
          </w:tcPr>
          <w:p>
            <w:pPr>
              <w:spacing w:after="0"/>
              <w:rPr>
                <w:sz w:val="14"/>
                <w:szCs w:val="14"/>
                <w:color w:val="auto"/>
              </w:rPr>
            </w:pPr>
          </w:p>
        </w:tc>
        <w:tc>
          <w:tcPr>
            <w:tcW w:w="940" w:type="dxa"/>
            <w:vAlign w:val="bottom"/>
            <w:shd w:val="clear" w:color="auto" w:fill="508BC7"/>
          </w:tcPr>
          <w:p>
            <w:pPr>
              <w:spacing w:after="0"/>
              <w:rPr>
                <w:sz w:val="14"/>
                <w:szCs w:val="14"/>
                <w:color w:val="auto"/>
              </w:rPr>
            </w:pPr>
          </w:p>
        </w:tc>
        <w:tc>
          <w:tcPr>
            <w:tcW w:w="680" w:type="dxa"/>
            <w:vAlign w:val="bottom"/>
            <w:shd w:val="clear" w:color="auto" w:fill="508BC7"/>
          </w:tcPr>
          <w:p>
            <w:pPr>
              <w:spacing w:after="0"/>
              <w:rPr>
                <w:sz w:val="14"/>
                <w:szCs w:val="14"/>
                <w:color w:val="auto"/>
              </w:rPr>
            </w:pPr>
          </w:p>
        </w:tc>
        <w:tc>
          <w:tcPr>
            <w:tcW w:w="1040" w:type="dxa"/>
            <w:vAlign w:val="bottom"/>
            <w:shd w:val="clear" w:color="auto" w:fill="508BC7"/>
          </w:tcPr>
          <w:p>
            <w:pPr>
              <w:spacing w:after="0"/>
              <w:rPr>
                <w:sz w:val="14"/>
                <w:szCs w:val="14"/>
                <w:color w:val="auto"/>
              </w:rPr>
            </w:pPr>
          </w:p>
        </w:tc>
        <w:tc>
          <w:tcPr>
            <w:tcW w:w="1380" w:type="dxa"/>
            <w:vAlign w:val="bottom"/>
            <w:shd w:val="clear" w:color="auto" w:fill="508BC7"/>
          </w:tcPr>
          <w:p>
            <w:pPr>
              <w:spacing w:after="0"/>
              <w:rPr>
                <w:sz w:val="14"/>
                <w:szCs w:val="14"/>
                <w:color w:val="auto"/>
              </w:rPr>
            </w:pPr>
          </w:p>
        </w:tc>
        <w:tc>
          <w:tcPr>
            <w:tcW w:w="14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w w:val="99"/>
              </w:rPr>
              <w:t>Value and</w:t>
            </w:r>
          </w:p>
        </w:tc>
        <w:tc>
          <w:tcPr>
            <w:tcW w:w="1500" w:type="dxa"/>
            <w:vAlign w:val="bottom"/>
            <w:shd w:val="clear" w:color="auto" w:fill="508BC7"/>
          </w:tcPr>
          <w:p>
            <w:pPr>
              <w:spacing w:after="0"/>
              <w:rPr>
                <w:sz w:val="14"/>
                <w:szCs w:val="14"/>
                <w:color w:val="auto"/>
              </w:rPr>
            </w:pPr>
          </w:p>
        </w:tc>
        <w:tc>
          <w:tcPr>
            <w:tcW w:w="920" w:type="dxa"/>
            <w:vAlign w:val="bottom"/>
            <w:shd w:val="clear" w:color="auto" w:fill="508BC7"/>
          </w:tcPr>
          <w:p>
            <w:pPr>
              <w:spacing w:after="0"/>
              <w:rPr>
                <w:sz w:val="14"/>
                <w:szCs w:val="14"/>
                <w:color w:val="auto"/>
              </w:rPr>
            </w:pPr>
          </w:p>
        </w:tc>
      </w:tr>
      <w:tr>
        <w:trPr>
          <w:trHeight w:val="162"/>
        </w:trPr>
        <w:tc>
          <w:tcPr>
            <w:tcW w:w="2920" w:type="dxa"/>
            <w:vAlign w:val="bottom"/>
            <w:shd w:val="clear" w:color="auto" w:fill="508BC7"/>
          </w:tcPr>
          <w:p>
            <w:pPr>
              <w:spacing w:after="0"/>
              <w:rPr>
                <w:sz w:val="14"/>
                <w:szCs w:val="14"/>
                <w:color w:val="auto"/>
              </w:rPr>
            </w:pPr>
          </w:p>
        </w:tc>
        <w:tc>
          <w:tcPr>
            <w:tcW w:w="600" w:type="dxa"/>
            <w:vAlign w:val="bottom"/>
            <w:shd w:val="clear" w:color="auto" w:fill="508BC7"/>
          </w:tcPr>
          <w:p>
            <w:pPr>
              <w:spacing w:after="0"/>
              <w:rPr>
                <w:sz w:val="14"/>
                <w:szCs w:val="14"/>
                <w:color w:val="auto"/>
              </w:rPr>
            </w:pPr>
          </w:p>
        </w:tc>
        <w:tc>
          <w:tcPr>
            <w:tcW w:w="940" w:type="dxa"/>
            <w:vAlign w:val="bottom"/>
            <w:shd w:val="clear" w:color="auto" w:fill="508BC7"/>
          </w:tcPr>
          <w:p>
            <w:pPr>
              <w:spacing w:after="0"/>
              <w:rPr>
                <w:sz w:val="14"/>
                <w:szCs w:val="14"/>
                <w:color w:val="auto"/>
              </w:rPr>
            </w:pPr>
          </w:p>
        </w:tc>
        <w:tc>
          <w:tcPr>
            <w:tcW w:w="680" w:type="dxa"/>
            <w:vAlign w:val="bottom"/>
            <w:shd w:val="clear" w:color="auto" w:fill="508BC7"/>
          </w:tcPr>
          <w:p>
            <w:pPr>
              <w:spacing w:after="0"/>
              <w:rPr>
                <w:sz w:val="14"/>
                <w:szCs w:val="14"/>
                <w:color w:val="auto"/>
              </w:rPr>
            </w:pPr>
          </w:p>
        </w:tc>
        <w:tc>
          <w:tcPr>
            <w:tcW w:w="1040" w:type="dxa"/>
            <w:vAlign w:val="bottom"/>
            <w:shd w:val="clear" w:color="auto" w:fill="508BC7"/>
          </w:tcPr>
          <w:p>
            <w:pPr>
              <w:spacing w:after="0"/>
              <w:rPr>
                <w:sz w:val="14"/>
                <w:szCs w:val="14"/>
                <w:color w:val="auto"/>
              </w:rPr>
            </w:pPr>
          </w:p>
        </w:tc>
        <w:tc>
          <w:tcPr>
            <w:tcW w:w="1380" w:type="dxa"/>
            <w:vAlign w:val="bottom"/>
            <w:shd w:val="clear" w:color="auto" w:fill="508BC7"/>
          </w:tcPr>
          <w:p>
            <w:pPr>
              <w:jc w:val="center"/>
              <w:ind w:right="68"/>
              <w:spacing w:after="0"/>
              <w:rPr>
                <w:sz w:val="20"/>
                <w:szCs w:val="20"/>
                <w:color w:val="auto"/>
              </w:rPr>
            </w:pPr>
            <w:r>
              <w:rPr>
                <w:rFonts w:ascii="Arial" w:cs="Arial" w:eastAsia="Arial" w:hAnsi="Arial"/>
                <w:sz w:val="14"/>
                <w:szCs w:val="14"/>
                <w:b w:val="1"/>
                <w:bCs w:val="1"/>
                <w:color w:val="FFFFFF"/>
              </w:rPr>
              <w:t>Non-Equity</w:t>
            </w:r>
          </w:p>
        </w:tc>
        <w:tc>
          <w:tcPr>
            <w:tcW w:w="14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Nonqualified</w:t>
            </w:r>
          </w:p>
        </w:tc>
        <w:tc>
          <w:tcPr>
            <w:tcW w:w="1500" w:type="dxa"/>
            <w:vAlign w:val="bottom"/>
            <w:shd w:val="clear" w:color="auto" w:fill="508BC7"/>
          </w:tcPr>
          <w:p>
            <w:pPr>
              <w:spacing w:after="0"/>
              <w:rPr>
                <w:sz w:val="14"/>
                <w:szCs w:val="14"/>
                <w:color w:val="auto"/>
              </w:rPr>
            </w:pPr>
          </w:p>
        </w:tc>
        <w:tc>
          <w:tcPr>
            <w:tcW w:w="920" w:type="dxa"/>
            <w:vAlign w:val="bottom"/>
            <w:shd w:val="clear" w:color="auto" w:fill="508BC7"/>
          </w:tcPr>
          <w:p>
            <w:pPr>
              <w:spacing w:after="0"/>
              <w:rPr>
                <w:sz w:val="14"/>
                <w:szCs w:val="14"/>
                <w:color w:val="auto"/>
              </w:rPr>
            </w:pPr>
          </w:p>
        </w:tc>
      </w:tr>
      <w:tr>
        <w:trPr>
          <w:trHeight w:val="162"/>
        </w:trPr>
        <w:tc>
          <w:tcPr>
            <w:tcW w:w="2920" w:type="dxa"/>
            <w:vAlign w:val="bottom"/>
            <w:shd w:val="clear" w:color="auto" w:fill="508BC7"/>
          </w:tcPr>
          <w:p>
            <w:pPr>
              <w:spacing w:after="0"/>
              <w:rPr>
                <w:sz w:val="14"/>
                <w:szCs w:val="14"/>
                <w:color w:val="auto"/>
              </w:rPr>
            </w:pPr>
          </w:p>
        </w:tc>
        <w:tc>
          <w:tcPr>
            <w:tcW w:w="600" w:type="dxa"/>
            <w:vAlign w:val="bottom"/>
            <w:shd w:val="clear" w:color="auto" w:fill="508BC7"/>
          </w:tcPr>
          <w:p>
            <w:pPr>
              <w:spacing w:after="0"/>
              <w:rPr>
                <w:sz w:val="14"/>
                <w:szCs w:val="14"/>
                <w:color w:val="auto"/>
              </w:rPr>
            </w:pPr>
          </w:p>
        </w:tc>
        <w:tc>
          <w:tcPr>
            <w:tcW w:w="940" w:type="dxa"/>
            <w:vAlign w:val="bottom"/>
            <w:shd w:val="clear" w:color="auto" w:fill="508BC7"/>
          </w:tcPr>
          <w:p>
            <w:pPr>
              <w:spacing w:after="0"/>
              <w:rPr>
                <w:sz w:val="14"/>
                <w:szCs w:val="14"/>
                <w:color w:val="auto"/>
              </w:rPr>
            </w:pPr>
          </w:p>
        </w:tc>
        <w:tc>
          <w:tcPr>
            <w:tcW w:w="680" w:type="dxa"/>
            <w:vAlign w:val="bottom"/>
            <w:shd w:val="clear" w:color="auto" w:fill="508BC7"/>
          </w:tcPr>
          <w:p>
            <w:pPr>
              <w:spacing w:after="0"/>
              <w:rPr>
                <w:sz w:val="14"/>
                <w:szCs w:val="14"/>
                <w:color w:val="auto"/>
              </w:rPr>
            </w:pPr>
          </w:p>
        </w:tc>
        <w:tc>
          <w:tcPr>
            <w:tcW w:w="1040" w:type="dxa"/>
            <w:vAlign w:val="bottom"/>
            <w:shd w:val="clear" w:color="auto" w:fill="508BC7"/>
          </w:tcPr>
          <w:p>
            <w:pPr>
              <w:spacing w:after="0"/>
              <w:rPr>
                <w:sz w:val="14"/>
                <w:szCs w:val="14"/>
                <w:color w:val="auto"/>
              </w:rPr>
            </w:pPr>
          </w:p>
        </w:tc>
        <w:tc>
          <w:tcPr>
            <w:tcW w:w="1380" w:type="dxa"/>
            <w:vAlign w:val="bottom"/>
            <w:shd w:val="clear" w:color="auto" w:fill="508BC7"/>
          </w:tcPr>
          <w:p>
            <w:pPr>
              <w:jc w:val="center"/>
              <w:ind w:right="28"/>
              <w:spacing w:after="0"/>
              <w:rPr>
                <w:sz w:val="20"/>
                <w:szCs w:val="20"/>
                <w:color w:val="auto"/>
              </w:rPr>
            </w:pPr>
            <w:r>
              <w:rPr>
                <w:rFonts w:ascii="Arial" w:cs="Arial" w:eastAsia="Arial" w:hAnsi="Arial"/>
                <w:sz w:val="14"/>
                <w:szCs w:val="14"/>
                <w:b w:val="1"/>
                <w:bCs w:val="1"/>
                <w:color w:val="FFFFFF"/>
              </w:rPr>
              <w:t>Incentive</w:t>
            </w:r>
          </w:p>
        </w:tc>
        <w:tc>
          <w:tcPr>
            <w:tcW w:w="14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Deferred</w:t>
            </w:r>
          </w:p>
        </w:tc>
        <w:tc>
          <w:tcPr>
            <w:tcW w:w="1500" w:type="dxa"/>
            <w:vAlign w:val="bottom"/>
            <w:shd w:val="clear" w:color="auto" w:fill="508BC7"/>
          </w:tcPr>
          <w:p>
            <w:pPr>
              <w:spacing w:after="0"/>
              <w:rPr>
                <w:sz w:val="14"/>
                <w:szCs w:val="14"/>
                <w:color w:val="auto"/>
              </w:rPr>
            </w:pPr>
          </w:p>
        </w:tc>
        <w:tc>
          <w:tcPr>
            <w:tcW w:w="920" w:type="dxa"/>
            <w:vAlign w:val="bottom"/>
            <w:shd w:val="clear" w:color="auto" w:fill="508BC7"/>
          </w:tcPr>
          <w:p>
            <w:pPr>
              <w:spacing w:after="0"/>
              <w:rPr>
                <w:sz w:val="14"/>
                <w:szCs w:val="14"/>
                <w:color w:val="auto"/>
              </w:rPr>
            </w:pPr>
          </w:p>
        </w:tc>
      </w:tr>
      <w:tr>
        <w:trPr>
          <w:trHeight w:val="175"/>
        </w:trPr>
        <w:tc>
          <w:tcPr>
            <w:tcW w:w="2920" w:type="dxa"/>
            <w:vAlign w:val="bottom"/>
            <w:shd w:val="clear" w:color="auto" w:fill="508BC7"/>
          </w:tcPr>
          <w:p>
            <w:pPr>
              <w:spacing w:after="0"/>
              <w:rPr>
                <w:sz w:val="15"/>
                <w:szCs w:val="15"/>
                <w:color w:val="auto"/>
              </w:rPr>
            </w:pPr>
          </w:p>
        </w:tc>
        <w:tc>
          <w:tcPr>
            <w:tcW w:w="600" w:type="dxa"/>
            <w:vAlign w:val="bottom"/>
            <w:shd w:val="clear" w:color="auto" w:fill="508BC7"/>
          </w:tcPr>
          <w:p>
            <w:pPr>
              <w:spacing w:after="0"/>
              <w:rPr>
                <w:sz w:val="15"/>
                <w:szCs w:val="15"/>
                <w:color w:val="auto"/>
              </w:rPr>
            </w:pPr>
          </w:p>
        </w:tc>
        <w:tc>
          <w:tcPr>
            <w:tcW w:w="940" w:type="dxa"/>
            <w:vAlign w:val="bottom"/>
            <w:shd w:val="clear" w:color="auto" w:fill="508BC7"/>
          </w:tcPr>
          <w:p>
            <w:pPr>
              <w:spacing w:after="0"/>
              <w:rPr>
                <w:sz w:val="15"/>
                <w:szCs w:val="15"/>
                <w:color w:val="auto"/>
              </w:rPr>
            </w:pPr>
          </w:p>
        </w:tc>
        <w:tc>
          <w:tcPr>
            <w:tcW w:w="680" w:type="dxa"/>
            <w:vAlign w:val="bottom"/>
            <w:shd w:val="clear" w:color="auto" w:fill="508BC7"/>
          </w:tcPr>
          <w:p>
            <w:pPr>
              <w:spacing w:after="0"/>
              <w:rPr>
                <w:sz w:val="15"/>
                <w:szCs w:val="15"/>
                <w:color w:val="auto"/>
              </w:rPr>
            </w:pPr>
          </w:p>
        </w:tc>
        <w:tc>
          <w:tcPr>
            <w:tcW w:w="1040" w:type="dxa"/>
            <w:vAlign w:val="bottom"/>
            <w:shd w:val="clear" w:color="auto" w:fill="508BC7"/>
          </w:tcPr>
          <w:p>
            <w:pPr>
              <w:jc w:val="center"/>
              <w:ind w:right="108"/>
              <w:spacing w:after="0"/>
              <w:rPr>
                <w:sz w:val="20"/>
                <w:szCs w:val="20"/>
                <w:color w:val="auto"/>
              </w:rPr>
            </w:pPr>
            <w:r>
              <w:rPr>
                <w:rFonts w:ascii="Arial" w:cs="Arial" w:eastAsia="Arial" w:hAnsi="Arial"/>
                <w:sz w:val="14"/>
                <w:szCs w:val="14"/>
                <w:b w:val="1"/>
                <w:bCs w:val="1"/>
                <w:color w:val="FFFFFF"/>
                <w:w w:val="99"/>
              </w:rPr>
              <w:t>Stock</w:t>
            </w:r>
          </w:p>
        </w:tc>
        <w:tc>
          <w:tcPr>
            <w:tcW w:w="1380" w:type="dxa"/>
            <w:vAlign w:val="bottom"/>
            <w:shd w:val="clear" w:color="auto" w:fill="508BC7"/>
          </w:tcPr>
          <w:p>
            <w:pPr>
              <w:jc w:val="center"/>
              <w:ind w:right="28"/>
              <w:spacing w:after="0"/>
              <w:rPr>
                <w:sz w:val="20"/>
                <w:szCs w:val="20"/>
                <w:color w:val="auto"/>
              </w:rPr>
            </w:pPr>
            <w:r>
              <w:rPr>
                <w:rFonts w:ascii="Arial" w:cs="Arial" w:eastAsia="Arial" w:hAnsi="Arial"/>
                <w:sz w:val="14"/>
                <w:szCs w:val="14"/>
                <w:b w:val="1"/>
                <w:bCs w:val="1"/>
                <w:color w:val="FFFFFF"/>
              </w:rPr>
              <w:t>Plan</w:t>
            </w:r>
          </w:p>
        </w:tc>
        <w:tc>
          <w:tcPr>
            <w:tcW w:w="14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Compensation</w:t>
            </w:r>
          </w:p>
        </w:tc>
        <w:tc>
          <w:tcPr>
            <w:tcW w:w="1500" w:type="dxa"/>
            <w:vAlign w:val="bottom"/>
            <w:shd w:val="clear" w:color="auto" w:fill="508BC7"/>
          </w:tcPr>
          <w:p>
            <w:pPr>
              <w:jc w:val="center"/>
              <w:ind w:right="11"/>
              <w:spacing w:after="0"/>
              <w:rPr>
                <w:sz w:val="20"/>
                <w:szCs w:val="20"/>
                <w:color w:val="auto"/>
              </w:rPr>
            </w:pPr>
            <w:r>
              <w:rPr>
                <w:rFonts w:ascii="Arial" w:cs="Arial" w:eastAsia="Arial" w:hAnsi="Arial"/>
                <w:sz w:val="14"/>
                <w:szCs w:val="14"/>
                <w:b w:val="1"/>
                <w:bCs w:val="1"/>
                <w:color w:val="FFFFFF"/>
              </w:rPr>
              <w:t>All Other</w:t>
            </w:r>
          </w:p>
        </w:tc>
        <w:tc>
          <w:tcPr>
            <w:tcW w:w="920" w:type="dxa"/>
            <w:vAlign w:val="bottom"/>
            <w:shd w:val="clear" w:color="auto" w:fill="508BC7"/>
          </w:tcPr>
          <w:p>
            <w:pPr>
              <w:spacing w:after="0"/>
              <w:rPr>
                <w:sz w:val="15"/>
                <w:szCs w:val="15"/>
                <w:color w:val="auto"/>
              </w:rPr>
            </w:pPr>
          </w:p>
        </w:tc>
      </w:tr>
      <w:tr>
        <w:trPr>
          <w:trHeight w:val="162"/>
        </w:trPr>
        <w:tc>
          <w:tcPr>
            <w:tcW w:w="2920" w:type="dxa"/>
            <w:vAlign w:val="bottom"/>
            <w:shd w:val="clear" w:color="auto" w:fill="508BC7"/>
          </w:tcPr>
          <w:p>
            <w:pPr>
              <w:ind w:left="1060"/>
              <w:spacing w:after="0"/>
              <w:rPr>
                <w:sz w:val="20"/>
                <w:szCs w:val="20"/>
                <w:color w:val="auto"/>
              </w:rPr>
            </w:pPr>
            <w:r>
              <w:rPr>
                <w:rFonts w:ascii="Arial" w:cs="Arial" w:eastAsia="Arial" w:hAnsi="Arial"/>
                <w:sz w:val="14"/>
                <w:szCs w:val="14"/>
                <w:b w:val="1"/>
                <w:bCs w:val="1"/>
                <w:color w:val="FFFFFF"/>
              </w:rPr>
              <w:t>Name and</w:t>
            </w:r>
          </w:p>
        </w:tc>
        <w:tc>
          <w:tcPr>
            <w:tcW w:w="600" w:type="dxa"/>
            <w:vAlign w:val="bottom"/>
            <w:shd w:val="clear" w:color="auto" w:fill="508BC7"/>
          </w:tcPr>
          <w:p>
            <w:pPr>
              <w:spacing w:after="0"/>
              <w:rPr>
                <w:sz w:val="14"/>
                <w:szCs w:val="14"/>
                <w:color w:val="auto"/>
              </w:rPr>
            </w:pPr>
          </w:p>
        </w:tc>
        <w:tc>
          <w:tcPr>
            <w:tcW w:w="9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Salary</w:t>
            </w:r>
          </w:p>
        </w:tc>
        <w:tc>
          <w:tcPr>
            <w:tcW w:w="680" w:type="dxa"/>
            <w:vAlign w:val="bottom"/>
            <w:shd w:val="clear" w:color="auto" w:fill="508BC7"/>
          </w:tcPr>
          <w:p>
            <w:pPr>
              <w:ind w:left="80"/>
              <w:spacing w:after="0"/>
              <w:rPr>
                <w:sz w:val="20"/>
                <w:szCs w:val="20"/>
                <w:color w:val="auto"/>
              </w:rPr>
            </w:pPr>
            <w:r>
              <w:rPr>
                <w:rFonts w:ascii="Arial" w:cs="Arial" w:eastAsia="Arial" w:hAnsi="Arial"/>
                <w:sz w:val="14"/>
                <w:szCs w:val="14"/>
                <w:b w:val="1"/>
                <w:bCs w:val="1"/>
                <w:color w:val="FFFFFF"/>
              </w:rPr>
              <w:t>Bonus</w:t>
            </w:r>
          </w:p>
        </w:tc>
        <w:tc>
          <w:tcPr>
            <w:tcW w:w="1040" w:type="dxa"/>
            <w:vAlign w:val="bottom"/>
            <w:shd w:val="clear" w:color="auto" w:fill="508BC7"/>
          </w:tcPr>
          <w:p>
            <w:pPr>
              <w:jc w:val="center"/>
              <w:ind w:right="88"/>
              <w:spacing w:after="0"/>
              <w:rPr>
                <w:sz w:val="20"/>
                <w:szCs w:val="20"/>
                <w:color w:val="auto"/>
              </w:rPr>
            </w:pPr>
            <w:r>
              <w:rPr>
                <w:rFonts w:ascii="Arial" w:cs="Arial" w:eastAsia="Arial" w:hAnsi="Arial"/>
                <w:sz w:val="14"/>
                <w:szCs w:val="14"/>
                <w:b w:val="1"/>
                <w:bCs w:val="1"/>
                <w:color w:val="FFFFFF"/>
              </w:rPr>
              <w:t>Awards</w:t>
            </w:r>
          </w:p>
        </w:tc>
        <w:tc>
          <w:tcPr>
            <w:tcW w:w="1380" w:type="dxa"/>
            <w:vAlign w:val="bottom"/>
            <w:shd w:val="clear" w:color="auto" w:fill="508BC7"/>
          </w:tcPr>
          <w:p>
            <w:pPr>
              <w:jc w:val="center"/>
              <w:ind w:right="28"/>
              <w:spacing w:after="0"/>
              <w:rPr>
                <w:sz w:val="20"/>
                <w:szCs w:val="20"/>
                <w:color w:val="auto"/>
              </w:rPr>
            </w:pPr>
            <w:r>
              <w:rPr>
                <w:rFonts w:ascii="Arial" w:cs="Arial" w:eastAsia="Arial" w:hAnsi="Arial"/>
                <w:sz w:val="14"/>
                <w:szCs w:val="14"/>
                <w:b w:val="1"/>
                <w:bCs w:val="1"/>
                <w:color w:val="FFFFFF"/>
              </w:rPr>
              <w:t>Compensation</w:t>
            </w:r>
          </w:p>
        </w:tc>
        <w:tc>
          <w:tcPr>
            <w:tcW w:w="14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Earnings</w:t>
            </w:r>
          </w:p>
        </w:tc>
        <w:tc>
          <w:tcPr>
            <w:tcW w:w="150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Compensation</w:t>
            </w:r>
          </w:p>
        </w:tc>
        <w:tc>
          <w:tcPr>
            <w:tcW w:w="920" w:type="dxa"/>
            <w:vAlign w:val="bottom"/>
            <w:shd w:val="clear" w:color="auto" w:fill="508BC7"/>
          </w:tcPr>
          <w:p>
            <w:pPr>
              <w:jc w:val="right"/>
              <w:ind w:right="248"/>
              <w:spacing w:after="0"/>
              <w:rPr>
                <w:sz w:val="20"/>
                <w:szCs w:val="20"/>
                <w:color w:val="auto"/>
              </w:rPr>
            </w:pPr>
            <w:r>
              <w:rPr>
                <w:rFonts w:ascii="Arial" w:cs="Arial" w:eastAsia="Arial" w:hAnsi="Arial"/>
                <w:sz w:val="14"/>
                <w:szCs w:val="14"/>
                <w:b w:val="1"/>
                <w:bCs w:val="1"/>
                <w:color w:val="FFFFFF"/>
              </w:rPr>
              <w:t>Total</w:t>
            </w:r>
          </w:p>
        </w:tc>
      </w:tr>
      <w:tr>
        <w:trPr>
          <w:trHeight w:val="216"/>
        </w:trPr>
        <w:tc>
          <w:tcPr>
            <w:tcW w:w="2920" w:type="dxa"/>
            <w:vAlign w:val="bottom"/>
            <w:shd w:val="clear" w:color="auto" w:fill="508BC7"/>
          </w:tcPr>
          <w:p>
            <w:pPr>
              <w:ind w:left="800"/>
              <w:spacing w:after="0"/>
              <w:rPr>
                <w:sz w:val="20"/>
                <w:szCs w:val="20"/>
                <w:color w:val="auto"/>
              </w:rPr>
            </w:pPr>
            <w:r>
              <w:rPr>
                <w:rFonts w:ascii="Arial" w:cs="Arial" w:eastAsia="Arial" w:hAnsi="Arial"/>
                <w:sz w:val="14"/>
                <w:szCs w:val="14"/>
                <w:b w:val="1"/>
                <w:bCs w:val="1"/>
                <w:color w:val="FFFFFF"/>
              </w:rPr>
              <w:t>Principal Position</w:t>
            </w:r>
          </w:p>
        </w:tc>
        <w:tc>
          <w:tcPr>
            <w:tcW w:w="600" w:type="dxa"/>
            <w:vAlign w:val="bottom"/>
            <w:shd w:val="clear" w:color="auto" w:fill="508BC7"/>
          </w:tcPr>
          <w:p>
            <w:pPr>
              <w:ind w:left="80"/>
              <w:spacing w:after="0"/>
              <w:rPr>
                <w:sz w:val="20"/>
                <w:szCs w:val="20"/>
                <w:color w:val="auto"/>
              </w:rPr>
            </w:pPr>
            <w:r>
              <w:rPr>
                <w:rFonts w:ascii="Arial" w:cs="Arial" w:eastAsia="Arial" w:hAnsi="Arial"/>
                <w:sz w:val="14"/>
                <w:szCs w:val="14"/>
                <w:b w:val="1"/>
                <w:bCs w:val="1"/>
                <w:color w:val="FFFFFF"/>
              </w:rPr>
              <w:t>Year</w:t>
            </w:r>
          </w:p>
        </w:tc>
        <w:tc>
          <w:tcPr>
            <w:tcW w:w="9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w w:val="93"/>
              </w:rPr>
              <w:t>($)</w:t>
            </w:r>
          </w:p>
        </w:tc>
        <w:tc>
          <w:tcPr>
            <w:tcW w:w="680" w:type="dxa"/>
            <w:vAlign w:val="bottom"/>
            <w:shd w:val="clear" w:color="auto" w:fill="508BC7"/>
          </w:tcPr>
          <w:p>
            <w:pPr>
              <w:ind w:left="220"/>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508BC7"/>
          </w:tcPr>
          <w:p>
            <w:pPr>
              <w:jc w:val="center"/>
              <w:ind w:right="88"/>
              <w:spacing w:after="0" w:line="216"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(3)</w:t>
            </w:r>
          </w:p>
        </w:tc>
        <w:tc>
          <w:tcPr>
            <w:tcW w:w="1380" w:type="dxa"/>
            <w:vAlign w:val="bottom"/>
            <w:shd w:val="clear" w:color="auto" w:fill="508BC7"/>
          </w:tcPr>
          <w:p>
            <w:pPr>
              <w:jc w:val="center"/>
              <w:ind w:right="28"/>
              <w:spacing w:after="0" w:line="216"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(4)</w:t>
            </w:r>
          </w:p>
        </w:tc>
        <w:tc>
          <w:tcPr>
            <w:tcW w:w="1440" w:type="dxa"/>
            <w:vAlign w:val="bottom"/>
            <w:shd w:val="clear" w:color="auto" w:fill="508BC7"/>
          </w:tcPr>
          <w:p>
            <w:pPr>
              <w:jc w:val="center"/>
              <w:spacing w:after="0" w:line="216"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(5)</w:t>
            </w:r>
          </w:p>
        </w:tc>
        <w:tc>
          <w:tcPr>
            <w:tcW w:w="1500" w:type="dxa"/>
            <w:vAlign w:val="bottom"/>
            <w:shd w:val="clear" w:color="auto" w:fill="508BC7"/>
          </w:tcPr>
          <w:p>
            <w:pPr>
              <w:jc w:val="center"/>
              <w:ind w:right="11"/>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508BC7"/>
          </w:tcPr>
          <w:p>
            <w:pPr>
              <w:jc w:val="right"/>
              <w:ind w:right="328"/>
              <w:spacing w:after="0"/>
              <w:rPr>
                <w:sz w:val="20"/>
                <w:szCs w:val="20"/>
                <w:color w:val="auto"/>
              </w:rPr>
            </w:pPr>
            <w:r>
              <w:rPr>
                <w:rFonts w:ascii="Arial" w:cs="Arial" w:eastAsia="Arial" w:hAnsi="Arial"/>
                <w:sz w:val="14"/>
                <w:szCs w:val="14"/>
                <w:b w:val="1"/>
                <w:bCs w:val="1"/>
                <w:color w:val="FFFFFF"/>
              </w:rPr>
              <w:t>($)</w:t>
            </w:r>
          </w:p>
        </w:tc>
      </w:tr>
      <w:tr>
        <w:trPr>
          <w:trHeight w:val="167"/>
        </w:trPr>
        <w:tc>
          <w:tcPr>
            <w:tcW w:w="2920" w:type="dxa"/>
            <w:vAlign w:val="bottom"/>
            <w:shd w:val="clear" w:color="auto" w:fill="D0E0F0"/>
          </w:tcPr>
          <w:p>
            <w:pPr>
              <w:spacing w:after="0"/>
              <w:rPr>
                <w:sz w:val="20"/>
                <w:szCs w:val="20"/>
                <w:color w:val="auto"/>
              </w:rPr>
            </w:pPr>
            <w:r>
              <w:rPr>
                <w:rFonts w:ascii="Arial" w:cs="Arial" w:eastAsia="Arial" w:hAnsi="Arial"/>
                <w:sz w:val="14"/>
                <w:szCs w:val="14"/>
                <w:b w:val="1"/>
                <w:bCs w:val="1"/>
                <w:color w:val="auto"/>
              </w:rPr>
              <w:t>Rohit Kapoor</w:t>
            </w:r>
          </w:p>
        </w:tc>
        <w:tc>
          <w:tcPr>
            <w:tcW w:w="600" w:type="dxa"/>
            <w:vAlign w:val="bottom"/>
            <w:shd w:val="clear" w:color="auto" w:fill="D0E0F0"/>
          </w:tcPr>
          <w:p>
            <w:pPr>
              <w:ind w:left="80"/>
              <w:spacing w:after="0"/>
              <w:rPr>
                <w:sz w:val="20"/>
                <w:szCs w:val="20"/>
                <w:color w:val="auto"/>
              </w:rPr>
            </w:pPr>
            <w:r>
              <w:rPr>
                <w:rFonts w:ascii="Arial" w:cs="Arial" w:eastAsia="Arial" w:hAnsi="Arial"/>
                <w:sz w:val="14"/>
                <w:szCs w:val="14"/>
                <w:color w:val="auto"/>
              </w:rPr>
              <w:t>2016</w:t>
            </w:r>
          </w:p>
        </w:tc>
        <w:tc>
          <w:tcPr>
            <w:tcW w:w="940" w:type="dxa"/>
            <w:vAlign w:val="bottom"/>
            <w:shd w:val="clear" w:color="auto" w:fill="D0E0F0"/>
          </w:tcPr>
          <w:p>
            <w:pPr>
              <w:ind w:left="200"/>
              <w:spacing w:after="0"/>
              <w:rPr>
                <w:sz w:val="20"/>
                <w:szCs w:val="20"/>
                <w:color w:val="auto"/>
              </w:rPr>
            </w:pPr>
            <w:r>
              <w:rPr>
                <w:rFonts w:ascii="Arial" w:cs="Arial" w:eastAsia="Arial" w:hAnsi="Arial"/>
                <w:sz w:val="14"/>
                <w:szCs w:val="14"/>
                <w:color w:val="auto"/>
              </w:rPr>
              <w:t>615,027</w:t>
            </w:r>
          </w:p>
        </w:tc>
        <w:tc>
          <w:tcPr>
            <w:tcW w:w="680" w:type="dxa"/>
            <w:vAlign w:val="bottom"/>
            <w:shd w:val="clear" w:color="auto" w:fill="D0E0F0"/>
          </w:tcPr>
          <w:p>
            <w:pPr>
              <w:ind w:left="2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D0E0F0"/>
          </w:tcPr>
          <w:p>
            <w:pPr>
              <w:jc w:val="right"/>
              <w:ind w:right="68"/>
              <w:spacing w:after="0"/>
              <w:rPr>
                <w:sz w:val="20"/>
                <w:szCs w:val="20"/>
                <w:color w:val="auto"/>
              </w:rPr>
            </w:pPr>
            <w:r>
              <w:rPr>
                <w:rFonts w:ascii="Arial" w:cs="Arial" w:eastAsia="Arial" w:hAnsi="Arial"/>
                <w:sz w:val="14"/>
                <w:szCs w:val="14"/>
                <w:color w:val="auto"/>
              </w:rPr>
              <w:t>4,005,938</w:t>
            </w:r>
          </w:p>
        </w:tc>
        <w:tc>
          <w:tcPr>
            <w:tcW w:w="138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525,043</w:t>
            </w:r>
          </w:p>
        </w:tc>
        <w:tc>
          <w:tcPr>
            <w:tcW w:w="1440" w:type="dxa"/>
            <w:vAlign w:val="bottom"/>
            <w:shd w:val="clear" w:color="auto" w:fill="D0E0F0"/>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D0E0F0"/>
          </w:tcPr>
          <w:p>
            <w:pPr>
              <w:jc w:val="right"/>
              <w:ind w:right="231"/>
              <w:spacing w:after="0" w:line="167" w:lineRule="exact"/>
              <w:rPr>
                <w:sz w:val="20"/>
                <w:szCs w:val="20"/>
                <w:color w:val="auto"/>
              </w:rPr>
            </w:pPr>
            <w:r>
              <w:rPr>
                <w:rFonts w:ascii="Arial" w:cs="Arial" w:eastAsia="Arial" w:hAnsi="Arial"/>
                <w:sz w:val="12"/>
                <w:szCs w:val="12"/>
                <w:color w:val="auto"/>
              </w:rPr>
              <w:t>47,129</w:t>
            </w:r>
            <w:r>
              <w:rPr>
                <w:rFonts w:ascii="Arial" w:cs="Arial" w:eastAsia="Arial" w:hAnsi="Arial"/>
                <w:sz w:val="19"/>
                <w:szCs w:val="19"/>
                <w:color w:val="auto"/>
                <w:vertAlign w:val="superscript"/>
              </w:rPr>
              <w:t>(6)</w:t>
            </w:r>
          </w:p>
        </w:tc>
        <w:tc>
          <w:tcPr>
            <w:tcW w:w="920" w:type="dxa"/>
            <w:vAlign w:val="bottom"/>
            <w:shd w:val="clear" w:color="auto" w:fill="D0E0F0"/>
          </w:tcPr>
          <w:p>
            <w:pPr>
              <w:jc w:val="right"/>
              <w:spacing w:after="0"/>
              <w:rPr>
                <w:sz w:val="20"/>
                <w:szCs w:val="20"/>
                <w:color w:val="auto"/>
              </w:rPr>
            </w:pPr>
            <w:r>
              <w:rPr>
                <w:rFonts w:ascii="Arial" w:cs="Arial" w:eastAsia="Arial" w:hAnsi="Arial"/>
                <w:sz w:val="14"/>
                <w:szCs w:val="14"/>
                <w:color w:val="auto"/>
              </w:rPr>
              <w:t>5,193,137</w:t>
            </w:r>
          </w:p>
        </w:tc>
      </w:tr>
      <w:tr>
        <w:trPr>
          <w:trHeight w:val="162"/>
        </w:trPr>
        <w:tc>
          <w:tcPr>
            <w:tcW w:w="2920" w:type="dxa"/>
            <w:vAlign w:val="bottom"/>
            <w:shd w:val="clear" w:color="auto" w:fill="D0E0F0"/>
          </w:tcPr>
          <w:p>
            <w:pPr>
              <w:ind w:left="100"/>
              <w:spacing w:after="0"/>
              <w:rPr>
                <w:sz w:val="20"/>
                <w:szCs w:val="20"/>
                <w:color w:val="auto"/>
              </w:rPr>
            </w:pPr>
            <w:r>
              <w:rPr>
                <w:rFonts w:ascii="Arial" w:cs="Arial" w:eastAsia="Arial" w:hAnsi="Arial"/>
                <w:sz w:val="14"/>
                <w:szCs w:val="14"/>
                <w:color w:val="auto"/>
              </w:rPr>
              <w:t>Vice Chairman &amp; CEO</w:t>
            </w:r>
          </w:p>
        </w:tc>
        <w:tc>
          <w:tcPr>
            <w:tcW w:w="600" w:type="dxa"/>
            <w:vAlign w:val="bottom"/>
            <w:shd w:val="clear" w:color="auto" w:fill="D0E0F0"/>
          </w:tcPr>
          <w:p>
            <w:pPr>
              <w:ind w:left="80"/>
              <w:spacing w:after="0"/>
              <w:rPr>
                <w:sz w:val="20"/>
                <w:szCs w:val="20"/>
                <w:color w:val="auto"/>
              </w:rPr>
            </w:pPr>
            <w:r>
              <w:rPr>
                <w:rFonts w:ascii="Arial" w:cs="Arial" w:eastAsia="Arial" w:hAnsi="Arial"/>
                <w:sz w:val="14"/>
                <w:szCs w:val="14"/>
                <w:color w:val="auto"/>
              </w:rPr>
              <w:t>2015</w:t>
            </w:r>
          </w:p>
        </w:tc>
        <w:tc>
          <w:tcPr>
            <w:tcW w:w="940" w:type="dxa"/>
            <w:vAlign w:val="bottom"/>
            <w:shd w:val="clear" w:color="auto" w:fill="D0E0F0"/>
          </w:tcPr>
          <w:p>
            <w:pPr>
              <w:ind w:left="200"/>
              <w:spacing w:after="0"/>
              <w:rPr>
                <w:sz w:val="20"/>
                <w:szCs w:val="20"/>
                <w:color w:val="auto"/>
              </w:rPr>
            </w:pPr>
            <w:r>
              <w:rPr>
                <w:rFonts w:ascii="Arial" w:cs="Arial" w:eastAsia="Arial" w:hAnsi="Arial"/>
                <w:sz w:val="14"/>
                <w:szCs w:val="14"/>
                <w:color w:val="auto"/>
              </w:rPr>
              <w:t>600,000</w:t>
            </w:r>
          </w:p>
        </w:tc>
        <w:tc>
          <w:tcPr>
            <w:tcW w:w="680" w:type="dxa"/>
            <w:vAlign w:val="bottom"/>
            <w:shd w:val="clear" w:color="auto" w:fill="D0E0F0"/>
          </w:tcPr>
          <w:p>
            <w:pPr>
              <w:ind w:left="2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D0E0F0"/>
          </w:tcPr>
          <w:p>
            <w:pPr>
              <w:jc w:val="right"/>
              <w:ind w:right="68"/>
              <w:spacing w:after="0"/>
              <w:rPr>
                <w:sz w:val="20"/>
                <w:szCs w:val="20"/>
                <w:color w:val="auto"/>
              </w:rPr>
            </w:pPr>
            <w:r>
              <w:rPr>
                <w:rFonts w:ascii="Arial" w:cs="Arial" w:eastAsia="Arial" w:hAnsi="Arial"/>
                <w:sz w:val="14"/>
                <w:szCs w:val="14"/>
                <w:color w:val="auto"/>
              </w:rPr>
              <w:t>6,119,000</w:t>
            </w:r>
          </w:p>
        </w:tc>
        <w:tc>
          <w:tcPr>
            <w:tcW w:w="138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621,129</w:t>
            </w:r>
          </w:p>
        </w:tc>
        <w:tc>
          <w:tcPr>
            <w:tcW w:w="1440" w:type="dxa"/>
            <w:vAlign w:val="bottom"/>
            <w:shd w:val="clear" w:color="auto" w:fill="D0E0F0"/>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D0E0F0"/>
          </w:tcPr>
          <w:p>
            <w:pPr>
              <w:jc w:val="right"/>
              <w:ind w:right="371"/>
              <w:spacing w:after="0"/>
              <w:rPr>
                <w:sz w:val="20"/>
                <w:szCs w:val="20"/>
                <w:color w:val="auto"/>
              </w:rPr>
            </w:pPr>
            <w:r>
              <w:rPr>
                <w:rFonts w:ascii="Arial" w:cs="Arial" w:eastAsia="Arial" w:hAnsi="Arial"/>
                <w:sz w:val="14"/>
                <w:szCs w:val="14"/>
                <w:color w:val="auto"/>
              </w:rPr>
              <w:t>35,014</w:t>
            </w:r>
          </w:p>
        </w:tc>
        <w:tc>
          <w:tcPr>
            <w:tcW w:w="920" w:type="dxa"/>
            <w:vAlign w:val="bottom"/>
            <w:shd w:val="clear" w:color="auto" w:fill="D0E0F0"/>
          </w:tcPr>
          <w:p>
            <w:pPr>
              <w:jc w:val="right"/>
              <w:spacing w:after="0"/>
              <w:rPr>
                <w:sz w:val="20"/>
                <w:szCs w:val="20"/>
                <w:color w:val="auto"/>
              </w:rPr>
            </w:pPr>
            <w:r>
              <w:rPr>
                <w:rFonts w:ascii="Arial" w:cs="Arial" w:eastAsia="Arial" w:hAnsi="Arial"/>
                <w:sz w:val="14"/>
                <w:szCs w:val="14"/>
                <w:color w:val="auto"/>
              </w:rPr>
              <w:t>7,375,143</w:t>
            </w:r>
          </w:p>
        </w:tc>
      </w:tr>
      <w:tr>
        <w:trPr>
          <w:trHeight w:val="171"/>
        </w:trPr>
        <w:tc>
          <w:tcPr>
            <w:tcW w:w="2920" w:type="dxa"/>
            <w:vAlign w:val="bottom"/>
            <w:shd w:val="clear" w:color="auto" w:fill="D0E0F0"/>
          </w:tcPr>
          <w:p>
            <w:pPr>
              <w:spacing w:after="0"/>
              <w:rPr>
                <w:sz w:val="14"/>
                <w:szCs w:val="14"/>
                <w:color w:val="auto"/>
              </w:rPr>
            </w:pPr>
          </w:p>
        </w:tc>
        <w:tc>
          <w:tcPr>
            <w:tcW w:w="600" w:type="dxa"/>
            <w:vAlign w:val="bottom"/>
            <w:shd w:val="clear" w:color="auto" w:fill="D0E0F0"/>
          </w:tcPr>
          <w:p>
            <w:pPr>
              <w:ind w:left="80"/>
              <w:spacing w:after="0"/>
              <w:rPr>
                <w:sz w:val="20"/>
                <w:szCs w:val="20"/>
                <w:color w:val="auto"/>
              </w:rPr>
            </w:pPr>
            <w:r>
              <w:rPr>
                <w:rFonts w:ascii="Arial" w:cs="Arial" w:eastAsia="Arial" w:hAnsi="Arial"/>
                <w:sz w:val="14"/>
                <w:szCs w:val="14"/>
                <w:color w:val="auto"/>
              </w:rPr>
              <w:t>2014</w:t>
            </w:r>
          </w:p>
        </w:tc>
        <w:tc>
          <w:tcPr>
            <w:tcW w:w="940" w:type="dxa"/>
            <w:vAlign w:val="bottom"/>
            <w:shd w:val="clear" w:color="auto" w:fill="D0E0F0"/>
          </w:tcPr>
          <w:p>
            <w:pPr>
              <w:ind w:left="200"/>
              <w:spacing w:after="0"/>
              <w:rPr>
                <w:sz w:val="20"/>
                <w:szCs w:val="20"/>
                <w:color w:val="auto"/>
              </w:rPr>
            </w:pPr>
            <w:r>
              <w:rPr>
                <w:rFonts w:ascii="Arial" w:cs="Arial" w:eastAsia="Arial" w:hAnsi="Arial"/>
                <w:sz w:val="14"/>
                <w:szCs w:val="14"/>
                <w:color w:val="auto"/>
              </w:rPr>
              <w:t>565,000</w:t>
            </w:r>
          </w:p>
        </w:tc>
        <w:tc>
          <w:tcPr>
            <w:tcW w:w="680" w:type="dxa"/>
            <w:vAlign w:val="bottom"/>
            <w:shd w:val="clear" w:color="auto" w:fill="D0E0F0"/>
          </w:tcPr>
          <w:p>
            <w:pPr>
              <w:ind w:left="2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D0E0F0"/>
          </w:tcPr>
          <w:p>
            <w:pPr>
              <w:jc w:val="right"/>
              <w:ind w:right="68"/>
              <w:spacing w:after="0"/>
              <w:rPr>
                <w:sz w:val="20"/>
                <w:szCs w:val="20"/>
                <w:color w:val="auto"/>
              </w:rPr>
            </w:pPr>
            <w:r>
              <w:rPr>
                <w:rFonts w:ascii="Arial" w:cs="Arial" w:eastAsia="Arial" w:hAnsi="Arial"/>
                <w:sz w:val="14"/>
                <w:szCs w:val="14"/>
                <w:color w:val="auto"/>
              </w:rPr>
              <w:t>2,164,263</w:t>
            </w:r>
          </w:p>
        </w:tc>
        <w:tc>
          <w:tcPr>
            <w:tcW w:w="138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535,760</w:t>
            </w:r>
          </w:p>
        </w:tc>
        <w:tc>
          <w:tcPr>
            <w:tcW w:w="1440" w:type="dxa"/>
            <w:vAlign w:val="bottom"/>
            <w:shd w:val="clear" w:color="auto" w:fill="D0E0F0"/>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D0E0F0"/>
          </w:tcPr>
          <w:p>
            <w:pPr>
              <w:jc w:val="right"/>
              <w:ind w:right="371"/>
              <w:spacing w:after="0"/>
              <w:rPr>
                <w:sz w:val="20"/>
                <w:szCs w:val="20"/>
                <w:color w:val="auto"/>
              </w:rPr>
            </w:pPr>
            <w:r>
              <w:rPr>
                <w:rFonts w:ascii="Arial" w:cs="Arial" w:eastAsia="Arial" w:hAnsi="Arial"/>
                <w:sz w:val="14"/>
                <w:szCs w:val="14"/>
                <w:color w:val="auto"/>
              </w:rPr>
              <w:t>44,198</w:t>
            </w:r>
          </w:p>
        </w:tc>
        <w:tc>
          <w:tcPr>
            <w:tcW w:w="920" w:type="dxa"/>
            <w:vAlign w:val="bottom"/>
            <w:shd w:val="clear" w:color="auto" w:fill="D0E0F0"/>
          </w:tcPr>
          <w:p>
            <w:pPr>
              <w:jc w:val="right"/>
              <w:spacing w:after="0"/>
              <w:rPr>
                <w:sz w:val="20"/>
                <w:szCs w:val="20"/>
                <w:color w:val="auto"/>
              </w:rPr>
            </w:pPr>
            <w:r>
              <w:rPr>
                <w:rFonts w:ascii="Arial" w:cs="Arial" w:eastAsia="Arial" w:hAnsi="Arial"/>
                <w:sz w:val="14"/>
                <w:szCs w:val="14"/>
                <w:color w:val="auto"/>
              </w:rPr>
              <w:t>3,309,221</w:t>
            </w:r>
          </w:p>
        </w:tc>
      </w:tr>
      <w:tr>
        <w:trPr>
          <w:trHeight w:val="167"/>
        </w:trPr>
        <w:tc>
          <w:tcPr>
            <w:tcW w:w="2920" w:type="dxa"/>
            <w:vAlign w:val="bottom"/>
          </w:tcPr>
          <w:p>
            <w:pPr>
              <w:spacing w:after="0"/>
              <w:rPr>
                <w:sz w:val="20"/>
                <w:szCs w:val="20"/>
                <w:color w:val="auto"/>
              </w:rPr>
            </w:pPr>
            <w:r>
              <w:rPr>
                <w:rFonts w:ascii="Arial" w:cs="Arial" w:eastAsia="Arial" w:hAnsi="Arial"/>
                <w:sz w:val="14"/>
                <w:szCs w:val="14"/>
                <w:b w:val="1"/>
                <w:bCs w:val="1"/>
                <w:color w:val="auto"/>
              </w:rPr>
              <w:t>Vishal Chhibbar</w:t>
            </w:r>
          </w:p>
        </w:tc>
        <w:tc>
          <w:tcPr>
            <w:tcW w:w="600" w:type="dxa"/>
            <w:vAlign w:val="bottom"/>
          </w:tcPr>
          <w:p>
            <w:pPr>
              <w:ind w:left="80"/>
              <w:spacing w:after="0"/>
              <w:rPr>
                <w:sz w:val="20"/>
                <w:szCs w:val="20"/>
                <w:color w:val="auto"/>
              </w:rPr>
            </w:pPr>
            <w:r>
              <w:rPr>
                <w:rFonts w:ascii="Arial" w:cs="Arial" w:eastAsia="Arial" w:hAnsi="Arial"/>
                <w:sz w:val="14"/>
                <w:szCs w:val="14"/>
                <w:color w:val="auto"/>
              </w:rPr>
              <w:t>2016</w:t>
            </w:r>
          </w:p>
        </w:tc>
        <w:tc>
          <w:tcPr>
            <w:tcW w:w="940" w:type="dxa"/>
            <w:vAlign w:val="bottom"/>
          </w:tcPr>
          <w:p>
            <w:pPr>
              <w:ind w:left="200"/>
              <w:spacing w:after="0"/>
              <w:rPr>
                <w:sz w:val="20"/>
                <w:szCs w:val="20"/>
                <w:color w:val="auto"/>
              </w:rPr>
            </w:pPr>
            <w:r>
              <w:rPr>
                <w:rFonts w:ascii="Arial" w:cs="Arial" w:eastAsia="Arial" w:hAnsi="Arial"/>
                <w:sz w:val="14"/>
                <w:szCs w:val="14"/>
                <w:color w:val="auto"/>
              </w:rPr>
              <w:t>411,054</w:t>
            </w:r>
            <w:r>
              <w:rPr>
                <w:rFonts w:ascii="Arial" w:cs="Arial" w:eastAsia="Arial" w:hAnsi="Arial"/>
                <w:sz w:val="11"/>
                <w:szCs w:val="11"/>
                <w:color w:val="auto"/>
              </w:rPr>
              <w:t>(1)</w:t>
            </w:r>
          </w:p>
        </w:tc>
        <w:tc>
          <w:tcPr>
            <w:tcW w:w="680" w:type="dxa"/>
            <w:vAlign w:val="bottom"/>
          </w:tcPr>
          <w:p>
            <w:pPr>
              <w:ind w:left="2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747,775</w:t>
            </w:r>
          </w:p>
        </w:tc>
        <w:tc>
          <w:tcPr>
            <w:tcW w:w="1380" w:type="dxa"/>
            <w:vAlign w:val="bottom"/>
          </w:tcPr>
          <w:p>
            <w:pPr>
              <w:jc w:val="center"/>
              <w:spacing w:after="0"/>
              <w:rPr>
                <w:sz w:val="20"/>
                <w:szCs w:val="20"/>
                <w:color w:val="auto"/>
              </w:rPr>
            </w:pPr>
            <w:r>
              <w:rPr>
                <w:rFonts w:ascii="Arial" w:cs="Arial" w:eastAsia="Arial" w:hAnsi="Arial"/>
                <w:sz w:val="14"/>
                <w:szCs w:val="14"/>
                <w:color w:val="auto"/>
              </w:rPr>
              <w:t>210,992</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right"/>
              <w:ind w:right="231"/>
              <w:spacing w:after="0" w:line="167" w:lineRule="exact"/>
              <w:rPr>
                <w:sz w:val="20"/>
                <w:szCs w:val="20"/>
                <w:color w:val="auto"/>
              </w:rPr>
            </w:pPr>
            <w:r>
              <w:rPr>
                <w:rFonts w:ascii="Arial" w:cs="Arial" w:eastAsia="Arial" w:hAnsi="Arial"/>
                <w:sz w:val="12"/>
                <w:szCs w:val="12"/>
                <w:color w:val="auto"/>
              </w:rPr>
              <w:t>108,340</w:t>
            </w:r>
            <w:r>
              <w:rPr>
                <w:rFonts w:ascii="Arial" w:cs="Arial" w:eastAsia="Arial" w:hAnsi="Arial"/>
                <w:sz w:val="19"/>
                <w:szCs w:val="19"/>
                <w:color w:val="auto"/>
                <w:vertAlign w:val="superscript"/>
              </w:rPr>
              <w:t>(7)</w:t>
            </w:r>
          </w:p>
        </w:tc>
        <w:tc>
          <w:tcPr>
            <w:tcW w:w="920" w:type="dxa"/>
            <w:vAlign w:val="bottom"/>
          </w:tcPr>
          <w:p>
            <w:pPr>
              <w:jc w:val="right"/>
              <w:spacing w:after="0"/>
              <w:rPr>
                <w:sz w:val="20"/>
                <w:szCs w:val="20"/>
                <w:color w:val="auto"/>
              </w:rPr>
            </w:pPr>
            <w:r>
              <w:rPr>
                <w:rFonts w:ascii="Arial" w:cs="Arial" w:eastAsia="Arial" w:hAnsi="Arial"/>
                <w:sz w:val="14"/>
                <w:szCs w:val="14"/>
                <w:color w:val="auto"/>
              </w:rPr>
              <w:t>1,478,161</w:t>
            </w:r>
          </w:p>
        </w:tc>
      </w:tr>
      <w:tr>
        <w:trPr>
          <w:trHeight w:val="162"/>
        </w:trPr>
        <w:tc>
          <w:tcPr>
            <w:tcW w:w="2920" w:type="dxa"/>
            <w:vAlign w:val="bottom"/>
          </w:tcPr>
          <w:p>
            <w:pPr>
              <w:ind w:left="100"/>
              <w:spacing w:after="0"/>
              <w:rPr>
                <w:sz w:val="20"/>
                <w:szCs w:val="20"/>
                <w:color w:val="auto"/>
              </w:rPr>
            </w:pPr>
            <w:r>
              <w:rPr>
                <w:rFonts w:ascii="Arial" w:cs="Arial" w:eastAsia="Arial" w:hAnsi="Arial"/>
                <w:sz w:val="14"/>
                <w:szCs w:val="14"/>
                <w:color w:val="auto"/>
              </w:rPr>
              <w:t>Executive Vice President and CFO</w:t>
            </w:r>
          </w:p>
        </w:tc>
        <w:tc>
          <w:tcPr>
            <w:tcW w:w="600" w:type="dxa"/>
            <w:vAlign w:val="bottom"/>
          </w:tcPr>
          <w:p>
            <w:pPr>
              <w:ind w:left="80"/>
              <w:spacing w:after="0"/>
              <w:rPr>
                <w:sz w:val="20"/>
                <w:szCs w:val="20"/>
                <w:color w:val="auto"/>
              </w:rPr>
            </w:pPr>
            <w:r>
              <w:rPr>
                <w:rFonts w:ascii="Arial" w:cs="Arial" w:eastAsia="Arial" w:hAnsi="Arial"/>
                <w:sz w:val="14"/>
                <w:szCs w:val="14"/>
                <w:color w:val="auto"/>
              </w:rPr>
              <w:t>2015</w:t>
            </w:r>
          </w:p>
        </w:tc>
        <w:tc>
          <w:tcPr>
            <w:tcW w:w="940" w:type="dxa"/>
            <w:vAlign w:val="bottom"/>
          </w:tcPr>
          <w:p>
            <w:pPr>
              <w:ind w:left="200"/>
              <w:spacing w:after="0"/>
              <w:rPr>
                <w:sz w:val="20"/>
                <w:szCs w:val="20"/>
                <w:color w:val="auto"/>
              </w:rPr>
            </w:pPr>
            <w:r>
              <w:rPr>
                <w:rFonts w:ascii="Arial" w:cs="Arial" w:eastAsia="Arial" w:hAnsi="Arial"/>
                <w:sz w:val="14"/>
                <w:szCs w:val="14"/>
                <w:color w:val="auto"/>
              </w:rPr>
              <w:t>251,341</w:t>
            </w:r>
          </w:p>
        </w:tc>
        <w:tc>
          <w:tcPr>
            <w:tcW w:w="680" w:type="dxa"/>
            <w:vAlign w:val="bottom"/>
          </w:tcPr>
          <w:p>
            <w:pPr>
              <w:ind w:left="2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595,800</w:t>
            </w:r>
          </w:p>
        </w:tc>
        <w:tc>
          <w:tcPr>
            <w:tcW w:w="1380" w:type="dxa"/>
            <w:vAlign w:val="bottom"/>
          </w:tcPr>
          <w:p>
            <w:pPr>
              <w:jc w:val="center"/>
              <w:spacing w:after="0"/>
              <w:rPr>
                <w:sz w:val="20"/>
                <w:szCs w:val="20"/>
                <w:color w:val="auto"/>
              </w:rPr>
            </w:pPr>
            <w:r>
              <w:rPr>
                <w:rFonts w:ascii="Arial" w:cs="Arial" w:eastAsia="Arial" w:hAnsi="Arial"/>
                <w:sz w:val="14"/>
                <w:szCs w:val="14"/>
                <w:color w:val="auto"/>
              </w:rPr>
              <w:t>157,049</w:t>
            </w:r>
          </w:p>
        </w:tc>
        <w:tc>
          <w:tcPr>
            <w:tcW w:w="1440" w:type="dxa"/>
            <w:vAlign w:val="bottom"/>
          </w:tcPr>
          <w:p>
            <w:pPr>
              <w:jc w:val="center"/>
              <w:spacing w:after="0"/>
              <w:rPr>
                <w:sz w:val="20"/>
                <w:szCs w:val="20"/>
                <w:color w:val="auto"/>
              </w:rPr>
            </w:pPr>
            <w:r>
              <w:rPr>
                <w:rFonts w:ascii="Arial" w:cs="Arial" w:eastAsia="Arial" w:hAnsi="Arial"/>
                <w:sz w:val="14"/>
                <w:szCs w:val="14"/>
                <w:color w:val="auto"/>
              </w:rPr>
              <w:t>8,340</w:t>
            </w:r>
          </w:p>
        </w:tc>
        <w:tc>
          <w:tcPr>
            <w:tcW w:w="1500" w:type="dxa"/>
            <w:vAlign w:val="bottom"/>
          </w:tcPr>
          <w:p>
            <w:pPr>
              <w:jc w:val="right"/>
              <w:ind w:right="371"/>
              <w:spacing w:after="0"/>
              <w:rPr>
                <w:sz w:val="20"/>
                <w:szCs w:val="20"/>
                <w:color w:val="auto"/>
              </w:rPr>
            </w:pPr>
            <w:r>
              <w:rPr>
                <w:rFonts w:ascii="Arial" w:cs="Arial" w:eastAsia="Arial" w:hAnsi="Arial"/>
                <w:sz w:val="14"/>
                <w:szCs w:val="14"/>
                <w:color w:val="auto"/>
              </w:rPr>
              <w:t>34,775</w:t>
            </w:r>
          </w:p>
        </w:tc>
        <w:tc>
          <w:tcPr>
            <w:tcW w:w="920" w:type="dxa"/>
            <w:vAlign w:val="bottom"/>
          </w:tcPr>
          <w:p>
            <w:pPr>
              <w:jc w:val="right"/>
              <w:spacing w:after="0"/>
              <w:rPr>
                <w:sz w:val="20"/>
                <w:szCs w:val="20"/>
                <w:color w:val="auto"/>
              </w:rPr>
            </w:pPr>
            <w:r>
              <w:rPr>
                <w:rFonts w:ascii="Arial" w:cs="Arial" w:eastAsia="Arial" w:hAnsi="Arial"/>
                <w:sz w:val="14"/>
                <w:szCs w:val="14"/>
                <w:color w:val="auto"/>
              </w:rPr>
              <w:t>1,047,305</w:t>
            </w:r>
          </w:p>
        </w:tc>
      </w:tr>
      <w:tr>
        <w:trPr>
          <w:trHeight w:val="171"/>
        </w:trPr>
        <w:tc>
          <w:tcPr>
            <w:tcW w:w="29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auto"/>
              </w:rPr>
              <w:t>2014</w:t>
            </w:r>
          </w:p>
        </w:tc>
        <w:tc>
          <w:tcPr>
            <w:tcW w:w="940" w:type="dxa"/>
            <w:vAlign w:val="bottom"/>
          </w:tcPr>
          <w:p>
            <w:pPr>
              <w:ind w:left="200"/>
              <w:spacing w:after="0"/>
              <w:rPr>
                <w:sz w:val="20"/>
                <w:szCs w:val="20"/>
                <w:color w:val="auto"/>
              </w:rPr>
            </w:pPr>
            <w:r>
              <w:rPr>
                <w:rFonts w:ascii="Arial" w:cs="Arial" w:eastAsia="Arial" w:hAnsi="Arial"/>
                <w:sz w:val="14"/>
                <w:szCs w:val="14"/>
                <w:color w:val="auto"/>
              </w:rPr>
              <w:t>250,272</w:t>
            </w:r>
          </w:p>
        </w:tc>
        <w:tc>
          <w:tcPr>
            <w:tcW w:w="6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415,549</w:t>
            </w:r>
          </w:p>
        </w:tc>
        <w:tc>
          <w:tcPr>
            <w:tcW w:w="1380" w:type="dxa"/>
            <w:vAlign w:val="bottom"/>
          </w:tcPr>
          <w:p>
            <w:pPr>
              <w:jc w:val="center"/>
              <w:spacing w:after="0"/>
              <w:rPr>
                <w:sz w:val="20"/>
                <w:szCs w:val="20"/>
                <w:color w:val="auto"/>
              </w:rPr>
            </w:pPr>
            <w:r>
              <w:rPr>
                <w:rFonts w:ascii="Arial" w:cs="Arial" w:eastAsia="Arial" w:hAnsi="Arial"/>
                <w:sz w:val="14"/>
                <w:szCs w:val="14"/>
                <w:color w:val="auto"/>
              </w:rPr>
              <w:t>130,457</w:t>
            </w:r>
          </w:p>
        </w:tc>
        <w:tc>
          <w:tcPr>
            <w:tcW w:w="1440" w:type="dxa"/>
            <w:vAlign w:val="bottom"/>
          </w:tcPr>
          <w:p>
            <w:pPr>
              <w:jc w:val="center"/>
              <w:spacing w:after="0"/>
              <w:rPr>
                <w:sz w:val="20"/>
                <w:szCs w:val="20"/>
                <w:color w:val="auto"/>
              </w:rPr>
            </w:pPr>
            <w:r>
              <w:rPr>
                <w:rFonts w:ascii="Arial" w:cs="Arial" w:eastAsia="Arial" w:hAnsi="Arial"/>
                <w:sz w:val="14"/>
                <w:szCs w:val="14"/>
                <w:color w:val="auto"/>
              </w:rPr>
              <w:t>8,066</w:t>
            </w:r>
          </w:p>
        </w:tc>
        <w:tc>
          <w:tcPr>
            <w:tcW w:w="1500" w:type="dxa"/>
            <w:vAlign w:val="bottom"/>
          </w:tcPr>
          <w:p>
            <w:pPr>
              <w:jc w:val="right"/>
              <w:ind w:right="371"/>
              <w:spacing w:after="0"/>
              <w:rPr>
                <w:sz w:val="20"/>
                <w:szCs w:val="20"/>
                <w:color w:val="auto"/>
              </w:rPr>
            </w:pPr>
            <w:r>
              <w:rPr>
                <w:rFonts w:ascii="Arial" w:cs="Arial" w:eastAsia="Arial" w:hAnsi="Arial"/>
                <w:sz w:val="14"/>
                <w:szCs w:val="14"/>
                <w:color w:val="auto"/>
              </w:rPr>
              <w:t>35,879</w:t>
            </w:r>
          </w:p>
        </w:tc>
        <w:tc>
          <w:tcPr>
            <w:tcW w:w="920" w:type="dxa"/>
            <w:vAlign w:val="bottom"/>
          </w:tcPr>
          <w:p>
            <w:pPr>
              <w:jc w:val="right"/>
              <w:spacing w:after="0"/>
              <w:rPr>
                <w:sz w:val="20"/>
                <w:szCs w:val="20"/>
                <w:color w:val="auto"/>
              </w:rPr>
            </w:pPr>
            <w:r>
              <w:rPr>
                <w:rFonts w:ascii="Arial" w:cs="Arial" w:eastAsia="Arial" w:hAnsi="Arial"/>
                <w:sz w:val="14"/>
                <w:szCs w:val="14"/>
                <w:color w:val="auto"/>
              </w:rPr>
              <w:t>840,222</w:t>
            </w:r>
          </w:p>
        </w:tc>
      </w:tr>
      <w:tr>
        <w:trPr>
          <w:trHeight w:val="167"/>
        </w:trPr>
        <w:tc>
          <w:tcPr>
            <w:tcW w:w="2920" w:type="dxa"/>
            <w:vAlign w:val="bottom"/>
            <w:shd w:val="clear" w:color="auto" w:fill="D0E0F0"/>
          </w:tcPr>
          <w:p>
            <w:pPr>
              <w:spacing w:after="0"/>
              <w:rPr>
                <w:sz w:val="20"/>
                <w:szCs w:val="20"/>
                <w:color w:val="auto"/>
              </w:rPr>
            </w:pPr>
            <w:r>
              <w:rPr>
                <w:rFonts w:ascii="Arial" w:cs="Arial" w:eastAsia="Arial" w:hAnsi="Arial"/>
                <w:sz w:val="14"/>
                <w:szCs w:val="14"/>
                <w:b w:val="1"/>
                <w:bCs w:val="1"/>
                <w:color w:val="auto"/>
              </w:rPr>
              <w:t>Pavan Bagai</w:t>
            </w:r>
          </w:p>
        </w:tc>
        <w:tc>
          <w:tcPr>
            <w:tcW w:w="600" w:type="dxa"/>
            <w:vAlign w:val="bottom"/>
            <w:shd w:val="clear" w:color="auto" w:fill="D0E0F0"/>
          </w:tcPr>
          <w:p>
            <w:pPr>
              <w:ind w:left="80"/>
              <w:spacing w:after="0"/>
              <w:rPr>
                <w:sz w:val="20"/>
                <w:szCs w:val="20"/>
                <w:color w:val="auto"/>
              </w:rPr>
            </w:pPr>
            <w:r>
              <w:rPr>
                <w:rFonts w:ascii="Arial" w:cs="Arial" w:eastAsia="Arial" w:hAnsi="Arial"/>
                <w:sz w:val="14"/>
                <w:szCs w:val="14"/>
                <w:color w:val="auto"/>
              </w:rPr>
              <w:t>2016</w:t>
            </w:r>
          </w:p>
        </w:tc>
        <w:tc>
          <w:tcPr>
            <w:tcW w:w="940" w:type="dxa"/>
            <w:vAlign w:val="bottom"/>
            <w:shd w:val="clear" w:color="auto" w:fill="D0E0F0"/>
          </w:tcPr>
          <w:p>
            <w:pPr>
              <w:ind w:left="200"/>
              <w:spacing w:after="0"/>
              <w:rPr>
                <w:sz w:val="20"/>
                <w:szCs w:val="20"/>
                <w:color w:val="auto"/>
              </w:rPr>
            </w:pPr>
            <w:r>
              <w:rPr>
                <w:rFonts w:ascii="Arial" w:cs="Arial" w:eastAsia="Arial" w:hAnsi="Arial"/>
                <w:sz w:val="14"/>
                <w:szCs w:val="14"/>
                <w:color w:val="auto"/>
              </w:rPr>
              <w:t>262,895</w:t>
            </w:r>
            <w:r>
              <w:rPr>
                <w:rFonts w:ascii="Arial" w:cs="Arial" w:eastAsia="Arial" w:hAnsi="Arial"/>
                <w:sz w:val="11"/>
                <w:szCs w:val="11"/>
                <w:color w:val="auto"/>
              </w:rPr>
              <w:t>(2)</w:t>
            </w:r>
          </w:p>
        </w:tc>
        <w:tc>
          <w:tcPr>
            <w:tcW w:w="680" w:type="dxa"/>
            <w:vAlign w:val="bottom"/>
            <w:shd w:val="clear" w:color="auto" w:fill="D0E0F0"/>
          </w:tcPr>
          <w:p>
            <w:pPr>
              <w:ind w:left="2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D0E0F0"/>
          </w:tcPr>
          <w:p>
            <w:pPr>
              <w:jc w:val="right"/>
              <w:ind w:right="68"/>
              <w:spacing w:after="0"/>
              <w:rPr>
                <w:sz w:val="20"/>
                <w:szCs w:val="20"/>
                <w:color w:val="auto"/>
              </w:rPr>
            </w:pPr>
            <w:r>
              <w:rPr>
                <w:rFonts w:ascii="Arial" w:cs="Arial" w:eastAsia="Arial" w:hAnsi="Arial"/>
                <w:sz w:val="14"/>
                <w:szCs w:val="14"/>
                <w:color w:val="auto"/>
              </w:rPr>
              <w:t>1,335,313</w:t>
            </w:r>
          </w:p>
        </w:tc>
        <w:tc>
          <w:tcPr>
            <w:tcW w:w="138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200,449</w:t>
            </w:r>
          </w:p>
        </w:tc>
        <w:tc>
          <w:tcPr>
            <w:tcW w:w="1440" w:type="dxa"/>
            <w:vAlign w:val="bottom"/>
            <w:shd w:val="clear" w:color="auto" w:fill="D0E0F0"/>
          </w:tcPr>
          <w:p>
            <w:pPr>
              <w:jc w:val="right"/>
              <w:ind w:right="448"/>
              <w:spacing w:after="0"/>
              <w:rPr>
                <w:sz w:val="20"/>
                <w:szCs w:val="20"/>
                <w:color w:val="auto"/>
              </w:rPr>
            </w:pPr>
            <w:r>
              <w:rPr>
                <w:rFonts w:ascii="Arial" w:cs="Arial" w:eastAsia="Arial" w:hAnsi="Arial"/>
                <w:sz w:val="14"/>
                <w:szCs w:val="14"/>
                <w:color w:val="auto"/>
              </w:rPr>
              <w:t>11,170</w:t>
            </w:r>
          </w:p>
        </w:tc>
        <w:tc>
          <w:tcPr>
            <w:tcW w:w="1500" w:type="dxa"/>
            <w:vAlign w:val="bottom"/>
            <w:shd w:val="clear" w:color="auto" w:fill="D0E0F0"/>
          </w:tcPr>
          <w:p>
            <w:pPr>
              <w:jc w:val="right"/>
              <w:ind w:right="231"/>
              <w:spacing w:after="0" w:line="167" w:lineRule="exact"/>
              <w:rPr>
                <w:sz w:val="20"/>
                <w:szCs w:val="20"/>
                <w:color w:val="auto"/>
              </w:rPr>
            </w:pPr>
            <w:r>
              <w:rPr>
                <w:rFonts w:ascii="Arial" w:cs="Arial" w:eastAsia="Arial" w:hAnsi="Arial"/>
                <w:sz w:val="12"/>
                <w:szCs w:val="12"/>
                <w:color w:val="auto"/>
              </w:rPr>
              <w:t>72,453</w:t>
            </w:r>
            <w:r>
              <w:rPr>
                <w:rFonts w:ascii="Arial" w:cs="Arial" w:eastAsia="Arial" w:hAnsi="Arial"/>
                <w:sz w:val="19"/>
                <w:szCs w:val="19"/>
                <w:color w:val="auto"/>
                <w:vertAlign w:val="superscript"/>
              </w:rPr>
              <w:t>(8)</w:t>
            </w:r>
          </w:p>
        </w:tc>
        <w:tc>
          <w:tcPr>
            <w:tcW w:w="920" w:type="dxa"/>
            <w:vAlign w:val="bottom"/>
            <w:shd w:val="clear" w:color="auto" w:fill="D0E0F0"/>
          </w:tcPr>
          <w:p>
            <w:pPr>
              <w:jc w:val="right"/>
              <w:spacing w:after="0"/>
              <w:rPr>
                <w:sz w:val="20"/>
                <w:szCs w:val="20"/>
                <w:color w:val="auto"/>
              </w:rPr>
            </w:pPr>
            <w:r>
              <w:rPr>
                <w:rFonts w:ascii="Arial" w:cs="Arial" w:eastAsia="Arial" w:hAnsi="Arial"/>
                <w:sz w:val="14"/>
                <w:szCs w:val="14"/>
                <w:color w:val="auto"/>
              </w:rPr>
              <w:t>1,882,280</w:t>
            </w:r>
          </w:p>
        </w:tc>
      </w:tr>
      <w:tr>
        <w:trPr>
          <w:trHeight w:val="162"/>
        </w:trPr>
        <w:tc>
          <w:tcPr>
            <w:tcW w:w="2920" w:type="dxa"/>
            <w:vAlign w:val="bottom"/>
            <w:shd w:val="clear" w:color="auto" w:fill="D0E0F0"/>
          </w:tcPr>
          <w:p>
            <w:pPr>
              <w:ind w:left="120"/>
              <w:spacing w:after="0"/>
              <w:rPr>
                <w:sz w:val="20"/>
                <w:szCs w:val="20"/>
                <w:color w:val="auto"/>
              </w:rPr>
            </w:pPr>
            <w:r>
              <w:rPr>
                <w:rFonts w:ascii="Arial" w:cs="Arial" w:eastAsia="Arial" w:hAnsi="Arial"/>
                <w:sz w:val="14"/>
                <w:szCs w:val="14"/>
                <w:color w:val="auto"/>
              </w:rPr>
              <w:t>President &amp; Chief Operating Officer</w:t>
            </w:r>
          </w:p>
        </w:tc>
        <w:tc>
          <w:tcPr>
            <w:tcW w:w="600" w:type="dxa"/>
            <w:vAlign w:val="bottom"/>
            <w:shd w:val="clear" w:color="auto" w:fill="D0E0F0"/>
          </w:tcPr>
          <w:p>
            <w:pPr>
              <w:ind w:left="80"/>
              <w:spacing w:after="0"/>
              <w:rPr>
                <w:sz w:val="20"/>
                <w:szCs w:val="20"/>
                <w:color w:val="auto"/>
              </w:rPr>
            </w:pPr>
            <w:r>
              <w:rPr>
                <w:rFonts w:ascii="Arial" w:cs="Arial" w:eastAsia="Arial" w:hAnsi="Arial"/>
                <w:sz w:val="14"/>
                <w:szCs w:val="14"/>
                <w:color w:val="auto"/>
              </w:rPr>
              <w:t>2015</w:t>
            </w:r>
          </w:p>
        </w:tc>
        <w:tc>
          <w:tcPr>
            <w:tcW w:w="940" w:type="dxa"/>
            <w:vAlign w:val="bottom"/>
            <w:shd w:val="clear" w:color="auto" w:fill="D0E0F0"/>
          </w:tcPr>
          <w:p>
            <w:pPr>
              <w:ind w:left="200"/>
              <w:spacing w:after="0"/>
              <w:rPr>
                <w:sz w:val="20"/>
                <w:szCs w:val="20"/>
                <w:color w:val="auto"/>
              </w:rPr>
            </w:pPr>
            <w:r>
              <w:rPr>
                <w:rFonts w:ascii="Arial" w:cs="Arial" w:eastAsia="Arial" w:hAnsi="Arial"/>
                <w:sz w:val="14"/>
                <w:szCs w:val="14"/>
                <w:color w:val="auto"/>
              </w:rPr>
              <w:t>242,590</w:t>
            </w:r>
          </w:p>
        </w:tc>
        <w:tc>
          <w:tcPr>
            <w:tcW w:w="680" w:type="dxa"/>
            <w:vAlign w:val="bottom"/>
            <w:shd w:val="clear" w:color="auto" w:fill="D0E0F0"/>
          </w:tcPr>
          <w:p>
            <w:pPr>
              <w:ind w:left="2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D0E0F0"/>
          </w:tcPr>
          <w:p>
            <w:pPr>
              <w:jc w:val="right"/>
              <w:ind w:right="68"/>
              <w:spacing w:after="0"/>
              <w:rPr>
                <w:sz w:val="20"/>
                <w:szCs w:val="20"/>
                <w:color w:val="auto"/>
              </w:rPr>
            </w:pPr>
            <w:r>
              <w:rPr>
                <w:rFonts w:ascii="Arial" w:cs="Arial" w:eastAsia="Arial" w:hAnsi="Arial"/>
                <w:sz w:val="14"/>
                <w:szCs w:val="14"/>
                <w:color w:val="auto"/>
              </w:rPr>
              <w:t>993,000</w:t>
            </w:r>
          </w:p>
        </w:tc>
        <w:tc>
          <w:tcPr>
            <w:tcW w:w="138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246,239</w:t>
            </w:r>
          </w:p>
        </w:tc>
        <w:tc>
          <w:tcPr>
            <w:tcW w:w="144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9,386</w:t>
            </w:r>
          </w:p>
        </w:tc>
        <w:tc>
          <w:tcPr>
            <w:tcW w:w="1500" w:type="dxa"/>
            <w:vAlign w:val="bottom"/>
            <w:shd w:val="clear" w:color="auto" w:fill="D0E0F0"/>
          </w:tcPr>
          <w:p>
            <w:pPr>
              <w:jc w:val="right"/>
              <w:ind w:right="371"/>
              <w:spacing w:after="0"/>
              <w:rPr>
                <w:sz w:val="20"/>
                <w:szCs w:val="20"/>
                <w:color w:val="auto"/>
              </w:rPr>
            </w:pPr>
            <w:r>
              <w:rPr>
                <w:rFonts w:ascii="Arial" w:cs="Arial" w:eastAsia="Arial" w:hAnsi="Arial"/>
                <w:sz w:val="14"/>
                <w:szCs w:val="14"/>
                <w:color w:val="auto"/>
              </w:rPr>
              <w:t>76,164</w:t>
            </w:r>
          </w:p>
        </w:tc>
        <w:tc>
          <w:tcPr>
            <w:tcW w:w="920" w:type="dxa"/>
            <w:vAlign w:val="bottom"/>
            <w:shd w:val="clear" w:color="auto" w:fill="D0E0F0"/>
          </w:tcPr>
          <w:p>
            <w:pPr>
              <w:jc w:val="right"/>
              <w:spacing w:after="0"/>
              <w:rPr>
                <w:sz w:val="20"/>
                <w:szCs w:val="20"/>
                <w:color w:val="auto"/>
              </w:rPr>
            </w:pPr>
            <w:r>
              <w:rPr>
                <w:rFonts w:ascii="Arial" w:cs="Arial" w:eastAsia="Arial" w:hAnsi="Arial"/>
                <w:sz w:val="14"/>
                <w:szCs w:val="14"/>
                <w:color w:val="auto"/>
              </w:rPr>
              <w:t>1,567,379</w:t>
            </w:r>
          </w:p>
        </w:tc>
      </w:tr>
      <w:tr>
        <w:trPr>
          <w:trHeight w:val="157"/>
        </w:trPr>
        <w:tc>
          <w:tcPr>
            <w:tcW w:w="2920" w:type="dxa"/>
            <w:vAlign w:val="bottom"/>
            <w:shd w:val="clear" w:color="auto" w:fill="D0E0F0"/>
          </w:tcPr>
          <w:p>
            <w:pPr>
              <w:spacing w:after="0"/>
              <w:rPr>
                <w:sz w:val="13"/>
                <w:szCs w:val="13"/>
                <w:color w:val="auto"/>
              </w:rPr>
            </w:pPr>
          </w:p>
        </w:tc>
        <w:tc>
          <w:tcPr>
            <w:tcW w:w="600" w:type="dxa"/>
            <w:vAlign w:val="bottom"/>
            <w:shd w:val="clear" w:color="auto" w:fill="D0E0F0"/>
          </w:tcPr>
          <w:p>
            <w:pPr>
              <w:ind w:left="80"/>
              <w:spacing w:after="0" w:line="157" w:lineRule="exact"/>
              <w:rPr>
                <w:sz w:val="20"/>
                <w:szCs w:val="20"/>
                <w:color w:val="auto"/>
              </w:rPr>
            </w:pPr>
            <w:r>
              <w:rPr>
                <w:rFonts w:ascii="Arial" w:cs="Arial" w:eastAsia="Arial" w:hAnsi="Arial"/>
                <w:sz w:val="14"/>
                <w:szCs w:val="14"/>
                <w:color w:val="auto"/>
              </w:rPr>
              <w:t>2014</w:t>
            </w:r>
          </w:p>
        </w:tc>
        <w:tc>
          <w:tcPr>
            <w:tcW w:w="940" w:type="dxa"/>
            <w:vAlign w:val="bottom"/>
            <w:shd w:val="clear" w:color="auto" w:fill="D0E0F0"/>
          </w:tcPr>
          <w:p>
            <w:pPr>
              <w:ind w:left="200"/>
              <w:spacing w:after="0" w:line="157" w:lineRule="exact"/>
              <w:rPr>
                <w:sz w:val="20"/>
                <w:szCs w:val="20"/>
                <w:color w:val="auto"/>
              </w:rPr>
            </w:pPr>
            <w:r>
              <w:rPr>
                <w:rFonts w:ascii="Arial" w:cs="Arial" w:eastAsia="Arial" w:hAnsi="Arial"/>
                <w:sz w:val="14"/>
                <w:szCs w:val="14"/>
                <w:color w:val="auto"/>
              </w:rPr>
              <w:t>235,363</w:t>
            </w:r>
          </w:p>
        </w:tc>
        <w:tc>
          <w:tcPr>
            <w:tcW w:w="680" w:type="dxa"/>
            <w:vAlign w:val="bottom"/>
            <w:shd w:val="clear" w:color="auto" w:fill="D0E0F0"/>
          </w:tcPr>
          <w:p>
            <w:pPr>
              <w:ind w:left="280"/>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D0E0F0"/>
          </w:tcPr>
          <w:p>
            <w:pPr>
              <w:jc w:val="right"/>
              <w:ind w:right="68"/>
              <w:spacing w:after="0" w:line="157" w:lineRule="exact"/>
              <w:rPr>
                <w:sz w:val="20"/>
                <w:szCs w:val="20"/>
                <w:color w:val="auto"/>
              </w:rPr>
            </w:pPr>
            <w:r>
              <w:rPr>
                <w:rFonts w:ascii="Arial" w:cs="Arial" w:eastAsia="Arial" w:hAnsi="Arial"/>
                <w:sz w:val="14"/>
                <w:szCs w:val="14"/>
                <w:color w:val="auto"/>
              </w:rPr>
              <w:t>681,554</w:t>
            </w:r>
          </w:p>
        </w:tc>
        <w:tc>
          <w:tcPr>
            <w:tcW w:w="1380" w:type="dxa"/>
            <w:vAlign w:val="bottom"/>
            <w:shd w:val="clear" w:color="auto" w:fill="D0E0F0"/>
          </w:tcPr>
          <w:p>
            <w:pPr>
              <w:jc w:val="center"/>
              <w:spacing w:after="0" w:line="157" w:lineRule="exact"/>
              <w:rPr>
                <w:sz w:val="20"/>
                <w:szCs w:val="20"/>
                <w:color w:val="auto"/>
              </w:rPr>
            </w:pPr>
            <w:r>
              <w:rPr>
                <w:rFonts w:ascii="Arial" w:cs="Arial" w:eastAsia="Arial" w:hAnsi="Arial"/>
                <w:sz w:val="14"/>
                <w:szCs w:val="14"/>
                <w:color w:val="auto"/>
              </w:rPr>
              <w:t>222,188</w:t>
            </w:r>
          </w:p>
        </w:tc>
        <w:tc>
          <w:tcPr>
            <w:tcW w:w="1440" w:type="dxa"/>
            <w:vAlign w:val="bottom"/>
            <w:shd w:val="clear" w:color="auto" w:fill="D0E0F0"/>
          </w:tcPr>
          <w:p>
            <w:pPr>
              <w:jc w:val="center"/>
              <w:spacing w:after="0" w:line="157" w:lineRule="exact"/>
              <w:rPr>
                <w:sz w:val="20"/>
                <w:szCs w:val="20"/>
                <w:color w:val="auto"/>
              </w:rPr>
            </w:pPr>
            <w:r>
              <w:rPr>
                <w:rFonts w:ascii="Arial" w:cs="Arial" w:eastAsia="Arial" w:hAnsi="Arial"/>
                <w:sz w:val="14"/>
                <w:szCs w:val="14"/>
                <w:color w:val="auto"/>
              </w:rPr>
              <w:t>9,010</w:t>
            </w:r>
          </w:p>
        </w:tc>
        <w:tc>
          <w:tcPr>
            <w:tcW w:w="1500" w:type="dxa"/>
            <w:vAlign w:val="bottom"/>
            <w:shd w:val="clear" w:color="auto" w:fill="D0E0F0"/>
          </w:tcPr>
          <w:p>
            <w:pPr>
              <w:jc w:val="right"/>
              <w:ind w:right="371"/>
              <w:spacing w:after="0" w:line="157" w:lineRule="exact"/>
              <w:rPr>
                <w:sz w:val="20"/>
                <w:szCs w:val="20"/>
                <w:color w:val="auto"/>
              </w:rPr>
            </w:pPr>
            <w:r>
              <w:rPr>
                <w:rFonts w:ascii="Arial" w:cs="Arial" w:eastAsia="Arial" w:hAnsi="Arial"/>
                <w:sz w:val="14"/>
                <w:szCs w:val="14"/>
                <w:color w:val="auto"/>
              </w:rPr>
              <w:t>84,938</w:t>
            </w:r>
          </w:p>
        </w:tc>
        <w:tc>
          <w:tcPr>
            <w:tcW w:w="920" w:type="dxa"/>
            <w:vAlign w:val="bottom"/>
            <w:shd w:val="clear" w:color="auto" w:fill="D0E0F0"/>
          </w:tcPr>
          <w:p>
            <w:pPr>
              <w:jc w:val="right"/>
              <w:spacing w:after="0" w:line="157" w:lineRule="exact"/>
              <w:rPr>
                <w:sz w:val="20"/>
                <w:szCs w:val="20"/>
                <w:color w:val="auto"/>
              </w:rPr>
            </w:pPr>
            <w:r>
              <w:rPr>
                <w:rFonts w:ascii="Arial" w:cs="Arial" w:eastAsia="Arial" w:hAnsi="Arial"/>
                <w:sz w:val="14"/>
                <w:szCs w:val="14"/>
                <w:color w:val="auto"/>
              </w:rPr>
              <w:t>1,233,053</w:t>
            </w:r>
          </w:p>
        </w:tc>
      </w:tr>
      <w:tr>
        <w:trPr>
          <w:trHeight w:val="167"/>
        </w:trPr>
        <w:tc>
          <w:tcPr>
            <w:tcW w:w="2920" w:type="dxa"/>
            <w:vAlign w:val="bottom"/>
          </w:tcPr>
          <w:p>
            <w:pPr>
              <w:spacing w:after="0"/>
              <w:rPr>
                <w:sz w:val="20"/>
                <w:szCs w:val="20"/>
                <w:color w:val="auto"/>
              </w:rPr>
            </w:pPr>
            <w:r>
              <w:rPr>
                <w:rFonts w:ascii="Arial" w:cs="Arial" w:eastAsia="Arial" w:hAnsi="Arial"/>
                <w:sz w:val="14"/>
                <w:szCs w:val="14"/>
                <w:b w:val="1"/>
                <w:bCs w:val="1"/>
                <w:color w:val="auto"/>
              </w:rPr>
              <w:t>Rembert de Villa</w:t>
            </w:r>
          </w:p>
        </w:tc>
        <w:tc>
          <w:tcPr>
            <w:tcW w:w="600" w:type="dxa"/>
            <w:vAlign w:val="bottom"/>
          </w:tcPr>
          <w:p>
            <w:pPr>
              <w:ind w:left="80"/>
              <w:spacing w:after="0"/>
              <w:rPr>
                <w:sz w:val="20"/>
                <w:szCs w:val="20"/>
                <w:color w:val="auto"/>
              </w:rPr>
            </w:pPr>
            <w:r>
              <w:rPr>
                <w:rFonts w:ascii="Arial" w:cs="Arial" w:eastAsia="Arial" w:hAnsi="Arial"/>
                <w:sz w:val="14"/>
                <w:szCs w:val="14"/>
                <w:color w:val="auto"/>
              </w:rPr>
              <w:t>2016</w:t>
            </w:r>
          </w:p>
        </w:tc>
        <w:tc>
          <w:tcPr>
            <w:tcW w:w="940" w:type="dxa"/>
            <w:vAlign w:val="bottom"/>
          </w:tcPr>
          <w:p>
            <w:pPr>
              <w:jc w:val="center"/>
              <w:spacing w:after="0"/>
              <w:rPr>
                <w:sz w:val="20"/>
                <w:szCs w:val="20"/>
                <w:color w:val="auto"/>
              </w:rPr>
            </w:pPr>
            <w:r>
              <w:rPr>
                <w:rFonts w:ascii="Arial" w:cs="Arial" w:eastAsia="Arial" w:hAnsi="Arial"/>
                <w:sz w:val="14"/>
                <w:szCs w:val="14"/>
                <w:color w:val="auto"/>
              </w:rPr>
              <w:t>407,514</w:t>
            </w:r>
          </w:p>
        </w:tc>
        <w:tc>
          <w:tcPr>
            <w:tcW w:w="680" w:type="dxa"/>
            <w:vAlign w:val="bottom"/>
          </w:tcPr>
          <w:p>
            <w:pPr>
              <w:ind w:left="280"/>
              <w:spacing w:after="0"/>
              <w:rPr>
                <w:sz w:val="20"/>
                <w:szCs w:val="20"/>
                <w:color w:val="auto"/>
              </w:rPr>
            </w:pPr>
            <w:r>
              <w:rPr>
                <w:rFonts w:ascii="Arial" w:cs="Arial" w:eastAsia="Arial" w:hAnsi="Arial"/>
                <w:sz w:val="14"/>
                <w:szCs w:val="14"/>
                <w:color w:val="auto"/>
              </w:rPr>
              <w:t>—</w:t>
            </w:r>
          </w:p>
        </w:tc>
        <w:tc>
          <w:tcPr>
            <w:tcW w:w="1040" w:type="dxa"/>
            <w:vAlign w:val="bottom"/>
          </w:tcPr>
          <w:p>
            <w:pPr>
              <w:jc w:val="center"/>
              <w:ind w:left="168"/>
              <w:spacing w:after="0"/>
              <w:rPr>
                <w:sz w:val="20"/>
                <w:szCs w:val="20"/>
                <w:color w:val="auto"/>
              </w:rPr>
            </w:pPr>
            <w:r>
              <w:rPr>
                <w:rFonts w:ascii="Arial" w:cs="Arial" w:eastAsia="Arial" w:hAnsi="Arial"/>
                <w:sz w:val="14"/>
                <w:szCs w:val="14"/>
                <w:color w:val="auto"/>
              </w:rPr>
              <w:t>640,950</w:t>
            </w:r>
          </w:p>
        </w:tc>
        <w:tc>
          <w:tcPr>
            <w:tcW w:w="1380" w:type="dxa"/>
            <w:vAlign w:val="bottom"/>
          </w:tcPr>
          <w:p>
            <w:pPr>
              <w:jc w:val="center"/>
              <w:spacing w:after="0"/>
              <w:rPr>
                <w:sz w:val="20"/>
                <w:szCs w:val="20"/>
                <w:color w:val="auto"/>
              </w:rPr>
            </w:pPr>
            <w:r>
              <w:rPr>
                <w:rFonts w:ascii="Arial" w:cs="Arial" w:eastAsia="Arial" w:hAnsi="Arial"/>
                <w:sz w:val="14"/>
                <w:szCs w:val="14"/>
                <w:color w:val="auto"/>
              </w:rPr>
              <w:t>341,543</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right"/>
              <w:ind w:right="231"/>
              <w:spacing w:after="0" w:line="167" w:lineRule="exact"/>
              <w:rPr>
                <w:sz w:val="20"/>
                <w:szCs w:val="20"/>
                <w:color w:val="auto"/>
              </w:rPr>
            </w:pPr>
            <w:r>
              <w:rPr>
                <w:rFonts w:ascii="Arial" w:cs="Arial" w:eastAsia="Arial" w:hAnsi="Arial"/>
                <w:sz w:val="12"/>
                <w:szCs w:val="12"/>
                <w:color w:val="auto"/>
              </w:rPr>
              <w:t>8,340</w:t>
            </w:r>
            <w:r>
              <w:rPr>
                <w:rFonts w:ascii="Arial" w:cs="Arial" w:eastAsia="Arial" w:hAnsi="Arial"/>
                <w:sz w:val="19"/>
                <w:szCs w:val="19"/>
                <w:color w:val="auto"/>
                <w:vertAlign w:val="superscript"/>
              </w:rPr>
              <w:t>(9)</w:t>
            </w:r>
          </w:p>
        </w:tc>
        <w:tc>
          <w:tcPr>
            <w:tcW w:w="920" w:type="dxa"/>
            <w:vAlign w:val="bottom"/>
          </w:tcPr>
          <w:p>
            <w:pPr>
              <w:jc w:val="right"/>
              <w:spacing w:after="0"/>
              <w:rPr>
                <w:sz w:val="20"/>
                <w:szCs w:val="20"/>
                <w:color w:val="auto"/>
              </w:rPr>
            </w:pPr>
            <w:r>
              <w:rPr>
                <w:rFonts w:ascii="Arial" w:cs="Arial" w:eastAsia="Arial" w:hAnsi="Arial"/>
                <w:sz w:val="14"/>
                <w:szCs w:val="14"/>
                <w:color w:val="auto"/>
              </w:rPr>
              <w:t>1,398,347</w:t>
            </w:r>
          </w:p>
        </w:tc>
      </w:tr>
      <w:tr>
        <w:trPr>
          <w:trHeight w:val="162"/>
        </w:trPr>
        <w:tc>
          <w:tcPr>
            <w:tcW w:w="2920" w:type="dxa"/>
            <w:vAlign w:val="bottom"/>
          </w:tcPr>
          <w:p>
            <w:pPr>
              <w:ind w:left="100"/>
              <w:spacing w:after="0"/>
              <w:rPr>
                <w:sz w:val="20"/>
                <w:szCs w:val="20"/>
                <w:color w:val="auto"/>
              </w:rPr>
            </w:pPr>
            <w:r>
              <w:rPr>
                <w:rFonts w:ascii="Arial" w:cs="Arial" w:eastAsia="Arial" w:hAnsi="Arial"/>
                <w:sz w:val="14"/>
                <w:szCs w:val="14"/>
                <w:color w:val="auto"/>
              </w:rPr>
              <w:t>Executive Vice President, Head of</w:t>
            </w:r>
          </w:p>
        </w:tc>
        <w:tc>
          <w:tcPr>
            <w:tcW w:w="600" w:type="dxa"/>
            <w:vAlign w:val="bottom"/>
          </w:tcPr>
          <w:p>
            <w:pPr>
              <w:ind w:left="80"/>
              <w:spacing w:after="0"/>
              <w:rPr>
                <w:sz w:val="20"/>
                <w:szCs w:val="20"/>
                <w:color w:val="auto"/>
              </w:rPr>
            </w:pPr>
            <w:r>
              <w:rPr>
                <w:rFonts w:ascii="Arial" w:cs="Arial" w:eastAsia="Arial" w:hAnsi="Arial"/>
                <w:sz w:val="14"/>
                <w:szCs w:val="14"/>
                <w:color w:val="auto"/>
              </w:rPr>
              <w:t>2015</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Pr>
          <w:p>
            <w:pPr>
              <w:ind w:left="2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Pr>
          <w:p>
            <w:pPr>
              <w:ind w:left="600"/>
              <w:spacing w:after="0"/>
              <w:rPr>
                <w:sz w:val="20"/>
                <w:szCs w:val="20"/>
                <w:color w:val="auto"/>
              </w:rPr>
            </w:pPr>
            <w:r>
              <w:rPr>
                <w:rFonts w:ascii="Arial" w:cs="Arial" w:eastAsia="Arial" w:hAnsi="Arial"/>
                <w:sz w:val="14"/>
                <w:szCs w:val="14"/>
                <w:color w:val="auto"/>
              </w:rPr>
              <w:t>—</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right"/>
              <w:ind w:right="53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57"/>
        </w:trPr>
        <w:tc>
          <w:tcPr>
            <w:tcW w:w="2920" w:type="dxa"/>
            <w:vAlign w:val="bottom"/>
          </w:tcPr>
          <w:p>
            <w:pPr>
              <w:ind w:left="100"/>
              <w:spacing w:after="0" w:line="157" w:lineRule="exact"/>
              <w:rPr>
                <w:sz w:val="20"/>
                <w:szCs w:val="20"/>
                <w:color w:val="auto"/>
              </w:rPr>
            </w:pPr>
            <w:r>
              <w:rPr>
                <w:rFonts w:ascii="Arial" w:cs="Arial" w:eastAsia="Arial" w:hAnsi="Arial"/>
                <w:sz w:val="14"/>
                <w:szCs w:val="14"/>
                <w:color w:val="auto"/>
              </w:rPr>
              <w:t>Healthcare</w:t>
            </w:r>
          </w:p>
        </w:tc>
        <w:tc>
          <w:tcPr>
            <w:tcW w:w="600" w:type="dxa"/>
            <w:vAlign w:val="bottom"/>
          </w:tcPr>
          <w:p>
            <w:pPr>
              <w:ind w:left="80"/>
              <w:spacing w:after="0" w:line="157" w:lineRule="exact"/>
              <w:rPr>
                <w:sz w:val="20"/>
                <w:szCs w:val="20"/>
                <w:color w:val="auto"/>
              </w:rPr>
            </w:pPr>
            <w:r>
              <w:rPr>
                <w:rFonts w:ascii="Arial" w:cs="Arial" w:eastAsia="Arial" w:hAnsi="Arial"/>
                <w:sz w:val="14"/>
                <w:szCs w:val="14"/>
                <w:color w:val="auto"/>
              </w:rPr>
              <w:t>2014</w:t>
            </w:r>
          </w:p>
        </w:tc>
        <w:tc>
          <w:tcPr>
            <w:tcW w:w="940" w:type="dxa"/>
            <w:vAlign w:val="bottom"/>
          </w:tcPr>
          <w:p>
            <w:pPr>
              <w:jc w:val="center"/>
              <w:spacing w:after="0" w:line="157" w:lineRule="exact"/>
              <w:rPr>
                <w:sz w:val="20"/>
                <w:szCs w:val="20"/>
                <w:color w:val="auto"/>
              </w:rPr>
            </w:pPr>
            <w:r>
              <w:rPr>
                <w:rFonts w:ascii="Arial" w:cs="Arial" w:eastAsia="Arial" w:hAnsi="Arial"/>
                <w:sz w:val="14"/>
                <w:szCs w:val="14"/>
                <w:color w:val="auto"/>
              </w:rPr>
              <w:t>388,767</w:t>
            </w:r>
          </w:p>
        </w:tc>
        <w:tc>
          <w:tcPr>
            <w:tcW w:w="680" w:type="dxa"/>
            <w:vAlign w:val="bottom"/>
          </w:tcPr>
          <w:p>
            <w:pPr>
              <w:ind w:left="280"/>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jc w:val="center"/>
              <w:ind w:left="168"/>
              <w:spacing w:after="0" w:line="157" w:lineRule="exact"/>
              <w:rPr>
                <w:sz w:val="20"/>
                <w:szCs w:val="20"/>
                <w:color w:val="auto"/>
              </w:rPr>
            </w:pPr>
            <w:r>
              <w:rPr>
                <w:rFonts w:ascii="Arial" w:cs="Arial" w:eastAsia="Arial" w:hAnsi="Arial"/>
                <w:sz w:val="14"/>
                <w:szCs w:val="14"/>
                <w:color w:val="auto"/>
              </w:rPr>
              <w:t>332,637</w:t>
            </w:r>
          </w:p>
        </w:tc>
        <w:tc>
          <w:tcPr>
            <w:tcW w:w="1380" w:type="dxa"/>
            <w:vAlign w:val="bottom"/>
          </w:tcPr>
          <w:p>
            <w:pPr>
              <w:jc w:val="right"/>
              <w:ind w:right="428"/>
              <w:spacing w:after="0" w:line="157" w:lineRule="exact"/>
              <w:rPr>
                <w:sz w:val="20"/>
                <w:szCs w:val="20"/>
                <w:color w:val="auto"/>
              </w:rPr>
            </w:pPr>
            <w:r>
              <w:rPr>
                <w:rFonts w:ascii="Arial" w:cs="Arial" w:eastAsia="Arial" w:hAnsi="Arial"/>
                <w:sz w:val="14"/>
                <w:szCs w:val="14"/>
                <w:color w:val="auto"/>
              </w:rPr>
              <w:t>124,676</w:t>
            </w:r>
          </w:p>
        </w:tc>
        <w:tc>
          <w:tcPr>
            <w:tcW w:w="144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500" w:type="dxa"/>
            <w:vAlign w:val="bottom"/>
          </w:tcPr>
          <w:p>
            <w:pPr>
              <w:jc w:val="right"/>
              <w:ind w:right="371"/>
              <w:spacing w:after="0" w:line="157" w:lineRule="exact"/>
              <w:rPr>
                <w:sz w:val="20"/>
                <w:szCs w:val="20"/>
                <w:color w:val="auto"/>
              </w:rPr>
            </w:pPr>
            <w:r>
              <w:rPr>
                <w:rFonts w:ascii="Arial" w:cs="Arial" w:eastAsia="Arial" w:hAnsi="Arial"/>
                <w:sz w:val="14"/>
                <w:szCs w:val="14"/>
                <w:color w:val="auto"/>
              </w:rPr>
              <w:t>8,250</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854,330</w:t>
            </w:r>
          </w:p>
        </w:tc>
      </w:tr>
      <w:tr>
        <w:trPr>
          <w:trHeight w:val="167"/>
        </w:trPr>
        <w:tc>
          <w:tcPr>
            <w:tcW w:w="2920" w:type="dxa"/>
            <w:vAlign w:val="bottom"/>
            <w:shd w:val="clear" w:color="auto" w:fill="D0E0F0"/>
          </w:tcPr>
          <w:p>
            <w:pPr>
              <w:spacing w:after="0"/>
              <w:rPr>
                <w:sz w:val="20"/>
                <w:szCs w:val="20"/>
                <w:color w:val="auto"/>
              </w:rPr>
            </w:pPr>
            <w:r>
              <w:rPr>
                <w:rFonts w:ascii="Arial" w:cs="Arial" w:eastAsia="Arial" w:hAnsi="Arial"/>
                <w:sz w:val="14"/>
                <w:szCs w:val="14"/>
                <w:b w:val="1"/>
                <w:bCs w:val="1"/>
                <w:color w:val="auto"/>
              </w:rPr>
              <w:t>Nalin Miglani</w:t>
            </w:r>
          </w:p>
        </w:tc>
        <w:tc>
          <w:tcPr>
            <w:tcW w:w="600" w:type="dxa"/>
            <w:vAlign w:val="bottom"/>
            <w:shd w:val="clear" w:color="auto" w:fill="D0E0F0"/>
          </w:tcPr>
          <w:p>
            <w:pPr>
              <w:ind w:left="80"/>
              <w:spacing w:after="0"/>
              <w:rPr>
                <w:sz w:val="20"/>
                <w:szCs w:val="20"/>
                <w:color w:val="auto"/>
              </w:rPr>
            </w:pPr>
            <w:r>
              <w:rPr>
                <w:rFonts w:ascii="Arial" w:cs="Arial" w:eastAsia="Arial" w:hAnsi="Arial"/>
                <w:sz w:val="14"/>
                <w:szCs w:val="14"/>
                <w:color w:val="auto"/>
              </w:rPr>
              <w:t>2016</w:t>
            </w:r>
          </w:p>
        </w:tc>
        <w:tc>
          <w:tcPr>
            <w:tcW w:w="94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407,514</w:t>
            </w:r>
          </w:p>
        </w:tc>
        <w:tc>
          <w:tcPr>
            <w:tcW w:w="680" w:type="dxa"/>
            <w:vAlign w:val="bottom"/>
            <w:shd w:val="clear" w:color="auto" w:fill="D0E0F0"/>
          </w:tcPr>
          <w:p>
            <w:pPr>
              <w:ind w:left="2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D0E0F0"/>
          </w:tcPr>
          <w:p>
            <w:pPr>
              <w:jc w:val="right"/>
              <w:ind w:right="68"/>
              <w:spacing w:after="0"/>
              <w:rPr>
                <w:sz w:val="20"/>
                <w:szCs w:val="20"/>
                <w:color w:val="auto"/>
              </w:rPr>
            </w:pPr>
            <w:r>
              <w:rPr>
                <w:rFonts w:ascii="Arial" w:cs="Arial" w:eastAsia="Arial" w:hAnsi="Arial"/>
                <w:sz w:val="14"/>
                <w:szCs w:val="14"/>
                <w:color w:val="auto"/>
              </w:rPr>
              <w:t>640,950</w:t>
            </w:r>
          </w:p>
        </w:tc>
        <w:tc>
          <w:tcPr>
            <w:tcW w:w="138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231,104</w:t>
            </w:r>
          </w:p>
        </w:tc>
        <w:tc>
          <w:tcPr>
            <w:tcW w:w="1440" w:type="dxa"/>
            <w:vAlign w:val="bottom"/>
            <w:shd w:val="clear" w:color="auto" w:fill="D0E0F0"/>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D0E0F0"/>
          </w:tcPr>
          <w:p>
            <w:pPr>
              <w:jc w:val="right"/>
              <w:ind w:right="171"/>
              <w:spacing w:after="0" w:line="167" w:lineRule="exact"/>
              <w:rPr>
                <w:sz w:val="20"/>
                <w:szCs w:val="20"/>
                <w:color w:val="auto"/>
              </w:rPr>
            </w:pPr>
            <w:r>
              <w:rPr>
                <w:rFonts w:ascii="Arial" w:cs="Arial" w:eastAsia="Arial" w:hAnsi="Arial"/>
                <w:sz w:val="12"/>
                <w:szCs w:val="12"/>
                <w:color w:val="auto"/>
              </w:rPr>
              <w:t>8,340</w:t>
            </w:r>
            <w:r>
              <w:rPr>
                <w:rFonts w:ascii="Arial" w:cs="Arial" w:eastAsia="Arial" w:hAnsi="Arial"/>
                <w:sz w:val="19"/>
                <w:szCs w:val="19"/>
                <w:color w:val="auto"/>
                <w:vertAlign w:val="superscript"/>
              </w:rPr>
              <w:t>(10)</w:t>
            </w:r>
          </w:p>
        </w:tc>
        <w:tc>
          <w:tcPr>
            <w:tcW w:w="920" w:type="dxa"/>
            <w:vAlign w:val="bottom"/>
            <w:shd w:val="clear" w:color="auto" w:fill="D0E0F0"/>
          </w:tcPr>
          <w:p>
            <w:pPr>
              <w:jc w:val="right"/>
              <w:spacing w:after="0"/>
              <w:rPr>
                <w:sz w:val="20"/>
                <w:szCs w:val="20"/>
                <w:color w:val="auto"/>
              </w:rPr>
            </w:pPr>
            <w:r>
              <w:rPr>
                <w:rFonts w:ascii="Arial" w:cs="Arial" w:eastAsia="Arial" w:hAnsi="Arial"/>
                <w:sz w:val="14"/>
                <w:szCs w:val="14"/>
                <w:color w:val="auto"/>
              </w:rPr>
              <w:t>1,287,908</w:t>
            </w:r>
          </w:p>
        </w:tc>
      </w:tr>
      <w:tr>
        <w:trPr>
          <w:trHeight w:val="162"/>
        </w:trPr>
        <w:tc>
          <w:tcPr>
            <w:tcW w:w="2920" w:type="dxa"/>
            <w:vAlign w:val="bottom"/>
            <w:shd w:val="clear" w:color="auto" w:fill="D0E0F0"/>
          </w:tcPr>
          <w:p>
            <w:pPr>
              <w:ind w:left="100"/>
              <w:spacing w:after="0"/>
              <w:rPr>
                <w:sz w:val="20"/>
                <w:szCs w:val="20"/>
                <w:color w:val="auto"/>
              </w:rPr>
            </w:pPr>
            <w:r>
              <w:rPr>
                <w:rFonts w:ascii="Arial" w:cs="Arial" w:eastAsia="Arial" w:hAnsi="Arial"/>
                <w:sz w:val="14"/>
                <w:szCs w:val="14"/>
                <w:color w:val="auto"/>
              </w:rPr>
              <w:t>Executive Vice President and Chief Human</w:t>
            </w:r>
          </w:p>
        </w:tc>
        <w:tc>
          <w:tcPr>
            <w:tcW w:w="600" w:type="dxa"/>
            <w:vAlign w:val="bottom"/>
            <w:shd w:val="clear" w:color="auto" w:fill="D0E0F0"/>
          </w:tcPr>
          <w:p>
            <w:pPr>
              <w:ind w:left="80"/>
              <w:spacing w:after="0"/>
              <w:rPr>
                <w:sz w:val="20"/>
                <w:szCs w:val="20"/>
                <w:color w:val="auto"/>
              </w:rPr>
            </w:pPr>
            <w:r>
              <w:rPr>
                <w:rFonts w:ascii="Arial" w:cs="Arial" w:eastAsia="Arial" w:hAnsi="Arial"/>
                <w:sz w:val="14"/>
                <w:szCs w:val="14"/>
                <w:color w:val="auto"/>
              </w:rPr>
              <w:t>2015</w:t>
            </w:r>
          </w:p>
        </w:tc>
        <w:tc>
          <w:tcPr>
            <w:tcW w:w="94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400,000</w:t>
            </w:r>
          </w:p>
        </w:tc>
        <w:tc>
          <w:tcPr>
            <w:tcW w:w="680" w:type="dxa"/>
            <w:vAlign w:val="bottom"/>
            <w:shd w:val="clear" w:color="auto" w:fill="D0E0F0"/>
          </w:tcPr>
          <w:p>
            <w:pPr>
              <w:ind w:left="2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D0E0F0"/>
          </w:tcPr>
          <w:p>
            <w:pPr>
              <w:jc w:val="right"/>
              <w:ind w:right="68"/>
              <w:spacing w:after="0"/>
              <w:rPr>
                <w:sz w:val="20"/>
                <w:szCs w:val="20"/>
                <w:color w:val="auto"/>
              </w:rPr>
            </w:pPr>
            <w:r>
              <w:rPr>
                <w:rFonts w:ascii="Arial" w:cs="Arial" w:eastAsia="Arial" w:hAnsi="Arial"/>
                <w:sz w:val="14"/>
                <w:szCs w:val="14"/>
                <w:color w:val="auto"/>
              </w:rPr>
              <w:t>476,640</w:t>
            </w:r>
          </w:p>
        </w:tc>
        <w:tc>
          <w:tcPr>
            <w:tcW w:w="138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274,840</w:t>
            </w:r>
          </w:p>
        </w:tc>
        <w:tc>
          <w:tcPr>
            <w:tcW w:w="1440" w:type="dxa"/>
            <w:vAlign w:val="bottom"/>
            <w:shd w:val="clear" w:color="auto" w:fill="D0E0F0"/>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D0E0F0"/>
          </w:tcPr>
          <w:p>
            <w:pPr>
              <w:jc w:val="right"/>
              <w:ind w:right="371"/>
              <w:spacing w:after="0"/>
              <w:rPr>
                <w:sz w:val="20"/>
                <w:szCs w:val="20"/>
                <w:color w:val="auto"/>
              </w:rPr>
            </w:pPr>
            <w:r>
              <w:rPr>
                <w:rFonts w:ascii="Arial" w:cs="Arial" w:eastAsia="Arial" w:hAnsi="Arial"/>
                <w:sz w:val="14"/>
                <w:szCs w:val="14"/>
                <w:color w:val="auto"/>
              </w:rPr>
              <w:t>81,520</w:t>
            </w:r>
          </w:p>
        </w:tc>
        <w:tc>
          <w:tcPr>
            <w:tcW w:w="920" w:type="dxa"/>
            <w:vAlign w:val="bottom"/>
            <w:shd w:val="clear" w:color="auto" w:fill="D0E0F0"/>
          </w:tcPr>
          <w:p>
            <w:pPr>
              <w:jc w:val="right"/>
              <w:spacing w:after="0"/>
              <w:rPr>
                <w:sz w:val="20"/>
                <w:szCs w:val="20"/>
                <w:color w:val="auto"/>
              </w:rPr>
            </w:pPr>
            <w:r>
              <w:rPr>
                <w:rFonts w:ascii="Arial" w:cs="Arial" w:eastAsia="Arial" w:hAnsi="Arial"/>
                <w:sz w:val="14"/>
                <w:szCs w:val="14"/>
                <w:color w:val="auto"/>
              </w:rPr>
              <w:t>1,233,000</w:t>
            </w:r>
          </w:p>
        </w:tc>
      </w:tr>
      <w:tr>
        <w:trPr>
          <w:trHeight w:val="157"/>
        </w:trPr>
        <w:tc>
          <w:tcPr>
            <w:tcW w:w="2920" w:type="dxa"/>
            <w:vAlign w:val="bottom"/>
            <w:shd w:val="clear" w:color="auto" w:fill="D0E0F0"/>
          </w:tcPr>
          <w:p>
            <w:pPr>
              <w:ind w:left="100"/>
              <w:spacing w:after="0" w:line="157" w:lineRule="exact"/>
              <w:rPr>
                <w:sz w:val="20"/>
                <w:szCs w:val="20"/>
                <w:color w:val="auto"/>
              </w:rPr>
            </w:pPr>
            <w:r>
              <w:rPr>
                <w:rFonts w:ascii="Arial" w:cs="Arial" w:eastAsia="Arial" w:hAnsi="Arial"/>
                <w:sz w:val="14"/>
                <w:szCs w:val="14"/>
                <w:color w:val="auto"/>
              </w:rPr>
              <w:t>Resources Officer</w:t>
            </w:r>
          </w:p>
        </w:tc>
        <w:tc>
          <w:tcPr>
            <w:tcW w:w="600" w:type="dxa"/>
            <w:vAlign w:val="bottom"/>
            <w:shd w:val="clear" w:color="auto" w:fill="D0E0F0"/>
          </w:tcPr>
          <w:p>
            <w:pPr>
              <w:ind w:left="80"/>
              <w:spacing w:after="0" w:line="157" w:lineRule="exact"/>
              <w:rPr>
                <w:sz w:val="20"/>
                <w:szCs w:val="20"/>
                <w:color w:val="auto"/>
              </w:rPr>
            </w:pPr>
            <w:r>
              <w:rPr>
                <w:rFonts w:ascii="Arial" w:cs="Arial" w:eastAsia="Arial" w:hAnsi="Arial"/>
                <w:sz w:val="14"/>
                <w:szCs w:val="14"/>
                <w:color w:val="auto"/>
              </w:rPr>
              <w:t>2014</w:t>
            </w:r>
          </w:p>
        </w:tc>
        <w:tc>
          <w:tcPr>
            <w:tcW w:w="940" w:type="dxa"/>
            <w:vAlign w:val="bottom"/>
            <w:shd w:val="clear" w:color="auto" w:fill="D0E0F0"/>
          </w:tcPr>
          <w:p>
            <w:pPr>
              <w:jc w:val="center"/>
              <w:spacing w:after="0" w:line="157" w:lineRule="exact"/>
              <w:rPr>
                <w:sz w:val="20"/>
                <w:szCs w:val="20"/>
                <w:color w:val="auto"/>
              </w:rPr>
            </w:pPr>
            <w:r>
              <w:rPr>
                <w:rFonts w:ascii="Arial" w:cs="Arial" w:eastAsia="Arial" w:hAnsi="Arial"/>
                <w:sz w:val="14"/>
                <w:szCs w:val="14"/>
                <w:color w:val="auto"/>
                <w:w w:val="99"/>
              </w:rPr>
              <w:t>—</w:t>
            </w:r>
          </w:p>
        </w:tc>
        <w:tc>
          <w:tcPr>
            <w:tcW w:w="680" w:type="dxa"/>
            <w:vAlign w:val="bottom"/>
            <w:shd w:val="clear" w:color="auto" w:fill="D0E0F0"/>
          </w:tcPr>
          <w:p>
            <w:pPr>
              <w:ind w:left="280"/>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D0E0F0"/>
          </w:tcPr>
          <w:p>
            <w:pPr>
              <w:jc w:val="center"/>
              <w:ind w:left="208"/>
              <w:spacing w:after="0" w:line="157" w:lineRule="exact"/>
              <w:rPr>
                <w:sz w:val="20"/>
                <w:szCs w:val="20"/>
                <w:color w:val="auto"/>
              </w:rPr>
            </w:pPr>
            <w:r>
              <w:rPr>
                <w:rFonts w:ascii="Arial" w:cs="Arial" w:eastAsia="Arial" w:hAnsi="Arial"/>
                <w:sz w:val="14"/>
                <w:szCs w:val="14"/>
                <w:color w:val="auto"/>
              </w:rPr>
              <w:t>—</w:t>
            </w:r>
          </w:p>
        </w:tc>
        <w:tc>
          <w:tcPr>
            <w:tcW w:w="1380" w:type="dxa"/>
            <w:vAlign w:val="bottom"/>
            <w:shd w:val="clear" w:color="auto" w:fill="D0E0F0"/>
          </w:tcPr>
          <w:p>
            <w:pPr>
              <w:ind w:left="600"/>
              <w:spacing w:after="0" w:line="157" w:lineRule="exact"/>
              <w:rPr>
                <w:sz w:val="20"/>
                <w:szCs w:val="20"/>
                <w:color w:val="auto"/>
              </w:rPr>
            </w:pPr>
            <w:r>
              <w:rPr>
                <w:rFonts w:ascii="Arial" w:cs="Arial" w:eastAsia="Arial" w:hAnsi="Arial"/>
                <w:sz w:val="14"/>
                <w:szCs w:val="14"/>
                <w:color w:val="auto"/>
              </w:rPr>
              <w:t>—</w:t>
            </w:r>
          </w:p>
        </w:tc>
        <w:tc>
          <w:tcPr>
            <w:tcW w:w="1440" w:type="dxa"/>
            <w:vAlign w:val="bottom"/>
            <w:shd w:val="clear" w:color="auto" w:fill="D0E0F0"/>
          </w:tcPr>
          <w:p>
            <w:pPr>
              <w:jc w:val="center"/>
              <w:spacing w:after="0" w:line="157" w:lineRule="exact"/>
              <w:rPr>
                <w:sz w:val="20"/>
                <w:szCs w:val="20"/>
                <w:color w:val="auto"/>
              </w:rPr>
            </w:pPr>
            <w:r>
              <w:rPr>
                <w:rFonts w:ascii="Arial" w:cs="Arial" w:eastAsia="Arial" w:hAnsi="Arial"/>
                <w:sz w:val="14"/>
                <w:szCs w:val="14"/>
                <w:color w:val="auto"/>
                <w:w w:val="99"/>
              </w:rPr>
              <w:t>—</w:t>
            </w:r>
          </w:p>
        </w:tc>
        <w:tc>
          <w:tcPr>
            <w:tcW w:w="1500" w:type="dxa"/>
            <w:vAlign w:val="bottom"/>
            <w:shd w:val="clear" w:color="auto" w:fill="D0E0F0"/>
          </w:tcPr>
          <w:p>
            <w:pPr>
              <w:jc w:val="right"/>
              <w:ind w:right="531"/>
              <w:spacing w:after="0" w:line="157" w:lineRule="exact"/>
              <w:rPr>
                <w:sz w:val="20"/>
                <w:szCs w:val="20"/>
                <w:color w:val="auto"/>
              </w:rPr>
            </w:pPr>
            <w:r>
              <w:rPr>
                <w:rFonts w:ascii="Arial" w:cs="Arial" w:eastAsia="Arial" w:hAnsi="Arial"/>
                <w:sz w:val="14"/>
                <w:szCs w:val="14"/>
                <w:color w:val="auto"/>
              </w:rPr>
              <w:t>—</w:t>
            </w:r>
          </w:p>
        </w:tc>
        <w:tc>
          <w:tcPr>
            <w:tcW w:w="920" w:type="dxa"/>
            <w:vAlign w:val="bottom"/>
            <w:shd w:val="clear" w:color="auto" w:fill="D0E0F0"/>
          </w:tcPr>
          <w:p>
            <w:pPr>
              <w:jc w:val="right"/>
              <w:ind w:right="148"/>
              <w:spacing w:after="0" w:line="157" w:lineRule="exact"/>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-1577340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4490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0" w:lineRule="exact"/>
        <w:rPr>
          <w:sz w:val="20"/>
          <w:szCs w:val="20"/>
          <w:color w:val="auto"/>
        </w:rPr>
      </w:pPr>
    </w:p>
    <w:p>
      <w:pPr>
        <w:ind w:left="660" w:right="260" w:hanging="328"/>
        <w:spacing w:after="0" w:line="246"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amount set forth in the “Salary” column for Mr. Chhibbar includes $11,504 paid in 2016 in lieu of vacation not taken in 2015 in accordance with Indian employment regulations.</w:t>
      </w:r>
    </w:p>
    <w:p>
      <w:pPr>
        <w:ind w:left="660" w:right="80" w:hanging="328"/>
        <w:spacing w:after="0" w:line="246"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amount set forth in the “Salary” column for Mr. Bagai includes $116,297 of base salary, $102,773 of a cash supplementary allowance, $31,122 of housing allowance (which Mr. Bagai elected to receive in cash), and $12,703 of travel and medical allowance (which Mr. Bagai elected to receive in cash).</w:t>
      </w:r>
    </w:p>
    <w:p>
      <w:pPr>
        <w:spacing w:after="0" w:line="1" w:lineRule="exact"/>
        <w:rPr>
          <w:rFonts w:ascii="Arial" w:cs="Arial" w:eastAsia="Arial" w:hAnsi="Arial"/>
          <w:sz w:val="16"/>
          <w:szCs w:val="16"/>
          <w:color w:val="auto"/>
        </w:rPr>
      </w:pPr>
    </w:p>
    <w:p>
      <w:pPr>
        <w:ind w:left="660" w:hanging="328"/>
        <w:spacing w:after="0" w:line="248"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Amounts reflect the total grant date fair value of awards recognized for financial statement reporting purposes for the fiscal years ended December 31, 2014, 2015 and 2016, in accordance with FASB ASC Topic 718 (disregarding any forfeiture assumptions). Assumptions used in the calculation of these amounts are included (i) for 2016, in footnotes 2 and 18 to the audited financial statements for the fiscal year ended December 31, 2016, included in the 2016 Form 10-K; (ii) for 2015, in footnotes 2 and 14 to the audited financial statements for the fiscal year ended December 31, 2015, included in our Annual Report on Form 10-K filed with the Securities and Exchange Commission on February 26, 2016; and (iii) for 2014, in footnotes 2 and 14 to the audited financial statements for the fiscal year ended December 31, 2014, included in our Annual Report on Form 10-K filed with the Securities and Exchange Commission on February 27, 2015. With respect to stock awards granted in 2016, the table below sets forth the value attributable to performance restricted stock units valued at target achievement. Performance restricted stock units granted in 2016 may pay out up to 200% of the target award, which would have amounted to the grant date fair values listed as the maximum total grant date fair value for each named executive officer in the table below.</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43" w:name="page44"/>
    <w:bookmarkEnd w:id="43"/>
    <w:tbl>
      <w:tblPr>
        <w:tblLayout w:type="fixed"/>
        <w:tblInd w:w="240" w:type="dxa"/>
        <w:tblCellMar>
          <w:top w:w="0" w:type="dxa"/>
          <w:left w:w="0" w:type="dxa"/>
          <w:bottom w:w="0" w:type="dxa"/>
          <w:right w:w="0" w:type="dxa"/>
        </w:tblCellMar>
      </w:tblPr>
      <w:tr>
        <w:trPr>
          <w:trHeight w:val="189"/>
        </w:trPr>
        <w:tc>
          <w:tcPr>
            <w:tcW w:w="2500" w:type="dxa"/>
            <w:vAlign w:val="bottom"/>
            <w:shd w:val="clear" w:color="auto" w:fill="508BC7"/>
          </w:tcPr>
          <w:p>
            <w:pPr>
              <w:ind w:left="1180"/>
              <w:spacing w:after="0"/>
              <w:rPr>
                <w:sz w:val="20"/>
                <w:szCs w:val="20"/>
                <w:color w:val="auto"/>
              </w:rPr>
            </w:pPr>
            <w:r>
              <w:rPr>
                <w:rFonts w:ascii="Arial" w:cs="Arial" w:eastAsia="Arial" w:hAnsi="Arial"/>
                <w:sz w:val="14"/>
                <w:szCs w:val="14"/>
                <w:b w:val="1"/>
                <w:bCs w:val="1"/>
                <w:color w:val="FFFFFF"/>
              </w:rPr>
              <w:t>Name</w:t>
            </w:r>
          </w:p>
        </w:tc>
        <w:tc>
          <w:tcPr>
            <w:tcW w:w="4200" w:type="dxa"/>
            <w:vAlign w:val="bottom"/>
            <w:shd w:val="clear" w:color="auto" w:fill="508BC7"/>
          </w:tcPr>
          <w:p>
            <w:pPr>
              <w:jc w:val="right"/>
              <w:ind w:right="668"/>
              <w:spacing w:after="0"/>
              <w:rPr>
                <w:sz w:val="20"/>
                <w:szCs w:val="20"/>
                <w:color w:val="auto"/>
              </w:rPr>
            </w:pPr>
            <w:r>
              <w:rPr>
                <w:rFonts w:ascii="Arial" w:cs="Arial" w:eastAsia="Arial" w:hAnsi="Arial"/>
                <w:sz w:val="14"/>
                <w:szCs w:val="14"/>
                <w:b w:val="1"/>
                <w:bCs w:val="1"/>
                <w:color w:val="FFFFFF"/>
              </w:rPr>
              <w:t>Target Total Grant Date Fair Value ($)</w:t>
            </w:r>
          </w:p>
        </w:tc>
        <w:tc>
          <w:tcPr>
            <w:tcW w:w="4260" w:type="dxa"/>
            <w:vAlign w:val="bottom"/>
            <w:shd w:val="clear" w:color="auto" w:fill="508BC7"/>
          </w:tcPr>
          <w:p>
            <w:pPr>
              <w:jc w:val="right"/>
              <w:ind w:right="688"/>
              <w:spacing w:after="0"/>
              <w:rPr>
                <w:sz w:val="20"/>
                <w:szCs w:val="20"/>
                <w:color w:val="auto"/>
              </w:rPr>
            </w:pPr>
            <w:r>
              <w:rPr>
                <w:rFonts w:ascii="Arial" w:cs="Arial" w:eastAsia="Arial" w:hAnsi="Arial"/>
                <w:sz w:val="14"/>
                <w:szCs w:val="14"/>
                <w:b w:val="1"/>
                <w:bCs w:val="1"/>
                <w:color w:val="FFFFFF"/>
              </w:rPr>
              <w:t>Maximum Total Grant Date Fair Value ($)</w:t>
            </w:r>
          </w:p>
        </w:tc>
      </w:tr>
      <w:tr>
        <w:trPr>
          <w:trHeight w:val="162"/>
        </w:trPr>
        <w:tc>
          <w:tcPr>
            <w:tcW w:w="2500" w:type="dxa"/>
            <w:vAlign w:val="bottom"/>
            <w:shd w:val="clear" w:color="auto" w:fill="D0E0F0"/>
          </w:tcPr>
          <w:p>
            <w:pPr>
              <w:ind w:left="100"/>
              <w:spacing w:after="0"/>
              <w:rPr>
                <w:sz w:val="20"/>
                <w:szCs w:val="20"/>
                <w:color w:val="auto"/>
              </w:rPr>
            </w:pPr>
            <w:r>
              <w:rPr>
                <w:rFonts w:ascii="Arial" w:cs="Arial" w:eastAsia="Arial" w:hAnsi="Arial"/>
                <w:sz w:val="14"/>
                <w:szCs w:val="14"/>
                <w:color w:val="auto"/>
              </w:rPr>
              <w:t>Rohit Kapoor</w:t>
            </w:r>
          </w:p>
        </w:tc>
        <w:tc>
          <w:tcPr>
            <w:tcW w:w="4200" w:type="dxa"/>
            <w:vAlign w:val="bottom"/>
            <w:shd w:val="clear" w:color="auto" w:fill="D0E0F0"/>
          </w:tcPr>
          <w:p>
            <w:pPr>
              <w:jc w:val="right"/>
              <w:ind w:right="1648"/>
              <w:spacing w:after="0"/>
              <w:rPr>
                <w:sz w:val="20"/>
                <w:szCs w:val="20"/>
                <w:color w:val="auto"/>
              </w:rPr>
            </w:pPr>
            <w:r>
              <w:rPr>
                <w:rFonts w:ascii="Arial" w:cs="Arial" w:eastAsia="Arial" w:hAnsi="Arial"/>
                <w:sz w:val="14"/>
                <w:szCs w:val="14"/>
                <w:color w:val="auto"/>
              </w:rPr>
              <w:t>2,184,563</w:t>
            </w:r>
          </w:p>
        </w:tc>
        <w:tc>
          <w:tcPr>
            <w:tcW w:w="4260" w:type="dxa"/>
            <w:vAlign w:val="bottom"/>
            <w:shd w:val="clear" w:color="auto" w:fill="D0E0F0"/>
          </w:tcPr>
          <w:p>
            <w:pPr>
              <w:jc w:val="right"/>
              <w:ind w:right="1568"/>
              <w:spacing w:after="0"/>
              <w:rPr>
                <w:sz w:val="20"/>
                <w:szCs w:val="20"/>
                <w:color w:val="auto"/>
              </w:rPr>
            </w:pPr>
            <w:r>
              <w:rPr>
                <w:rFonts w:ascii="Arial" w:cs="Arial" w:eastAsia="Arial" w:hAnsi="Arial"/>
                <w:sz w:val="14"/>
                <w:szCs w:val="14"/>
                <w:color w:val="auto"/>
              </w:rPr>
              <w:t>4,369,125</w:t>
            </w:r>
          </w:p>
        </w:tc>
      </w:tr>
      <w:tr>
        <w:trPr>
          <w:trHeight w:val="162"/>
        </w:trPr>
        <w:tc>
          <w:tcPr>
            <w:tcW w:w="2500" w:type="dxa"/>
            <w:vAlign w:val="bottom"/>
          </w:tcPr>
          <w:p>
            <w:pPr>
              <w:ind w:left="100"/>
              <w:spacing w:after="0"/>
              <w:rPr>
                <w:sz w:val="20"/>
                <w:szCs w:val="20"/>
                <w:color w:val="auto"/>
              </w:rPr>
            </w:pPr>
            <w:r>
              <w:rPr>
                <w:rFonts w:ascii="Arial" w:cs="Arial" w:eastAsia="Arial" w:hAnsi="Arial"/>
                <w:sz w:val="14"/>
                <w:szCs w:val="14"/>
                <w:color w:val="auto"/>
              </w:rPr>
              <w:t>Vishal Chhibbar</w:t>
            </w:r>
          </w:p>
        </w:tc>
        <w:tc>
          <w:tcPr>
            <w:tcW w:w="4200" w:type="dxa"/>
            <w:vAlign w:val="bottom"/>
          </w:tcPr>
          <w:p>
            <w:pPr>
              <w:jc w:val="right"/>
              <w:ind w:right="1648"/>
              <w:spacing w:after="0"/>
              <w:rPr>
                <w:sz w:val="20"/>
                <w:szCs w:val="20"/>
                <w:color w:val="auto"/>
              </w:rPr>
            </w:pPr>
            <w:r>
              <w:rPr>
                <w:rFonts w:ascii="Arial" w:cs="Arial" w:eastAsia="Arial" w:hAnsi="Arial"/>
                <w:sz w:val="14"/>
                <w:szCs w:val="14"/>
                <w:color w:val="auto"/>
              </w:rPr>
              <w:t>407,785</w:t>
            </w:r>
          </w:p>
        </w:tc>
        <w:tc>
          <w:tcPr>
            <w:tcW w:w="4260" w:type="dxa"/>
            <w:vAlign w:val="bottom"/>
          </w:tcPr>
          <w:p>
            <w:pPr>
              <w:jc w:val="right"/>
              <w:ind w:right="1568"/>
              <w:spacing w:after="0"/>
              <w:rPr>
                <w:sz w:val="20"/>
                <w:szCs w:val="20"/>
                <w:color w:val="auto"/>
              </w:rPr>
            </w:pPr>
            <w:r>
              <w:rPr>
                <w:rFonts w:ascii="Arial" w:cs="Arial" w:eastAsia="Arial" w:hAnsi="Arial"/>
                <w:sz w:val="14"/>
                <w:szCs w:val="14"/>
                <w:color w:val="auto"/>
              </w:rPr>
              <w:t>815,570</w:t>
            </w:r>
          </w:p>
        </w:tc>
      </w:tr>
      <w:tr>
        <w:trPr>
          <w:trHeight w:val="162"/>
        </w:trPr>
        <w:tc>
          <w:tcPr>
            <w:tcW w:w="2500" w:type="dxa"/>
            <w:vAlign w:val="bottom"/>
            <w:shd w:val="clear" w:color="auto" w:fill="D0E0F0"/>
          </w:tcPr>
          <w:p>
            <w:pPr>
              <w:ind w:left="100"/>
              <w:spacing w:after="0"/>
              <w:rPr>
                <w:sz w:val="20"/>
                <w:szCs w:val="20"/>
                <w:color w:val="auto"/>
              </w:rPr>
            </w:pPr>
            <w:r>
              <w:rPr>
                <w:rFonts w:ascii="Arial" w:cs="Arial" w:eastAsia="Arial" w:hAnsi="Arial"/>
                <w:sz w:val="14"/>
                <w:szCs w:val="14"/>
                <w:color w:val="auto"/>
              </w:rPr>
              <w:t>Pavan Bagai</w:t>
            </w:r>
          </w:p>
        </w:tc>
        <w:tc>
          <w:tcPr>
            <w:tcW w:w="4200" w:type="dxa"/>
            <w:vAlign w:val="bottom"/>
            <w:shd w:val="clear" w:color="auto" w:fill="D0E0F0"/>
          </w:tcPr>
          <w:p>
            <w:pPr>
              <w:jc w:val="right"/>
              <w:ind w:right="1648"/>
              <w:spacing w:after="0"/>
              <w:rPr>
                <w:sz w:val="20"/>
                <w:szCs w:val="20"/>
                <w:color w:val="auto"/>
              </w:rPr>
            </w:pPr>
            <w:r>
              <w:rPr>
                <w:rFonts w:ascii="Arial" w:cs="Arial" w:eastAsia="Arial" w:hAnsi="Arial"/>
                <w:sz w:val="14"/>
                <w:szCs w:val="14"/>
                <w:color w:val="auto"/>
              </w:rPr>
              <w:t>728,188</w:t>
            </w:r>
          </w:p>
        </w:tc>
        <w:tc>
          <w:tcPr>
            <w:tcW w:w="4260" w:type="dxa"/>
            <w:vAlign w:val="bottom"/>
            <w:shd w:val="clear" w:color="auto" w:fill="D0E0F0"/>
          </w:tcPr>
          <w:p>
            <w:pPr>
              <w:jc w:val="right"/>
              <w:ind w:right="1568"/>
              <w:spacing w:after="0"/>
              <w:rPr>
                <w:sz w:val="20"/>
                <w:szCs w:val="20"/>
                <w:color w:val="auto"/>
              </w:rPr>
            </w:pPr>
            <w:r>
              <w:rPr>
                <w:rFonts w:ascii="Arial" w:cs="Arial" w:eastAsia="Arial" w:hAnsi="Arial"/>
                <w:sz w:val="14"/>
                <w:szCs w:val="14"/>
                <w:color w:val="auto"/>
              </w:rPr>
              <w:t>1,456,375</w:t>
            </w:r>
          </w:p>
        </w:tc>
      </w:tr>
      <w:tr>
        <w:trPr>
          <w:trHeight w:val="162"/>
        </w:trPr>
        <w:tc>
          <w:tcPr>
            <w:tcW w:w="2500" w:type="dxa"/>
            <w:vAlign w:val="bottom"/>
          </w:tcPr>
          <w:p>
            <w:pPr>
              <w:ind w:left="100"/>
              <w:spacing w:after="0"/>
              <w:rPr>
                <w:sz w:val="20"/>
                <w:szCs w:val="20"/>
                <w:color w:val="auto"/>
              </w:rPr>
            </w:pPr>
            <w:r>
              <w:rPr>
                <w:rFonts w:ascii="Arial" w:cs="Arial" w:eastAsia="Arial" w:hAnsi="Arial"/>
                <w:sz w:val="14"/>
                <w:szCs w:val="14"/>
                <w:color w:val="auto"/>
              </w:rPr>
              <w:t>Rembert de Villa</w:t>
            </w:r>
          </w:p>
        </w:tc>
        <w:tc>
          <w:tcPr>
            <w:tcW w:w="4200" w:type="dxa"/>
            <w:vAlign w:val="bottom"/>
          </w:tcPr>
          <w:p>
            <w:pPr>
              <w:jc w:val="right"/>
              <w:ind w:right="1648"/>
              <w:spacing w:after="0"/>
              <w:rPr>
                <w:sz w:val="20"/>
                <w:szCs w:val="20"/>
                <w:color w:val="auto"/>
              </w:rPr>
            </w:pPr>
            <w:r>
              <w:rPr>
                <w:rFonts w:ascii="Arial" w:cs="Arial" w:eastAsia="Arial" w:hAnsi="Arial"/>
                <w:sz w:val="14"/>
                <w:szCs w:val="14"/>
                <w:color w:val="auto"/>
              </w:rPr>
              <w:t>349,530</w:t>
            </w:r>
          </w:p>
        </w:tc>
        <w:tc>
          <w:tcPr>
            <w:tcW w:w="4260" w:type="dxa"/>
            <w:vAlign w:val="bottom"/>
          </w:tcPr>
          <w:p>
            <w:pPr>
              <w:jc w:val="right"/>
              <w:ind w:right="1568"/>
              <w:spacing w:after="0"/>
              <w:rPr>
                <w:sz w:val="20"/>
                <w:szCs w:val="20"/>
                <w:color w:val="auto"/>
              </w:rPr>
            </w:pPr>
            <w:r>
              <w:rPr>
                <w:rFonts w:ascii="Arial" w:cs="Arial" w:eastAsia="Arial" w:hAnsi="Arial"/>
                <w:sz w:val="14"/>
                <w:szCs w:val="14"/>
                <w:color w:val="auto"/>
              </w:rPr>
              <w:t>699,060</w:t>
            </w:r>
          </w:p>
        </w:tc>
      </w:tr>
      <w:tr>
        <w:trPr>
          <w:trHeight w:val="162"/>
        </w:trPr>
        <w:tc>
          <w:tcPr>
            <w:tcW w:w="2500" w:type="dxa"/>
            <w:vAlign w:val="bottom"/>
            <w:shd w:val="clear" w:color="auto" w:fill="D0E0F0"/>
          </w:tcPr>
          <w:p>
            <w:pPr>
              <w:ind w:left="100"/>
              <w:spacing w:after="0"/>
              <w:rPr>
                <w:sz w:val="20"/>
                <w:szCs w:val="20"/>
                <w:color w:val="auto"/>
              </w:rPr>
            </w:pPr>
            <w:r>
              <w:rPr>
                <w:rFonts w:ascii="Arial" w:cs="Arial" w:eastAsia="Arial" w:hAnsi="Arial"/>
                <w:sz w:val="14"/>
                <w:szCs w:val="14"/>
                <w:color w:val="auto"/>
              </w:rPr>
              <w:t>Nalin Miglani</w:t>
            </w:r>
          </w:p>
        </w:tc>
        <w:tc>
          <w:tcPr>
            <w:tcW w:w="4200" w:type="dxa"/>
            <w:vAlign w:val="bottom"/>
            <w:shd w:val="clear" w:color="auto" w:fill="D0E0F0"/>
          </w:tcPr>
          <w:p>
            <w:pPr>
              <w:jc w:val="right"/>
              <w:ind w:right="1648"/>
              <w:spacing w:after="0"/>
              <w:rPr>
                <w:sz w:val="20"/>
                <w:szCs w:val="20"/>
                <w:color w:val="auto"/>
              </w:rPr>
            </w:pPr>
            <w:r>
              <w:rPr>
                <w:rFonts w:ascii="Arial" w:cs="Arial" w:eastAsia="Arial" w:hAnsi="Arial"/>
                <w:sz w:val="14"/>
                <w:szCs w:val="14"/>
                <w:color w:val="auto"/>
              </w:rPr>
              <w:t>349,530</w:t>
            </w:r>
          </w:p>
        </w:tc>
        <w:tc>
          <w:tcPr>
            <w:tcW w:w="4260" w:type="dxa"/>
            <w:vAlign w:val="bottom"/>
            <w:shd w:val="clear" w:color="auto" w:fill="D0E0F0"/>
          </w:tcPr>
          <w:p>
            <w:pPr>
              <w:jc w:val="right"/>
              <w:ind w:right="1568"/>
              <w:spacing w:after="0"/>
              <w:rPr>
                <w:sz w:val="20"/>
                <w:szCs w:val="20"/>
                <w:color w:val="auto"/>
              </w:rPr>
            </w:pPr>
            <w:r>
              <w:rPr>
                <w:rFonts w:ascii="Arial" w:cs="Arial" w:eastAsia="Arial" w:hAnsi="Arial"/>
                <w:sz w:val="14"/>
                <w:szCs w:val="14"/>
                <w:color w:val="auto"/>
              </w:rPr>
              <w:t>699,060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-530860</wp:posOffset>
            </wp:positionV>
            <wp:extent cx="68865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4490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0" w:lineRule="exact"/>
        <w:rPr>
          <w:sz w:val="20"/>
          <w:szCs w:val="20"/>
          <w:color w:val="auto"/>
        </w:rPr>
      </w:pPr>
    </w:p>
    <w:p>
      <w:pPr>
        <w:ind w:left="660" w:right="980" w:hanging="328"/>
        <w:spacing w:after="0" w:line="246"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Reflects the cash incentive bonuses earned in respect of 2016 and paid in 2017. For details on our annual incentive bonus program, see “Compensation Discussion and Analysis—Incentive Bonus” beginning on page 32.</w:t>
      </w:r>
    </w:p>
    <w:p>
      <w:pPr>
        <w:ind w:left="660" w:right="860" w:hanging="328"/>
        <w:spacing w:after="0" w:line="246"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Reflects the present value of accruals under the Gratuity Plan for Indian Employees. Information regarding our Gratuity Plan (including the assumptions used to calculate these amounts) may be found under “Pension Benefits for Fiscal Year 2016” beginning on page 50.</w:t>
      </w:r>
    </w:p>
    <w:p>
      <w:pPr>
        <w:jc w:val="both"/>
        <w:ind w:left="660" w:hanging="328"/>
        <w:spacing w:after="0" w:line="246"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Amount for Mr. Kapoor includes the travel allowance provided for under his employment agreement, to be used for once-a-year business class airfare for himself and his family between the United States and India ($31,378), costs associated with use of an automobile and driver in India, car lease, tax preparation assistance in India, contributions to our 401(k) plan, and Company-paid life insurance premiums.</w:t>
      </w:r>
    </w:p>
    <w:p>
      <w:pPr>
        <w:spacing w:after="0" w:line="1" w:lineRule="exact"/>
        <w:rPr>
          <w:rFonts w:ascii="Arial" w:cs="Arial" w:eastAsia="Arial" w:hAnsi="Arial"/>
          <w:sz w:val="16"/>
          <w:szCs w:val="16"/>
          <w:color w:val="auto"/>
        </w:rPr>
      </w:pPr>
    </w:p>
    <w:p>
      <w:pPr>
        <w:ind w:left="660" w:right="80" w:hanging="328"/>
        <w:spacing w:after="0" w:line="246"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Amount for Mr. Chhibbar includes relocation assistance in connection with his move to the United States ($100,000), contributions to our 401(k) plan, and Company-paid life insurance premiums.</w:t>
      </w:r>
    </w:p>
    <w:p>
      <w:pPr>
        <w:ind w:left="660" w:right="260" w:hanging="328"/>
        <w:spacing w:after="0" w:line="246"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Amount for Mr. Bagai includes housing allowance ($38,656), contributions to Employees’ Provident Fund Scheme (a statutorily required defined contribution program for Indian employees) ($13,956), costs associated with use of an automobile and driver in India, car lease, and home internet and telephone charges.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Amount for Mr. de Villa includes contributions to our 401(k) plan and Company-paid life insurance premiums.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Amount for Mr. Miglani includes contributions to our 401(k) plan and Company-paid life insurance premiums.</w:t>
      </w:r>
    </w:p>
    <w:p>
      <w:pPr>
        <w:spacing w:after="0" w:line="20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Unless otherwise specified, U.S. dollar figures in this proxy statement have been converted from Indian rupees at a rate of 67.94 Indian rupees to $1.00, the Indian rupee to U.S. dollar exchange rate in effect as of December 31, 2016. Some of the information in the Summary Compensation Tables for fiscal years 2014 and 2015 was converted using the exchange rates in effect as set forth below:</w:t>
      </w:r>
    </w:p>
    <w:p>
      <w:pPr>
        <w:spacing w:after="0" w:line="190"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2920" w:type="dxa"/>
            <w:vAlign w:val="bottom"/>
            <w:shd w:val="clear" w:color="auto" w:fill="548DD4"/>
          </w:tcPr>
          <w:p>
            <w:pPr>
              <w:jc w:val="center"/>
              <w:ind w:right="108"/>
              <w:spacing w:after="0"/>
              <w:rPr>
                <w:sz w:val="20"/>
                <w:szCs w:val="20"/>
                <w:color w:val="auto"/>
              </w:rPr>
            </w:pPr>
            <w:r>
              <w:rPr>
                <w:rFonts w:ascii="Arial" w:cs="Arial" w:eastAsia="Arial" w:hAnsi="Arial"/>
                <w:sz w:val="14"/>
                <w:szCs w:val="14"/>
                <w:b w:val="1"/>
                <w:bCs w:val="1"/>
                <w:color w:val="FFFFFF"/>
              </w:rPr>
              <w:t>Fiscal Year</w:t>
            </w:r>
          </w:p>
        </w:tc>
        <w:tc>
          <w:tcPr>
            <w:tcW w:w="3760" w:type="dxa"/>
            <w:vAlign w:val="bottom"/>
            <w:shd w:val="clear" w:color="auto" w:fill="548DD4"/>
          </w:tcPr>
          <w:p>
            <w:pPr>
              <w:jc w:val="center"/>
              <w:ind w:right="108"/>
              <w:spacing w:after="0"/>
              <w:rPr>
                <w:sz w:val="20"/>
                <w:szCs w:val="20"/>
                <w:color w:val="auto"/>
              </w:rPr>
            </w:pPr>
            <w:r>
              <w:rPr>
                <w:rFonts w:ascii="Arial" w:cs="Arial" w:eastAsia="Arial" w:hAnsi="Arial"/>
                <w:sz w:val="14"/>
                <w:szCs w:val="14"/>
                <w:b w:val="1"/>
                <w:bCs w:val="1"/>
                <w:color w:val="FFFFFF"/>
                <w:w w:val="98"/>
              </w:rPr>
              <w:t>Rate</w:t>
            </w:r>
          </w:p>
        </w:tc>
        <w:tc>
          <w:tcPr>
            <w:tcW w:w="42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Exchange Rate of INR per US$1</w:t>
            </w:r>
          </w:p>
        </w:tc>
      </w:tr>
      <w:tr>
        <w:trPr>
          <w:trHeight w:val="162"/>
        </w:trPr>
        <w:tc>
          <w:tcPr>
            <w:tcW w:w="2920" w:type="dxa"/>
            <w:vAlign w:val="bottom"/>
          </w:tcPr>
          <w:p>
            <w:pPr>
              <w:jc w:val="center"/>
              <w:ind w:right="128"/>
              <w:spacing w:after="0"/>
              <w:rPr>
                <w:sz w:val="20"/>
                <w:szCs w:val="20"/>
                <w:color w:val="auto"/>
              </w:rPr>
            </w:pPr>
            <w:r>
              <w:rPr>
                <w:rFonts w:ascii="Arial" w:cs="Arial" w:eastAsia="Arial" w:hAnsi="Arial"/>
                <w:sz w:val="14"/>
                <w:szCs w:val="14"/>
                <w:color w:val="auto"/>
              </w:rPr>
              <w:t>2015</w:t>
            </w:r>
          </w:p>
        </w:tc>
        <w:tc>
          <w:tcPr>
            <w:tcW w:w="3760" w:type="dxa"/>
            <w:vAlign w:val="bottom"/>
          </w:tcPr>
          <w:p>
            <w:pPr>
              <w:jc w:val="center"/>
              <w:ind w:right="108"/>
              <w:spacing w:after="0"/>
              <w:rPr>
                <w:sz w:val="20"/>
                <w:szCs w:val="20"/>
                <w:color w:val="auto"/>
              </w:rPr>
            </w:pPr>
            <w:r>
              <w:rPr>
                <w:rFonts w:ascii="Arial" w:cs="Arial" w:eastAsia="Arial" w:hAnsi="Arial"/>
                <w:sz w:val="14"/>
                <w:szCs w:val="14"/>
                <w:color w:val="auto"/>
              </w:rPr>
              <w:t>December 31, 2015</w:t>
            </w:r>
          </w:p>
        </w:tc>
        <w:tc>
          <w:tcPr>
            <w:tcW w:w="4280" w:type="dxa"/>
            <w:vAlign w:val="bottom"/>
          </w:tcPr>
          <w:p>
            <w:pPr>
              <w:jc w:val="center"/>
              <w:spacing w:after="0"/>
              <w:rPr>
                <w:sz w:val="20"/>
                <w:szCs w:val="20"/>
                <w:color w:val="auto"/>
              </w:rPr>
            </w:pPr>
            <w:r>
              <w:rPr>
                <w:rFonts w:ascii="Arial" w:cs="Arial" w:eastAsia="Arial" w:hAnsi="Arial"/>
                <w:sz w:val="14"/>
                <w:szCs w:val="14"/>
                <w:color w:val="auto"/>
              </w:rPr>
              <w:t>66.15</w:t>
            </w:r>
          </w:p>
        </w:tc>
      </w:tr>
      <w:tr>
        <w:trPr>
          <w:trHeight w:val="162"/>
        </w:trPr>
        <w:tc>
          <w:tcPr>
            <w:tcW w:w="2920" w:type="dxa"/>
            <w:vAlign w:val="bottom"/>
            <w:shd w:val="clear" w:color="auto" w:fill="D0E0F0"/>
          </w:tcPr>
          <w:p>
            <w:pPr>
              <w:jc w:val="center"/>
              <w:ind w:right="128"/>
              <w:spacing w:after="0"/>
              <w:rPr>
                <w:sz w:val="20"/>
                <w:szCs w:val="20"/>
                <w:color w:val="auto"/>
              </w:rPr>
            </w:pPr>
            <w:r>
              <w:rPr>
                <w:rFonts w:ascii="Arial" w:cs="Arial" w:eastAsia="Arial" w:hAnsi="Arial"/>
                <w:sz w:val="14"/>
                <w:szCs w:val="14"/>
                <w:color w:val="auto"/>
              </w:rPr>
              <w:t>2014</w:t>
            </w:r>
          </w:p>
        </w:tc>
        <w:tc>
          <w:tcPr>
            <w:tcW w:w="3760" w:type="dxa"/>
            <w:vAlign w:val="bottom"/>
            <w:shd w:val="clear" w:color="auto" w:fill="D0E0F0"/>
          </w:tcPr>
          <w:p>
            <w:pPr>
              <w:jc w:val="center"/>
              <w:ind w:right="108"/>
              <w:spacing w:after="0"/>
              <w:rPr>
                <w:sz w:val="20"/>
                <w:szCs w:val="20"/>
                <w:color w:val="auto"/>
              </w:rPr>
            </w:pPr>
            <w:r>
              <w:rPr>
                <w:rFonts w:ascii="Arial" w:cs="Arial" w:eastAsia="Arial" w:hAnsi="Arial"/>
                <w:sz w:val="14"/>
                <w:szCs w:val="14"/>
                <w:color w:val="auto"/>
              </w:rPr>
              <w:t>December 31, 2014</w:t>
            </w:r>
          </w:p>
        </w:tc>
        <w:tc>
          <w:tcPr>
            <w:tcW w:w="428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63.03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8351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1"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508BC7"/>
        </w:rPr>
        <w:t>Grants of Plan-Based Awards Table for Fiscal Year 2016</w:t>
      </w:r>
    </w:p>
    <w:p>
      <w:pPr>
        <w:spacing w:after="0" w:line="220"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The following table sets forth information concerning grants of stock and option awards and non-equity incentive plan awards granted to our named executive officers during fiscal year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shd w:val="clear" w:color="auto" w:fill="508BC7"/>
          </w:tcPr>
          <w:p>
            <w:pPr>
              <w:spacing w:after="0"/>
              <w:rPr>
                <w:sz w:val="14"/>
                <w:szCs w:val="14"/>
                <w:color w:val="auto"/>
              </w:rPr>
            </w:pPr>
          </w:p>
        </w:tc>
        <w:tc>
          <w:tcPr>
            <w:tcW w:w="500" w:type="dxa"/>
            <w:vAlign w:val="bottom"/>
            <w:shd w:val="clear" w:color="auto" w:fill="508BC7"/>
          </w:tcPr>
          <w:p>
            <w:pPr>
              <w:spacing w:after="0"/>
              <w:rPr>
                <w:sz w:val="14"/>
                <w:szCs w:val="14"/>
                <w:color w:val="auto"/>
              </w:rPr>
            </w:pPr>
          </w:p>
        </w:tc>
        <w:tc>
          <w:tcPr>
            <w:tcW w:w="900" w:type="dxa"/>
            <w:vAlign w:val="bottom"/>
            <w:shd w:val="clear" w:color="auto" w:fill="508BC7"/>
          </w:tcPr>
          <w:p>
            <w:pPr>
              <w:spacing w:after="0"/>
              <w:rPr>
                <w:sz w:val="14"/>
                <w:szCs w:val="14"/>
                <w:color w:val="auto"/>
              </w:rPr>
            </w:pPr>
          </w:p>
        </w:tc>
        <w:tc>
          <w:tcPr>
            <w:tcW w:w="2700" w:type="dxa"/>
            <w:vAlign w:val="bottom"/>
            <w:gridSpan w:val="3"/>
            <w:shd w:val="clear" w:color="auto" w:fill="508BC7"/>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2920" w:type="dxa"/>
            <w:vAlign w:val="bottom"/>
            <w:gridSpan w:val="4"/>
            <w:shd w:val="clear" w:color="auto" w:fill="508BC7"/>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112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All Other</w:t>
            </w:r>
          </w:p>
        </w:tc>
        <w:tc>
          <w:tcPr>
            <w:tcW w:w="980" w:type="dxa"/>
            <w:vAlign w:val="bottom"/>
            <w:shd w:val="clear" w:color="auto" w:fill="508BC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508BC7"/>
          </w:tcPr>
          <w:p>
            <w:pPr>
              <w:spacing w:after="0"/>
              <w:rPr>
                <w:sz w:val="14"/>
                <w:szCs w:val="14"/>
                <w:color w:val="auto"/>
              </w:rPr>
            </w:pPr>
          </w:p>
        </w:tc>
        <w:tc>
          <w:tcPr>
            <w:tcW w:w="500" w:type="dxa"/>
            <w:vAlign w:val="bottom"/>
            <w:shd w:val="clear" w:color="auto" w:fill="508BC7"/>
          </w:tcPr>
          <w:p>
            <w:pPr>
              <w:spacing w:after="0"/>
              <w:rPr>
                <w:sz w:val="14"/>
                <w:szCs w:val="14"/>
                <w:color w:val="auto"/>
              </w:rPr>
            </w:pPr>
          </w:p>
        </w:tc>
        <w:tc>
          <w:tcPr>
            <w:tcW w:w="900" w:type="dxa"/>
            <w:vAlign w:val="bottom"/>
            <w:shd w:val="clear" w:color="auto" w:fill="508BC7"/>
          </w:tcPr>
          <w:p>
            <w:pPr>
              <w:spacing w:after="0"/>
              <w:rPr>
                <w:sz w:val="14"/>
                <w:szCs w:val="14"/>
                <w:color w:val="auto"/>
              </w:rPr>
            </w:pPr>
          </w:p>
        </w:tc>
        <w:tc>
          <w:tcPr>
            <w:tcW w:w="2700" w:type="dxa"/>
            <w:vAlign w:val="bottom"/>
            <w:gridSpan w:val="3"/>
            <w:shd w:val="clear" w:color="auto" w:fill="508BC7"/>
          </w:tcPr>
          <w:p>
            <w:pPr>
              <w:jc w:val="center"/>
              <w:spacing w:after="0"/>
              <w:rPr>
                <w:sz w:val="20"/>
                <w:szCs w:val="20"/>
                <w:color w:val="auto"/>
              </w:rPr>
            </w:pPr>
            <w:r>
              <w:rPr>
                <w:rFonts w:ascii="Arial" w:cs="Arial" w:eastAsia="Arial" w:hAnsi="Arial"/>
                <w:sz w:val="14"/>
                <w:szCs w:val="14"/>
                <w:b w:val="1"/>
                <w:bCs w:val="1"/>
                <w:color w:val="FFFFFF"/>
              </w:rPr>
              <w:t>Under Non-Equity Incentive</w:t>
            </w:r>
          </w:p>
        </w:tc>
        <w:tc>
          <w:tcPr>
            <w:tcW w:w="2920" w:type="dxa"/>
            <w:vAlign w:val="bottom"/>
            <w:gridSpan w:val="4"/>
            <w:shd w:val="clear" w:color="auto" w:fill="508BC7"/>
          </w:tcPr>
          <w:p>
            <w:pPr>
              <w:jc w:val="center"/>
              <w:spacing w:after="0"/>
              <w:rPr>
                <w:sz w:val="20"/>
                <w:szCs w:val="20"/>
                <w:color w:val="auto"/>
              </w:rPr>
            </w:pPr>
            <w:r>
              <w:rPr>
                <w:rFonts w:ascii="Arial" w:cs="Arial" w:eastAsia="Arial" w:hAnsi="Arial"/>
                <w:sz w:val="14"/>
                <w:szCs w:val="14"/>
                <w:b w:val="1"/>
                <w:bCs w:val="1"/>
                <w:color w:val="FFFFFF"/>
              </w:rPr>
              <w:t>Under Equity Incentive</w:t>
            </w:r>
          </w:p>
        </w:tc>
        <w:tc>
          <w:tcPr>
            <w:tcW w:w="112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Stock</w:t>
            </w:r>
          </w:p>
        </w:tc>
        <w:tc>
          <w:tcPr>
            <w:tcW w:w="980" w:type="dxa"/>
            <w:vAlign w:val="bottom"/>
            <w:vMerge w:val="restart"/>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Grant Date</w:t>
            </w:r>
          </w:p>
        </w:tc>
        <w:tc>
          <w:tcPr>
            <w:tcW w:w="0" w:type="dxa"/>
            <w:vAlign w:val="bottom"/>
          </w:tcPr>
          <w:p>
            <w:pPr>
              <w:spacing w:after="0"/>
              <w:rPr>
                <w:sz w:val="1"/>
                <w:szCs w:val="1"/>
                <w:color w:val="auto"/>
              </w:rPr>
            </w:pPr>
          </w:p>
        </w:tc>
      </w:tr>
      <w:tr>
        <w:trPr>
          <w:trHeight w:val="162"/>
        </w:trPr>
        <w:tc>
          <w:tcPr>
            <w:tcW w:w="2300" w:type="dxa"/>
            <w:vAlign w:val="bottom"/>
            <w:shd w:val="clear" w:color="auto" w:fill="508BC7"/>
          </w:tcPr>
          <w:p>
            <w:pPr>
              <w:spacing w:after="0"/>
              <w:rPr>
                <w:sz w:val="14"/>
                <w:szCs w:val="14"/>
                <w:color w:val="auto"/>
              </w:rPr>
            </w:pPr>
          </w:p>
        </w:tc>
        <w:tc>
          <w:tcPr>
            <w:tcW w:w="500" w:type="dxa"/>
            <w:vAlign w:val="bottom"/>
            <w:shd w:val="clear" w:color="auto" w:fill="508BC7"/>
          </w:tcPr>
          <w:p>
            <w:pPr>
              <w:spacing w:after="0"/>
              <w:rPr>
                <w:sz w:val="14"/>
                <w:szCs w:val="14"/>
                <w:color w:val="auto"/>
              </w:rPr>
            </w:pPr>
          </w:p>
        </w:tc>
        <w:tc>
          <w:tcPr>
            <w:tcW w:w="900" w:type="dxa"/>
            <w:vAlign w:val="bottom"/>
            <w:shd w:val="clear" w:color="auto" w:fill="508BC7"/>
          </w:tcPr>
          <w:p>
            <w:pPr>
              <w:spacing w:after="0"/>
              <w:rPr>
                <w:sz w:val="14"/>
                <w:szCs w:val="14"/>
                <w:color w:val="auto"/>
              </w:rPr>
            </w:pPr>
          </w:p>
        </w:tc>
        <w:tc>
          <w:tcPr>
            <w:tcW w:w="840" w:type="dxa"/>
            <w:vAlign w:val="bottom"/>
            <w:shd w:val="clear" w:color="auto" w:fill="508BC7"/>
          </w:tcPr>
          <w:p>
            <w:pPr>
              <w:spacing w:after="0"/>
              <w:rPr>
                <w:sz w:val="14"/>
                <w:szCs w:val="14"/>
                <w:color w:val="auto"/>
              </w:rPr>
            </w:pPr>
          </w:p>
        </w:tc>
        <w:tc>
          <w:tcPr>
            <w:tcW w:w="1040" w:type="dxa"/>
            <w:vAlign w:val="bottom"/>
            <w:shd w:val="clear" w:color="auto" w:fill="508BC7"/>
          </w:tcPr>
          <w:p>
            <w:pPr>
              <w:jc w:val="center"/>
              <w:spacing w:after="0" w:line="162" w:lineRule="exact"/>
              <w:rPr>
                <w:sz w:val="20"/>
                <w:szCs w:val="20"/>
                <w:color w:val="auto"/>
              </w:rPr>
            </w:pPr>
            <w:r>
              <w:rPr>
                <w:rFonts w:ascii="Arial" w:cs="Arial" w:eastAsia="Arial" w:hAnsi="Arial"/>
                <w:sz w:val="12"/>
                <w:szCs w:val="12"/>
                <w:b w:val="1"/>
                <w:bCs w:val="1"/>
                <w:color w:val="FFFFFF"/>
              </w:rPr>
              <w:t>Plan Awards</w:t>
            </w:r>
            <w:r>
              <w:rPr>
                <w:rFonts w:ascii="Arial" w:cs="Arial" w:eastAsia="Arial" w:hAnsi="Arial"/>
                <w:sz w:val="18"/>
                <w:szCs w:val="18"/>
                <w:b w:val="1"/>
                <w:bCs w:val="1"/>
                <w:color w:val="FFFFFF"/>
                <w:vertAlign w:val="superscript"/>
              </w:rPr>
              <w:t>(1)</w:t>
            </w:r>
          </w:p>
        </w:tc>
        <w:tc>
          <w:tcPr>
            <w:tcW w:w="820" w:type="dxa"/>
            <w:vAlign w:val="bottom"/>
            <w:shd w:val="clear" w:color="auto" w:fill="508BC7"/>
          </w:tcPr>
          <w:p>
            <w:pPr>
              <w:spacing w:after="0"/>
              <w:rPr>
                <w:sz w:val="14"/>
                <w:szCs w:val="14"/>
                <w:color w:val="auto"/>
              </w:rPr>
            </w:pPr>
          </w:p>
        </w:tc>
        <w:tc>
          <w:tcPr>
            <w:tcW w:w="940" w:type="dxa"/>
            <w:vAlign w:val="bottom"/>
            <w:shd w:val="clear" w:color="auto" w:fill="508BC7"/>
          </w:tcPr>
          <w:p>
            <w:pPr>
              <w:spacing w:after="0"/>
              <w:rPr>
                <w:sz w:val="14"/>
                <w:szCs w:val="14"/>
                <w:color w:val="auto"/>
              </w:rPr>
            </w:pPr>
          </w:p>
        </w:tc>
        <w:tc>
          <w:tcPr>
            <w:tcW w:w="1020" w:type="dxa"/>
            <w:vAlign w:val="bottom"/>
            <w:gridSpan w:val="2"/>
            <w:shd w:val="clear" w:color="auto" w:fill="508BC7"/>
          </w:tcPr>
          <w:p>
            <w:pPr>
              <w:jc w:val="center"/>
              <w:spacing w:after="0"/>
              <w:rPr>
                <w:sz w:val="20"/>
                <w:szCs w:val="20"/>
                <w:color w:val="auto"/>
              </w:rPr>
            </w:pPr>
            <w:r>
              <w:rPr>
                <w:rFonts w:ascii="Arial" w:cs="Arial" w:eastAsia="Arial" w:hAnsi="Arial"/>
                <w:sz w:val="14"/>
                <w:szCs w:val="14"/>
                <w:b w:val="1"/>
                <w:bCs w:val="1"/>
                <w:color w:val="FFFFFF"/>
              </w:rPr>
              <w:t>Plan Awards</w:t>
            </w:r>
          </w:p>
        </w:tc>
        <w:tc>
          <w:tcPr>
            <w:tcW w:w="960" w:type="dxa"/>
            <w:vAlign w:val="bottom"/>
            <w:shd w:val="clear" w:color="auto" w:fill="508BC7"/>
          </w:tcPr>
          <w:p>
            <w:pPr>
              <w:spacing w:after="0"/>
              <w:rPr>
                <w:sz w:val="14"/>
                <w:szCs w:val="14"/>
                <w:color w:val="auto"/>
              </w:rPr>
            </w:pPr>
          </w:p>
        </w:tc>
        <w:tc>
          <w:tcPr>
            <w:tcW w:w="112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Awards:</w:t>
            </w:r>
          </w:p>
        </w:tc>
        <w:tc>
          <w:tcPr>
            <w:tcW w:w="980" w:type="dxa"/>
            <w:vAlign w:val="bottom"/>
            <w:vMerge w:val="continue"/>
            <w:shd w:val="clear" w:color="auto" w:fill="508BC7"/>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508BC7"/>
          </w:tcPr>
          <w:p>
            <w:pPr>
              <w:spacing w:after="0"/>
              <w:rPr>
                <w:sz w:val="11"/>
                <w:szCs w:val="11"/>
                <w:color w:val="auto"/>
              </w:rPr>
            </w:pPr>
          </w:p>
        </w:tc>
        <w:tc>
          <w:tcPr>
            <w:tcW w:w="500" w:type="dxa"/>
            <w:vAlign w:val="bottom"/>
            <w:shd w:val="clear" w:color="auto" w:fill="508BC7"/>
          </w:tcPr>
          <w:p>
            <w:pPr>
              <w:spacing w:after="0"/>
              <w:rPr>
                <w:sz w:val="11"/>
                <w:szCs w:val="11"/>
                <w:color w:val="auto"/>
              </w:rPr>
            </w:pPr>
          </w:p>
        </w:tc>
        <w:tc>
          <w:tcPr>
            <w:tcW w:w="900" w:type="dxa"/>
            <w:vAlign w:val="bottom"/>
            <w:shd w:val="clear" w:color="auto" w:fill="508BC7"/>
          </w:tcPr>
          <w:p>
            <w:pPr>
              <w:spacing w:after="0"/>
              <w:rPr>
                <w:sz w:val="11"/>
                <w:szCs w:val="11"/>
                <w:color w:val="auto"/>
              </w:rPr>
            </w:pPr>
          </w:p>
        </w:tc>
        <w:tc>
          <w:tcPr>
            <w:tcW w:w="840" w:type="dxa"/>
            <w:vAlign w:val="bottom"/>
            <w:shd w:val="clear" w:color="auto" w:fill="508BC7"/>
          </w:tcPr>
          <w:p>
            <w:pPr>
              <w:spacing w:after="0"/>
              <w:rPr>
                <w:sz w:val="11"/>
                <w:szCs w:val="11"/>
                <w:color w:val="auto"/>
              </w:rPr>
            </w:pPr>
          </w:p>
        </w:tc>
        <w:tc>
          <w:tcPr>
            <w:tcW w:w="1040" w:type="dxa"/>
            <w:vAlign w:val="bottom"/>
            <w:shd w:val="clear" w:color="auto" w:fill="508BC7"/>
          </w:tcPr>
          <w:p>
            <w:pPr>
              <w:spacing w:after="0"/>
              <w:rPr>
                <w:sz w:val="11"/>
                <w:szCs w:val="11"/>
                <w:color w:val="auto"/>
              </w:rPr>
            </w:pPr>
          </w:p>
        </w:tc>
        <w:tc>
          <w:tcPr>
            <w:tcW w:w="820" w:type="dxa"/>
            <w:vAlign w:val="bottom"/>
            <w:shd w:val="clear" w:color="auto" w:fill="508BC7"/>
          </w:tcPr>
          <w:p>
            <w:pPr>
              <w:spacing w:after="0"/>
              <w:rPr>
                <w:sz w:val="11"/>
                <w:szCs w:val="11"/>
                <w:color w:val="auto"/>
              </w:rPr>
            </w:pPr>
          </w:p>
        </w:tc>
        <w:tc>
          <w:tcPr>
            <w:tcW w:w="940" w:type="dxa"/>
            <w:vAlign w:val="bottom"/>
            <w:shd w:val="clear" w:color="auto" w:fill="508BC7"/>
          </w:tcPr>
          <w:p>
            <w:pPr>
              <w:spacing w:after="0"/>
              <w:rPr>
                <w:sz w:val="11"/>
                <w:szCs w:val="11"/>
                <w:color w:val="auto"/>
              </w:rPr>
            </w:pPr>
          </w:p>
        </w:tc>
        <w:tc>
          <w:tcPr>
            <w:tcW w:w="800" w:type="dxa"/>
            <w:vAlign w:val="bottom"/>
            <w:shd w:val="clear" w:color="auto" w:fill="508BC7"/>
          </w:tcPr>
          <w:p>
            <w:pPr>
              <w:spacing w:after="0"/>
              <w:rPr>
                <w:sz w:val="11"/>
                <w:szCs w:val="11"/>
                <w:color w:val="auto"/>
              </w:rPr>
            </w:pPr>
          </w:p>
        </w:tc>
        <w:tc>
          <w:tcPr>
            <w:tcW w:w="220" w:type="dxa"/>
            <w:vAlign w:val="bottom"/>
            <w:shd w:val="clear" w:color="auto" w:fill="508BC7"/>
          </w:tcPr>
          <w:p>
            <w:pPr>
              <w:spacing w:after="0"/>
              <w:rPr>
                <w:sz w:val="11"/>
                <w:szCs w:val="11"/>
                <w:color w:val="auto"/>
              </w:rPr>
            </w:pPr>
          </w:p>
        </w:tc>
        <w:tc>
          <w:tcPr>
            <w:tcW w:w="960" w:type="dxa"/>
            <w:vAlign w:val="bottom"/>
            <w:shd w:val="clear" w:color="auto" w:fill="508BC7"/>
          </w:tcPr>
          <w:p>
            <w:pPr>
              <w:spacing w:after="0"/>
              <w:rPr>
                <w:sz w:val="11"/>
                <w:szCs w:val="11"/>
                <w:color w:val="auto"/>
              </w:rPr>
            </w:pPr>
          </w:p>
        </w:tc>
        <w:tc>
          <w:tcPr>
            <w:tcW w:w="1120" w:type="dxa"/>
            <w:vAlign w:val="bottom"/>
            <w:shd w:val="clear" w:color="auto" w:fill="508BC7"/>
          </w:tcPr>
          <w:p>
            <w:pPr>
              <w:jc w:val="center"/>
              <w:ind w:right="8"/>
              <w:spacing w:after="0" w:line="135" w:lineRule="exact"/>
              <w:rPr>
                <w:sz w:val="20"/>
                <w:szCs w:val="20"/>
                <w:color w:val="auto"/>
              </w:rPr>
            </w:pPr>
            <w:r>
              <w:rPr>
                <w:rFonts w:ascii="Arial" w:cs="Arial" w:eastAsia="Arial" w:hAnsi="Arial"/>
                <w:sz w:val="14"/>
                <w:szCs w:val="14"/>
                <w:b w:val="1"/>
                <w:bCs w:val="1"/>
                <w:color w:val="FFFFFF"/>
              </w:rPr>
              <w:t>Number of</w:t>
            </w:r>
          </w:p>
        </w:tc>
        <w:tc>
          <w:tcPr>
            <w:tcW w:w="980" w:type="dxa"/>
            <w:vAlign w:val="bottom"/>
            <w:shd w:val="clear" w:color="auto" w:fill="508BC7"/>
          </w:tcPr>
          <w:p>
            <w:pPr>
              <w:jc w:val="center"/>
              <w:spacing w:after="0" w:line="135" w:lineRule="exact"/>
              <w:rPr>
                <w:sz w:val="20"/>
                <w:szCs w:val="20"/>
                <w:color w:val="auto"/>
              </w:rPr>
            </w:pPr>
            <w:r>
              <w:rPr>
                <w:rFonts w:ascii="Arial" w:cs="Arial" w:eastAsia="Arial" w:hAnsi="Arial"/>
                <w:sz w:val="14"/>
                <w:szCs w:val="14"/>
                <w:b w:val="1"/>
                <w:bCs w:val="1"/>
                <w:color w:val="FFFFFF"/>
              </w:rPr>
              <w:t>Fair Value</w:t>
            </w:r>
          </w:p>
        </w:tc>
        <w:tc>
          <w:tcPr>
            <w:tcW w:w="0" w:type="dxa"/>
            <w:vAlign w:val="bottom"/>
          </w:tcPr>
          <w:p>
            <w:pPr>
              <w:spacing w:after="0"/>
              <w:rPr>
                <w:sz w:val="1"/>
                <w:szCs w:val="1"/>
                <w:color w:val="auto"/>
              </w:rPr>
            </w:pPr>
          </w:p>
        </w:tc>
      </w:tr>
      <w:tr>
        <w:trPr>
          <w:trHeight w:val="162"/>
        </w:trPr>
        <w:tc>
          <w:tcPr>
            <w:tcW w:w="2300" w:type="dxa"/>
            <w:vAlign w:val="bottom"/>
            <w:shd w:val="clear" w:color="auto" w:fill="508BC7"/>
          </w:tcPr>
          <w:p>
            <w:pPr>
              <w:spacing w:after="0"/>
              <w:rPr>
                <w:sz w:val="14"/>
                <w:szCs w:val="14"/>
                <w:color w:val="auto"/>
              </w:rPr>
            </w:pPr>
          </w:p>
        </w:tc>
        <w:tc>
          <w:tcPr>
            <w:tcW w:w="500" w:type="dxa"/>
            <w:vAlign w:val="bottom"/>
            <w:shd w:val="clear" w:color="auto" w:fill="508BC7"/>
          </w:tcPr>
          <w:p>
            <w:pPr>
              <w:spacing w:after="0"/>
              <w:rPr>
                <w:sz w:val="14"/>
                <w:szCs w:val="14"/>
                <w:color w:val="auto"/>
              </w:rPr>
            </w:pPr>
          </w:p>
        </w:tc>
        <w:tc>
          <w:tcPr>
            <w:tcW w:w="900" w:type="dxa"/>
            <w:vAlign w:val="bottom"/>
            <w:shd w:val="clear" w:color="auto" w:fill="508BC7"/>
          </w:tcPr>
          <w:p>
            <w:pPr>
              <w:spacing w:after="0"/>
              <w:rPr>
                <w:sz w:val="14"/>
                <w:szCs w:val="14"/>
                <w:color w:val="auto"/>
              </w:rPr>
            </w:pPr>
          </w:p>
        </w:tc>
        <w:tc>
          <w:tcPr>
            <w:tcW w:w="840" w:type="dxa"/>
            <w:vAlign w:val="bottom"/>
            <w:shd w:val="clear" w:color="auto" w:fill="508BC7"/>
          </w:tcPr>
          <w:p>
            <w:pPr>
              <w:spacing w:after="0"/>
              <w:rPr>
                <w:sz w:val="14"/>
                <w:szCs w:val="14"/>
                <w:color w:val="auto"/>
              </w:rPr>
            </w:pPr>
          </w:p>
        </w:tc>
        <w:tc>
          <w:tcPr>
            <w:tcW w:w="1040" w:type="dxa"/>
            <w:vAlign w:val="bottom"/>
            <w:shd w:val="clear" w:color="auto" w:fill="508BC7"/>
          </w:tcPr>
          <w:p>
            <w:pPr>
              <w:spacing w:after="0"/>
              <w:rPr>
                <w:sz w:val="14"/>
                <w:szCs w:val="14"/>
                <w:color w:val="auto"/>
              </w:rPr>
            </w:pPr>
          </w:p>
        </w:tc>
        <w:tc>
          <w:tcPr>
            <w:tcW w:w="820" w:type="dxa"/>
            <w:vAlign w:val="bottom"/>
            <w:shd w:val="clear" w:color="auto" w:fill="508BC7"/>
          </w:tcPr>
          <w:p>
            <w:pPr>
              <w:spacing w:after="0"/>
              <w:rPr>
                <w:sz w:val="14"/>
                <w:szCs w:val="14"/>
                <w:color w:val="auto"/>
              </w:rPr>
            </w:pPr>
          </w:p>
        </w:tc>
        <w:tc>
          <w:tcPr>
            <w:tcW w:w="940" w:type="dxa"/>
            <w:vAlign w:val="bottom"/>
            <w:shd w:val="clear" w:color="auto" w:fill="508BC7"/>
          </w:tcPr>
          <w:p>
            <w:pPr>
              <w:spacing w:after="0"/>
              <w:rPr>
                <w:sz w:val="14"/>
                <w:szCs w:val="14"/>
                <w:color w:val="auto"/>
              </w:rPr>
            </w:pPr>
          </w:p>
        </w:tc>
        <w:tc>
          <w:tcPr>
            <w:tcW w:w="800" w:type="dxa"/>
            <w:vAlign w:val="bottom"/>
            <w:shd w:val="clear" w:color="auto" w:fill="508BC7"/>
          </w:tcPr>
          <w:p>
            <w:pPr>
              <w:spacing w:after="0"/>
              <w:rPr>
                <w:sz w:val="14"/>
                <w:szCs w:val="14"/>
                <w:color w:val="auto"/>
              </w:rPr>
            </w:pPr>
          </w:p>
        </w:tc>
        <w:tc>
          <w:tcPr>
            <w:tcW w:w="220" w:type="dxa"/>
            <w:vAlign w:val="bottom"/>
            <w:shd w:val="clear" w:color="auto" w:fill="508BC7"/>
          </w:tcPr>
          <w:p>
            <w:pPr>
              <w:spacing w:after="0"/>
              <w:rPr>
                <w:sz w:val="14"/>
                <w:szCs w:val="14"/>
                <w:color w:val="auto"/>
              </w:rPr>
            </w:pPr>
          </w:p>
        </w:tc>
        <w:tc>
          <w:tcPr>
            <w:tcW w:w="960" w:type="dxa"/>
            <w:vAlign w:val="bottom"/>
            <w:shd w:val="clear" w:color="auto" w:fill="508BC7"/>
          </w:tcPr>
          <w:p>
            <w:pPr>
              <w:spacing w:after="0"/>
              <w:rPr>
                <w:sz w:val="14"/>
                <w:szCs w:val="14"/>
                <w:color w:val="auto"/>
              </w:rPr>
            </w:pPr>
          </w:p>
        </w:tc>
        <w:tc>
          <w:tcPr>
            <w:tcW w:w="112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Shares of</w:t>
            </w:r>
          </w:p>
        </w:tc>
        <w:tc>
          <w:tcPr>
            <w:tcW w:w="98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of Stock</w:t>
            </w:r>
          </w:p>
        </w:tc>
        <w:tc>
          <w:tcPr>
            <w:tcW w:w="0" w:type="dxa"/>
            <w:vAlign w:val="bottom"/>
          </w:tcPr>
          <w:p>
            <w:pPr>
              <w:spacing w:after="0"/>
              <w:rPr>
                <w:sz w:val="1"/>
                <w:szCs w:val="1"/>
                <w:color w:val="auto"/>
              </w:rPr>
            </w:pPr>
          </w:p>
        </w:tc>
      </w:tr>
      <w:tr>
        <w:trPr>
          <w:trHeight w:val="162"/>
        </w:trPr>
        <w:tc>
          <w:tcPr>
            <w:tcW w:w="2300" w:type="dxa"/>
            <w:vAlign w:val="bottom"/>
            <w:shd w:val="clear" w:color="auto" w:fill="508BC7"/>
          </w:tcPr>
          <w:p>
            <w:pPr>
              <w:spacing w:after="0"/>
              <w:rPr>
                <w:sz w:val="14"/>
                <w:szCs w:val="14"/>
                <w:color w:val="auto"/>
              </w:rPr>
            </w:pPr>
          </w:p>
        </w:tc>
        <w:tc>
          <w:tcPr>
            <w:tcW w:w="500" w:type="dxa"/>
            <w:vAlign w:val="bottom"/>
            <w:shd w:val="clear" w:color="auto" w:fill="508BC7"/>
          </w:tcPr>
          <w:p>
            <w:pPr>
              <w:spacing w:after="0"/>
              <w:rPr>
                <w:sz w:val="14"/>
                <w:szCs w:val="14"/>
                <w:color w:val="auto"/>
              </w:rPr>
            </w:pPr>
          </w:p>
        </w:tc>
        <w:tc>
          <w:tcPr>
            <w:tcW w:w="900" w:type="dxa"/>
            <w:vAlign w:val="bottom"/>
            <w:shd w:val="clear" w:color="auto" w:fill="508BC7"/>
          </w:tcPr>
          <w:p>
            <w:pPr>
              <w:spacing w:after="0"/>
              <w:rPr>
                <w:sz w:val="14"/>
                <w:szCs w:val="14"/>
                <w:color w:val="auto"/>
              </w:rPr>
            </w:pPr>
          </w:p>
        </w:tc>
        <w:tc>
          <w:tcPr>
            <w:tcW w:w="840" w:type="dxa"/>
            <w:vAlign w:val="bottom"/>
            <w:shd w:val="clear" w:color="auto" w:fill="508BC7"/>
          </w:tcPr>
          <w:p>
            <w:pPr>
              <w:spacing w:after="0"/>
              <w:rPr>
                <w:sz w:val="14"/>
                <w:szCs w:val="14"/>
                <w:color w:val="auto"/>
              </w:rPr>
            </w:pPr>
          </w:p>
        </w:tc>
        <w:tc>
          <w:tcPr>
            <w:tcW w:w="1040" w:type="dxa"/>
            <w:vAlign w:val="bottom"/>
            <w:shd w:val="clear" w:color="auto" w:fill="508BC7"/>
          </w:tcPr>
          <w:p>
            <w:pPr>
              <w:spacing w:after="0"/>
              <w:rPr>
                <w:sz w:val="14"/>
                <w:szCs w:val="14"/>
                <w:color w:val="auto"/>
              </w:rPr>
            </w:pPr>
          </w:p>
        </w:tc>
        <w:tc>
          <w:tcPr>
            <w:tcW w:w="820" w:type="dxa"/>
            <w:vAlign w:val="bottom"/>
            <w:shd w:val="clear" w:color="auto" w:fill="508BC7"/>
          </w:tcPr>
          <w:p>
            <w:pPr>
              <w:spacing w:after="0"/>
              <w:rPr>
                <w:sz w:val="14"/>
                <w:szCs w:val="14"/>
                <w:color w:val="auto"/>
              </w:rPr>
            </w:pPr>
          </w:p>
        </w:tc>
        <w:tc>
          <w:tcPr>
            <w:tcW w:w="940" w:type="dxa"/>
            <w:vAlign w:val="bottom"/>
            <w:shd w:val="clear" w:color="auto" w:fill="508BC7"/>
          </w:tcPr>
          <w:p>
            <w:pPr>
              <w:spacing w:after="0"/>
              <w:rPr>
                <w:sz w:val="14"/>
                <w:szCs w:val="14"/>
                <w:color w:val="auto"/>
              </w:rPr>
            </w:pPr>
          </w:p>
        </w:tc>
        <w:tc>
          <w:tcPr>
            <w:tcW w:w="800" w:type="dxa"/>
            <w:vAlign w:val="bottom"/>
            <w:shd w:val="clear" w:color="auto" w:fill="508BC7"/>
          </w:tcPr>
          <w:p>
            <w:pPr>
              <w:spacing w:after="0"/>
              <w:rPr>
                <w:sz w:val="14"/>
                <w:szCs w:val="14"/>
                <w:color w:val="auto"/>
              </w:rPr>
            </w:pPr>
          </w:p>
        </w:tc>
        <w:tc>
          <w:tcPr>
            <w:tcW w:w="220" w:type="dxa"/>
            <w:vAlign w:val="bottom"/>
            <w:shd w:val="clear" w:color="auto" w:fill="508BC7"/>
          </w:tcPr>
          <w:p>
            <w:pPr>
              <w:spacing w:after="0"/>
              <w:rPr>
                <w:sz w:val="14"/>
                <w:szCs w:val="14"/>
                <w:color w:val="auto"/>
              </w:rPr>
            </w:pPr>
          </w:p>
        </w:tc>
        <w:tc>
          <w:tcPr>
            <w:tcW w:w="960" w:type="dxa"/>
            <w:vAlign w:val="bottom"/>
            <w:shd w:val="clear" w:color="auto" w:fill="508BC7"/>
          </w:tcPr>
          <w:p>
            <w:pPr>
              <w:spacing w:after="0"/>
              <w:rPr>
                <w:sz w:val="14"/>
                <w:szCs w:val="14"/>
                <w:color w:val="auto"/>
              </w:rPr>
            </w:pPr>
          </w:p>
        </w:tc>
        <w:tc>
          <w:tcPr>
            <w:tcW w:w="112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w w:val="99"/>
              </w:rPr>
              <w:t>Stock or</w:t>
            </w:r>
          </w:p>
        </w:tc>
        <w:tc>
          <w:tcPr>
            <w:tcW w:w="9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and Option</w:t>
            </w:r>
          </w:p>
        </w:tc>
        <w:tc>
          <w:tcPr>
            <w:tcW w:w="0" w:type="dxa"/>
            <w:vAlign w:val="bottom"/>
          </w:tcPr>
          <w:p>
            <w:pPr>
              <w:spacing w:after="0"/>
              <w:rPr>
                <w:sz w:val="1"/>
                <w:szCs w:val="1"/>
                <w:color w:val="auto"/>
              </w:rPr>
            </w:pPr>
          </w:p>
        </w:tc>
      </w:tr>
      <w:tr>
        <w:trPr>
          <w:trHeight w:val="176"/>
        </w:trPr>
        <w:tc>
          <w:tcPr>
            <w:tcW w:w="2300" w:type="dxa"/>
            <w:vAlign w:val="bottom"/>
            <w:shd w:val="clear" w:color="auto" w:fill="508BC7"/>
          </w:tcPr>
          <w:p>
            <w:pPr>
              <w:spacing w:after="0"/>
              <w:rPr>
                <w:sz w:val="15"/>
                <w:szCs w:val="15"/>
                <w:color w:val="auto"/>
              </w:rPr>
            </w:pPr>
          </w:p>
        </w:tc>
        <w:tc>
          <w:tcPr>
            <w:tcW w:w="500" w:type="dxa"/>
            <w:vAlign w:val="bottom"/>
            <w:shd w:val="clear" w:color="auto" w:fill="508BC7"/>
          </w:tcPr>
          <w:p>
            <w:pPr>
              <w:spacing w:after="0"/>
              <w:rPr>
                <w:sz w:val="15"/>
                <w:szCs w:val="15"/>
                <w:color w:val="auto"/>
              </w:rPr>
            </w:pPr>
          </w:p>
        </w:tc>
        <w:tc>
          <w:tcPr>
            <w:tcW w:w="900" w:type="dxa"/>
            <w:vAlign w:val="bottom"/>
            <w:shd w:val="clear" w:color="auto" w:fill="508BC7"/>
          </w:tcPr>
          <w:p>
            <w:pPr>
              <w:spacing w:after="0"/>
              <w:rPr>
                <w:sz w:val="15"/>
                <w:szCs w:val="15"/>
                <w:color w:val="auto"/>
              </w:rPr>
            </w:pPr>
          </w:p>
        </w:tc>
        <w:tc>
          <w:tcPr>
            <w:tcW w:w="840" w:type="dxa"/>
            <w:vAlign w:val="bottom"/>
            <w:shd w:val="clear" w:color="auto" w:fill="508BC7"/>
          </w:tcPr>
          <w:p>
            <w:pPr>
              <w:jc w:val="center"/>
              <w:ind w:left="8"/>
              <w:spacing w:after="0"/>
              <w:rPr>
                <w:sz w:val="20"/>
                <w:szCs w:val="20"/>
                <w:color w:val="auto"/>
              </w:rPr>
            </w:pPr>
            <w:r>
              <w:rPr>
                <w:rFonts w:ascii="Arial" w:cs="Arial" w:eastAsia="Arial" w:hAnsi="Arial"/>
                <w:sz w:val="14"/>
                <w:szCs w:val="14"/>
                <w:b w:val="1"/>
                <w:bCs w:val="1"/>
                <w:color w:val="FFFFFF"/>
              </w:rPr>
              <w:t>Threshold</w:t>
            </w:r>
          </w:p>
        </w:tc>
        <w:tc>
          <w:tcPr>
            <w:tcW w:w="1040" w:type="dxa"/>
            <w:vAlign w:val="bottom"/>
            <w:shd w:val="clear" w:color="auto" w:fill="508BC7"/>
          </w:tcPr>
          <w:p>
            <w:pPr>
              <w:jc w:val="right"/>
              <w:ind w:right="290"/>
              <w:spacing w:after="0"/>
              <w:rPr>
                <w:sz w:val="20"/>
                <w:szCs w:val="20"/>
                <w:color w:val="auto"/>
              </w:rPr>
            </w:pPr>
            <w:r>
              <w:rPr>
                <w:rFonts w:ascii="Arial" w:cs="Arial" w:eastAsia="Arial" w:hAnsi="Arial"/>
                <w:sz w:val="14"/>
                <w:szCs w:val="14"/>
                <w:b w:val="1"/>
                <w:bCs w:val="1"/>
                <w:color w:val="FFFFFF"/>
              </w:rPr>
              <w:t>Target</w:t>
            </w:r>
          </w:p>
        </w:tc>
        <w:tc>
          <w:tcPr>
            <w:tcW w:w="820" w:type="dxa"/>
            <w:vAlign w:val="bottom"/>
            <w:shd w:val="clear" w:color="auto" w:fill="508BC7"/>
          </w:tcPr>
          <w:p>
            <w:pPr>
              <w:jc w:val="right"/>
              <w:ind w:right="68"/>
              <w:spacing w:after="0"/>
              <w:rPr>
                <w:sz w:val="20"/>
                <w:szCs w:val="20"/>
                <w:color w:val="auto"/>
              </w:rPr>
            </w:pPr>
            <w:r>
              <w:rPr>
                <w:rFonts w:ascii="Arial" w:cs="Arial" w:eastAsia="Arial" w:hAnsi="Arial"/>
                <w:sz w:val="14"/>
                <w:szCs w:val="14"/>
                <w:b w:val="1"/>
                <w:bCs w:val="1"/>
                <w:color w:val="FFFFFF"/>
              </w:rPr>
              <w:t>Maximum</w:t>
            </w:r>
          </w:p>
        </w:tc>
        <w:tc>
          <w:tcPr>
            <w:tcW w:w="9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Threshold</w:t>
            </w:r>
          </w:p>
        </w:tc>
        <w:tc>
          <w:tcPr>
            <w:tcW w:w="800" w:type="dxa"/>
            <w:vAlign w:val="bottom"/>
            <w:shd w:val="clear" w:color="auto" w:fill="508BC7"/>
          </w:tcPr>
          <w:p>
            <w:pPr>
              <w:jc w:val="right"/>
              <w:ind w:right="8"/>
              <w:spacing w:after="0"/>
              <w:rPr>
                <w:sz w:val="20"/>
                <w:szCs w:val="20"/>
                <w:color w:val="auto"/>
              </w:rPr>
            </w:pPr>
            <w:r>
              <w:rPr>
                <w:rFonts w:ascii="Arial" w:cs="Arial" w:eastAsia="Arial" w:hAnsi="Arial"/>
                <w:sz w:val="14"/>
                <w:szCs w:val="14"/>
                <w:b w:val="1"/>
                <w:bCs w:val="1"/>
                <w:color w:val="FFFFFF"/>
              </w:rPr>
              <w:t>Target</w:t>
            </w:r>
          </w:p>
        </w:tc>
        <w:tc>
          <w:tcPr>
            <w:tcW w:w="220" w:type="dxa"/>
            <w:vAlign w:val="bottom"/>
            <w:shd w:val="clear" w:color="auto" w:fill="508BC7"/>
          </w:tcPr>
          <w:p>
            <w:pPr>
              <w:spacing w:after="0"/>
              <w:rPr>
                <w:sz w:val="15"/>
                <w:szCs w:val="15"/>
                <w:color w:val="auto"/>
              </w:rPr>
            </w:pPr>
          </w:p>
        </w:tc>
        <w:tc>
          <w:tcPr>
            <w:tcW w:w="960" w:type="dxa"/>
            <w:vAlign w:val="bottom"/>
            <w:shd w:val="clear" w:color="auto" w:fill="508BC7"/>
          </w:tcPr>
          <w:p>
            <w:pPr>
              <w:spacing w:after="0"/>
              <w:rPr>
                <w:sz w:val="15"/>
                <w:szCs w:val="15"/>
                <w:color w:val="auto"/>
              </w:rPr>
            </w:pPr>
          </w:p>
        </w:tc>
        <w:tc>
          <w:tcPr>
            <w:tcW w:w="112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Units</w:t>
            </w:r>
          </w:p>
        </w:tc>
        <w:tc>
          <w:tcPr>
            <w:tcW w:w="980" w:type="dxa"/>
            <w:vAlign w:val="bottom"/>
            <w:shd w:val="clear" w:color="auto" w:fill="508BC7"/>
          </w:tcPr>
          <w:p>
            <w:pPr>
              <w:jc w:val="center"/>
              <w:ind w:right="8"/>
              <w:spacing w:after="0" w:line="176"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20"/>
                <w:szCs w:val="20"/>
                <w:b w:val="1"/>
                <w:bCs w:val="1"/>
                <w:color w:val="FFFFFF"/>
                <w:vertAlign w:val="superscript"/>
              </w:rPr>
              <w:t>(5)</w:t>
            </w:r>
          </w:p>
        </w:tc>
        <w:tc>
          <w:tcPr>
            <w:tcW w:w="0" w:type="dxa"/>
            <w:vAlign w:val="bottom"/>
          </w:tcPr>
          <w:p>
            <w:pPr>
              <w:spacing w:after="0"/>
              <w:rPr>
                <w:sz w:val="1"/>
                <w:szCs w:val="1"/>
                <w:color w:val="auto"/>
              </w:rPr>
            </w:pPr>
          </w:p>
        </w:tc>
      </w:tr>
      <w:tr>
        <w:trPr>
          <w:trHeight w:val="189"/>
        </w:trPr>
        <w:tc>
          <w:tcPr>
            <w:tcW w:w="2800" w:type="dxa"/>
            <w:vAlign w:val="bottom"/>
            <w:gridSpan w:val="2"/>
            <w:shd w:val="clear" w:color="auto" w:fill="508BC7"/>
          </w:tcPr>
          <w:p>
            <w:pPr>
              <w:ind w:left="1200"/>
              <w:spacing w:after="0"/>
              <w:rPr>
                <w:sz w:val="20"/>
                <w:szCs w:val="20"/>
                <w:color w:val="auto"/>
              </w:rPr>
            </w:pPr>
            <w:r>
              <w:rPr>
                <w:rFonts w:ascii="Arial" w:cs="Arial" w:eastAsia="Arial" w:hAnsi="Arial"/>
                <w:sz w:val="14"/>
                <w:szCs w:val="14"/>
                <w:b w:val="1"/>
                <w:bCs w:val="1"/>
                <w:color w:val="FFFFFF"/>
              </w:rPr>
              <w:t>Name</w:t>
            </w:r>
          </w:p>
        </w:tc>
        <w:tc>
          <w:tcPr>
            <w:tcW w:w="900" w:type="dxa"/>
            <w:vAlign w:val="bottom"/>
            <w:shd w:val="clear" w:color="auto" w:fill="508BC7"/>
          </w:tcPr>
          <w:p>
            <w:pPr>
              <w:jc w:val="right"/>
              <w:ind w:right="8"/>
              <w:spacing w:after="0"/>
              <w:rPr>
                <w:sz w:val="20"/>
                <w:szCs w:val="20"/>
                <w:color w:val="auto"/>
              </w:rPr>
            </w:pPr>
            <w:r>
              <w:rPr>
                <w:rFonts w:ascii="Arial" w:cs="Arial" w:eastAsia="Arial" w:hAnsi="Arial"/>
                <w:sz w:val="14"/>
                <w:szCs w:val="14"/>
                <w:b w:val="1"/>
                <w:bCs w:val="1"/>
                <w:color w:val="FFFFFF"/>
              </w:rPr>
              <w:t>Grant Date</w:t>
            </w:r>
          </w:p>
        </w:tc>
        <w:tc>
          <w:tcPr>
            <w:tcW w:w="840" w:type="dxa"/>
            <w:vAlign w:val="bottom"/>
            <w:shd w:val="clear" w:color="auto" w:fill="508BC7"/>
          </w:tcPr>
          <w:p>
            <w:pPr>
              <w:jc w:val="right"/>
              <w:ind w:right="228"/>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508BC7"/>
          </w:tcPr>
          <w:p>
            <w:pPr>
              <w:jc w:val="right"/>
              <w:ind w:right="410"/>
              <w:spacing w:after="0"/>
              <w:rPr>
                <w:sz w:val="20"/>
                <w:szCs w:val="20"/>
                <w:color w:val="auto"/>
              </w:rPr>
            </w:pPr>
            <w:r>
              <w:rPr>
                <w:rFonts w:ascii="Arial" w:cs="Arial" w:eastAsia="Arial" w:hAnsi="Arial"/>
                <w:sz w:val="14"/>
                <w:szCs w:val="14"/>
                <w:b w:val="1"/>
                <w:bCs w:val="1"/>
                <w:color w:val="FFFFFF"/>
              </w:rPr>
              <w:t>($)</w:t>
            </w:r>
          </w:p>
        </w:tc>
        <w:tc>
          <w:tcPr>
            <w:tcW w:w="820" w:type="dxa"/>
            <w:vAlign w:val="bottom"/>
            <w:shd w:val="clear" w:color="auto" w:fill="508BC7"/>
          </w:tcPr>
          <w:p>
            <w:pPr>
              <w:jc w:val="right"/>
              <w:ind w:right="308"/>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508BC7"/>
          </w:tcPr>
          <w:p>
            <w:pPr>
              <w:jc w:val="right"/>
              <w:ind w:right="288"/>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508BC7"/>
          </w:tcPr>
          <w:p>
            <w:pPr>
              <w:jc w:val="right"/>
              <w:ind w:right="128"/>
              <w:spacing w:after="0"/>
              <w:rPr>
                <w:sz w:val="20"/>
                <w:szCs w:val="20"/>
                <w:color w:val="auto"/>
              </w:rPr>
            </w:pPr>
            <w:r>
              <w:rPr>
                <w:rFonts w:ascii="Arial" w:cs="Arial" w:eastAsia="Arial" w:hAnsi="Arial"/>
                <w:sz w:val="14"/>
                <w:szCs w:val="14"/>
                <w:b w:val="1"/>
                <w:bCs w:val="1"/>
                <w:color w:val="FFFFFF"/>
              </w:rPr>
              <w:t>(#)</w:t>
            </w:r>
          </w:p>
        </w:tc>
        <w:tc>
          <w:tcPr>
            <w:tcW w:w="220" w:type="dxa"/>
            <w:vAlign w:val="bottom"/>
            <w:shd w:val="clear" w:color="auto" w:fill="508BC7"/>
          </w:tcPr>
          <w:p>
            <w:pPr>
              <w:spacing w:after="0"/>
              <w:rPr>
                <w:sz w:val="16"/>
                <w:szCs w:val="16"/>
                <w:color w:val="auto"/>
              </w:rPr>
            </w:pPr>
          </w:p>
        </w:tc>
        <w:tc>
          <w:tcPr>
            <w:tcW w:w="960" w:type="dxa"/>
            <w:vAlign w:val="bottom"/>
            <w:shd w:val="clear" w:color="auto" w:fill="508BC7"/>
          </w:tcPr>
          <w:p>
            <w:pPr>
              <w:jc w:val="right"/>
              <w:spacing w:after="0"/>
              <w:rPr>
                <w:sz w:val="20"/>
                <w:szCs w:val="20"/>
                <w:color w:val="auto"/>
              </w:rPr>
            </w:pPr>
            <w:r>
              <w:rPr>
                <w:rFonts w:ascii="Arial" w:cs="Arial" w:eastAsia="Arial" w:hAnsi="Arial"/>
                <w:sz w:val="14"/>
                <w:szCs w:val="14"/>
                <w:b w:val="1"/>
                <w:bCs w:val="1"/>
                <w:color w:val="FFFFFF"/>
              </w:rPr>
              <w:t>Maximum(#)</w:t>
            </w:r>
          </w:p>
        </w:tc>
        <w:tc>
          <w:tcPr>
            <w:tcW w:w="112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w w:val="93"/>
              </w:rPr>
              <w:t>(#)</w:t>
            </w:r>
          </w:p>
        </w:tc>
        <w:tc>
          <w:tcPr>
            <w:tcW w:w="98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D0E0F0"/>
          </w:tcPr>
          <w:p>
            <w:pPr>
              <w:spacing w:after="0"/>
              <w:rPr>
                <w:sz w:val="20"/>
                <w:szCs w:val="20"/>
                <w:color w:val="auto"/>
              </w:rPr>
            </w:pPr>
            <w:r>
              <w:rPr>
                <w:rFonts w:ascii="Arial" w:cs="Arial" w:eastAsia="Arial" w:hAnsi="Arial"/>
                <w:sz w:val="14"/>
                <w:szCs w:val="14"/>
                <w:color w:val="auto"/>
              </w:rPr>
              <w:t>Rohit Kapoor</w:t>
            </w:r>
          </w:p>
        </w:tc>
        <w:tc>
          <w:tcPr>
            <w:tcW w:w="900" w:type="dxa"/>
            <w:vAlign w:val="bottom"/>
            <w:vMerge w:val="restart"/>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840" w:type="dxa"/>
            <w:vAlign w:val="bottom"/>
            <w:shd w:val="clear" w:color="auto" w:fill="D0E0F0"/>
          </w:tcPr>
          <w:p>
            <w:pPr>
              <w:spacing w:after="0"/>
              <w:rPr>
                <w:sz w:val="14"/>
                <w:szCs w:val="14"/>
                <w:color w:val="auto"/>
              </w:rPr>
            </w:pPr>
          </w:p>
        </w:tc>
        <w:tc>
          <w:tcPr>
            <w:tcW w:w="1040" w:type="dxa"/>
            <w:vAlign w:val="bottom"/>
            <w:shd w:val="clear" w:color="auto" w:fill="D0E0F0"/>
          </w:tcPr>
          <w:p>
            <w:pPr>
              <w:jc w:val="right"/>
              <w:ind w:right="150"/>
              <w:spacing w:after="0"/>
              <w:rPr>
                <w:sz w:val="20"/>
                <w:szCs w:val="20"/>
                <w:color w:val="auto"/>
              </w:rPr>
            </w:pPr>
            <w:r>
              <w:rPr>
                <w:rFonts w:ascii="Arial" w:cs="Arial" w:eastAsia="Arial" w:hAnsi="Arial"/>
                <w:sz w:val="14"/>
                <w:szCs w:val="14"/>
                <w:color w:val="auto"/>
              </w:rPr>
              <w:t>615,027</w:t>
            </w:r>
          </w:p>
        </w:tc>
        <w:tc>
          <w:tcPr>
            <w:tcW w:w="820" w:type="dxa"/>
            <w:vAlign w:val="bottom"/>
            <w:shd w:val="clear" w:color="auto" w:fill="D0E0F0"/>
          </w:tcPr>
          <w:p>
            <w:pPr>
              <w:jc w:val="right"/>
              <w:ind w:right="88"/>
              <w:spacing w:after="0"/>
              <w:rPr>
                <w:sz w:val="20"/>
                <w:szCs w:val="20"/>
                <w:color w:val="auto"/>
              </w:rPr>
            </w:pPr>
            <w:r>
              <w:rPr>
                <w:rFonts w:ascii="Arial" w:cs="Arial" w:eastAsia="Arial" w:hAnsi="Arial"/>
                <w:sz w:val="14"/>
                <w:szCs w:val="14"/>
                <w:color w:val="auto"/>
              </w:rPr>
              <w:t>1,230,055</w:t>
            </w:r>
          </w:p>
        </w:tc>
        <w:tc>
          <w:tcPr>
            <w:tcW w:w="940" w:type="dxa"/>
            <w:vAlign w:val="bottom"/>
            <w:shd w:val="clear" w:color="auto" w:fill="D0E0F0"/>
          </w:tcPr>
          <w:p>
            <w:pPr>
              <w:spacing w:after="0"/>
              <w:rPr>
                <w:sz w:val="14"/>
                <w:szCs w:val="14"/>
                <w:color w:val="auto"/>
              </w:rPr>
            </w:pPr>
          </w:p>
        </w:tc>
        <w:tc>
          <w:tcPr>
            <w:tcW w:w="800" w:type="dxa"/>
            <w:vAlign w:val="bottom"/>
            <w:vMerge w:val="restart"/>
            <w:shd w:val="clear" w:color="auto" w:fill="D0E0F0"/>
          </w:tcPr>
          <w:p>
            <w:pPr>
              <w:jc w:val="right"/>
              <w:spacing w:after="0"/>
              <w:rPr>
                <w:sz w:val="20"/>
                <w:szCs w:val="20"/>
                <w:color w:val="auto"/>
              </w:rPr>
            </w:pPr>
            <w:r>
              <w:rPr>
                <w:rFonts w:ascii="Arial" w:cs="Arial" w:eastAsia="Arial" w:hAnsi="Arial"/>
                <w:sz w:val="14"/>
                <w:szCs w:val="14"/>
                <w:color w:val="auto"/>
              </w:rPr>
              <w:t>18,750</w:t>
            </w:r>
          </w:p>
        </w:tc>
        <w:tc>
          <w:tcPr>
            <w:tcW w:w="220" w:type="dxa"/>
            <w:vAlign w:val="bottom"/>
            <w:vMerge w:val="restart"/>
            <w:shd w:val="clear" w:color="auto" w:fill="D0E0F0"/>
          </w:tcPr>
          <w:p>
            <w:pPr>
              <w:jc w:val="right"/>
              <w:ind w:right="20"/>
              <w:spacing w:after="0"/>
              <w:rPr>
                <w:sz w:val="20"/>
                <w:szCs w:val="20"/>
                <w:color w:val="auto"/>
              </w:rPr>
            </w:pPr>
            <w:r>
              <w:rPr>
                <w:rFonts w:ascii="Arial" w:cs="Arial" w:eastAsia="Arial" w:hAnsi="Arial"/>
                <w:sz w:val="12"/>
                <w:szCs w:val="12"/>
                <w:color w:val="auto"/>
                <w:w w:val="81"/>
              </w:rPr>
              <w:t>(2)</w:t>
            </w:r>
          </w:p>
        </w:tc>
        <w:tc>
          <w:tcPr>
            <w:tcW w:w="960" w:type="dxa"/>
            <w:vAlign w:val="bottom"/>
            <w:vMerge w:val="restart"/>
            <w:shd w:val="clear" w:color="auto" w:fill="D0E0F0"/>
          </w:tcPr>
          <w:p>
            <w:pPr>
              <w:jc w:val="right"/>
              <w:ind w:right="228"/>
              <w:spacing w:after="0"/>
              <w:rPr>
                <w:sz w:val="20"/>
                <w:szCs w:val="20"/>
                <w:color w:val="auto"/>
              </w:rPr>
            </w:pPr>
            <w:r>
              <w:rPr>
                <w:rFonts w:ascii="Arial" w:cs="Arial" w:eastAsia="Arial" w:hAnsi="Arial"/>
                <w:sz w:val="14"/>
                <w:szCs w:val="14"/>
                <w:color w:val="auto"/>
              </w:rPr>
              <w:t>37,500</w:t>
            </w:r>
          </w:p>
        </w:tc>
        <w:tc>
          <w:tcPr>
            <w:tcW w:w="1120" w:type="dxa"/>
            <w:vAlign w:val="bottom"/>
            <w:shd w:val="clear" w:color="auto" w:fill="D0E0F0"/>
          </w:tcPr>
          <w:p>
            <w:pPr>
              <w:spacing w:after="0"/>
              <w:rPr>
                <w:sz w:val="14"/>
                <w:szCs w:val="14"/>
                <w:color w:val="auto"/>
              </w:rPr>
            </w:pPr>
          </w:p>
        </w:tc>
        <w:tc>
          <w:tcPr>
            <w:tcW w:w="980" w:type="dxa"/>
            <w:vAlign w:val="bottom"/>
            <w:vMerge w:val="restart"/>
            <w:shd w:val="clear" w:color="auto" w:fill="D0E0F0"/>
          </w:tcPr>
          <w:p>
            <w:pPr>
              <w:jc w:val="center"/>
              <w:spacing w:after="0"/>
              <w:rPr>
                <w:sz w:val="20"/>
                <w:szCs w:val="20"/>
                <w:color w:val="auto"/>
              </w:rPr>
            </w:pPr>
            <w:r>
              <w:rPr>
                <w:rFonts w:ascii="Arial" w:cs="Arial" w:eastAsia="Arial" w:hAnsi="Arial"/>
                <w:sz w:val="14"/>
                <w:szCs w:val="14"/>
                <w:color w:val="auto"/>
              </w:rPr>
              <w:t>910,688</w:t>
            </w:r>
          </w:p>
        </w:tc>
        <w:tc>
          <w:tcPr>
            <w:tcW w:w="0" w:type="dxa"/>
            <w:vAlign w:val="bottom"/>
          </w:tcPr>
          <w:p>
            <w:pPr>
              <w:spacing w:after="0"/>
              <w:rPr>
                <w:sz w:val="1"/>
                <w:szCs w:val="1"/>
                <w:color w:val="auto"/>
              </w:rPr>
            </w:pPr>
          </w:p>
        </w:tc>
      </w:tr>
      <w:tr>
        <w:trPr>
          <w:trHeight w:val="162"/>
        </w:trPr>
        <w:tc>
          <w:tcPr>
            <w:tcW w:w="2300" w:type="dxa"/>
            <w:vAlign w:val="bottom"/>
            <w:shd w:val="clear" w:color="auto" w:fill="D0E0F0"/>
          </w:tcPr>
          <w:p>
            <w:pPr>
              <w:spacing w:after="0"/>
              <w:rPr>
                <w:sz w:val="14"/>
                <w:szCs w:val="14"/>
                <w:color w:val="auto"/>
              </w:rPr>
            </w:pPr>
          </w:p>
        </w:tc>
        <w:tc>
          <w:tcPr>
            <w:tcW w:w="500" w:type="dxa"/>
            <w:vAlign w:val="bottom"/>
            <w:shd w:val="clear" w:color="auto" w:fill="D0E0F0"/>
          </w:tcPr>
          <w:p>
            <w:pPr>
              <w:spacing w:after="0"/>
              <w:rPr>
                <w:sz w:val="14"/>
                <w:szCs w:val="14"/>
                <w:color w:val="auto"/>
              </w:rPr>
            </w:pPr>
          </w:p>
        </w:tc>
        <w:tc>
          <w:tcPr>
            <w:tcW w:w="900" w:type="dxa"/>
            <w:vAlign w:val="bottom"/>
            <w:vMerge w:val="continue"/>
            <w:shd w:val="clear" w:color="auto" w:fill="D0E0F0"/>
          </w:tcPr>
          <w:p>
            <w:pPr>
              <w:spacing w:after="0"/>
              <w:rPr>
                <w:sz w:val="14"/>
                <w:szCs w:val="14"/>
                <w:color w:val="auto"/>
              </w:rPr>
            </w:pPr>
          </w:p>
        </w:tc>
        <w:tc>
          <w:tcPr>
            <w:tcW w:w="840" w:type="dxa"/>
            <w:vAlign w:val="bottom"/>
            <w:shd w:val="clear" w:color="auto" w:fill="D0E0F0"/>
          </w:tcPr>
          <w:p>
            <w:pPr>
              <w:spacing w:after="0"/>
              <w:rPr>
                <w:sz w:val="14"/>
                <w:szCs w:val="14"/>
                <w:color w:val="auto"/>
              </w:rPr>
            </w:pPr>
          </w:p>
        </w:tc>
        <w:tc>
          <w:tcPr>
            <w:tcW w:w="1040" w:type="dxa"/>
            <w:vAlign w:val="bottom"/>
            <w:shd w:val="clear" w:color="auto" w:fill="D0E0F0"/>
          </w:tcPr>
          <w:p>
            <w:pPr>
              <w:spacing w:after="0"/>
              <w:rPr>
                <w:sz w:val="14"/>
                <w:szCs w:val="14"/>
                <w:color w:val="auto"/>
              </w:rPr>
            </w:pPr>
          </w:p>
        </w:tc>
        <w:tc>
          <w:tcPr>
            <w:tcW w:w="820" w:type="dxa"/>
            <w:vAlign w:val="bottom"/>
            <w:shd w:val="clear" w:color="auto" w:fill="D0E0F0"/>
          </w:tcPr>
          <w:p>
            <w:pPr>
              <w:spacing w:after="0"/>
              <w:rPr>
                <w:sz w:val="14"/>
                <w:szCs w:val="14"/>
                <w:color w:val="auto"/>
              </w:rPr>
            </w:pPr>
          </w:p>
        </w:tc>
        <w:tc>
          <w:tcPr>
            <w:tcW w:w="940" w:type="dxa"/>
            <w:vAlign w:val="bottom"/>
            <w:shd w:val="clear" w:color="auto" w:fill="D0E0F0"/>
          </w:tcPr>
          <w:p>
            <w:pPr>
              <w:spacing w:after="0"/>
              <w:rPr>
                <w:sz w:val="14"/>
                <w:szCs w:val="14"/>
                <w:color w:val="auto"/>
              </w:rPr>
            </w:pPr>
          </w:p>
        </w:tc>
        <w:tc>
          <w:tcPr>
            <w:tcW w:w="800" w:type="dxa"/>
            <w:vAlign w:val="bottom"/>
            <w:vMerge w:val="continue"/>
            <w:shd w:val="clear" w:color="auto" w:fill="D0E0F0"/>
          </w:tcPr>
          <w:p>
            <w:pPr>
              <w:spacing w:after="0"/>
              <w:rPr>
                <w:sz w:val="14"/>
                <w:szCs w:val="14"/>
                <w:color w:val="auto"/>
              </w:rPr>
            </w:pPr>
          </w:p>
        </w:tc>
        <w:tc>
          <w:tcPr>
            <w:tcW w:w="220" w:type="dxa"/>
            <w:vAlign w:val="bottom"/>
            <w:vMerge w:val="continue"/>
            <w:shd w:val="clear" w:color="auto" w:fill="D0E0F0"/>
          </w:tcPr>
          <w:p>
            <w:pPr>
              <w:spacing w:after="0"/>
              <w:rPr>
                <w:sz w:val="14"/>
                <w:szCs w:val="14"/>
                <w:color w:val="auto"/>
              </w:rPr>
            </w:pPr>
          </w:p>
        </w:tc>
        <w:tc>
          <w:tcPr>
            <w:tcW w:w="960" w:type="dxa"/>
            <w:vAlign w:val="bottom"/>
            <w:vMerge w:val="continue"/>
            <w:shd w:val="clear" w:color="auto" w:fill="D0E0F0"/>
          </w:tcPr>
          <w:p>
            <w:pPr>
              <w:spacing w:after="0"/>
              <w:rPr>
                <w:sz w:val="14"/>
                <w:szCs w:val="14"/>
                <w:color w:val="auto"/>
              </w:rPr>
            </w:pPr>
          </w:p>
        </w:tc>
        <w:tc>
          <w:tcPr>
            <w:tcW w:w="1120" w:type="dxa"/>
            <w:vAlign w:val="bottom"/>
            <w:shd w:val="clear" w:color="auto" w:fill="D0E0F0"/>
          </w:tcPr>
          <w:p>
            <w:pPr>
              <w:spacing w:after="0"/>
              <w:rPr>
                <w:sz w:val="14"/>
                <w:szCs w:val="14"/>
                <w:color w:val="auto"/>
              </w:rPr>
            </w:pPr>
          </w:p>
        </w:tc>
        <w:tc>
          <w:tcPr>
            <w:tcW w:w="980" w:type="dxa"/>
            <w:vAlign w:val="bottom"/>
            <w:vMerge w:val="continue"/>
            <w:shd w:val="clear" w:color="auto" w:fill="D0E0F0"/>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D0E0F0"/>
          </w:tcPr>
          <w:p>
            <w:pPr>
              <w:spacing w:after="0"/>
              <w:rPr>
                <w:sz w:val="14"/>
                <w:szCs w:val="14"/>
                <w:color w:val="auto"/>
              </w:rPr>
            </w:pPr>
          </w:p>
        </w:tc>
        <w:tc>
          <w:tcPr>
            <w:tcW w:w="500" w:type="dxa"/>
            <w:vAlign w:val="bottom"/>
            <w:shd w:val="clear" w:color="auto" w:fill="D0E0F0"/>
          </w:tcPr>
          <w:p>
            <w:pPr>
              <w:spacing w:after="0"/>
              <w:rPr>
                <w:sz w:val="14"/>
                <w:szCs w:val="14"/>
                <w:color w:val="auto"/>
              </w:rPr>
            </w:pPr>
          </w:p>
        </w:tc>
        <w:tc>
          <w:tcPr>
            <w:tcW w:w="90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840" w:type="dxa"/>
            <w:vAlign w:val="bottom"/>
            <w:shd w:val="clear" w:color="auto" w:fill="D0E0F0"/>
          </w:tcPr>
          <w:p>
            <w:pPr>
              <w:spacing w:after="0"/>
              <w:rPr>
                <w:sz w:val="14"/>
                <w:szCs w:val="14"/>
                <w:color w:val="auto"/>
              </w:rPr>
            </w:pPr>
          </w:p>
        </w:tc>
        <w:tc>
          <w:tcPr>
            <w:tcW w:w="1040" w:type="dxa"/>
            <w:vAlign w:val="bottom"/>
            <w:shd w:val="clear" w:color="auto" w:fill="D0E0F0"/>
          </w:tcPr>
          <w:p>
            <w:pPr>
              <w:spacing w:after="0"/>
              <w:rPr>
                <w:sz w:val="14"/>
                <w:szCs w:val="14"/>
                <w:color w:val="auto"/>
              </w:rPr>
            </w:pPr>
          </w:p>
        </w:tc>
        <w:tc>
          <w:tcPr>
            <w:tcW w:w="820" w:type="dxa"/>
            <w:vAlign w:val="bottom"/>
            <w:shd w:val="clear" w:color="auto" w:fill="D0E0F0"/>
          </w:tcPr>
          <w:p>
            <w:pPr>
              <w:spacing w:after="0"/>
              <w:rPr>
                <w:sz w:val="14"/>
                <w:szCs w:val="14"/>
                <w:color w:val="auto"/>
              </w:rPr>
            </w:pPr>
          </w:p>
        </w:tc>
        <w:tc>
          <w:tcPr>
            <w:tcW w:w="940" w:type="dxa"/>
            <w:vAlign w:val="bottom"/>
            <w:shd w:val="clear" w:color="auto" w:fill="D0E0F0"/>
          </w:tcPr>
          <w:p>
            <w:pPr>
              <w:spacing w:after="0"/>
              <w:rPr>
                <w:sz w:val="14"/>
                <w:szCs w:val="14"/>
                <w:color w:val="auto"/>
              </w:rPr>
            </w:pPr>
          </w:p>
        </w:tc>
        <w:tc>
          <w:tcPr>
            <w:tcW w:w="800" w:type="dxa"/>
            <w:vAlign w:val="bottom"/>
            <w:shd w:val="clear" w:color="auto" w:fill="D0E0F0"/>
          </w:tcPr>
          <w:p>
            <w:pPr>
              <w:jc w:val="right"/>
              <w:spacing w:after="0"/>
              <w:rPr>
                <w:sz w:val="20"/>
                <w:szCs w:val="20"/>
                <w:color w:val="auto"/>
              </w:rPr>
            </w:pPr>
            <w:r>
              <w:rPr>
                <w:rFonts w:ascii="Arial" w:cs="Arial" w:eastAsia="Arial" w:hAnsi="Arial"/>
                <w:sz w:val="14"/>
                <w:szCs w:val="14"/>
                <w:color w:val="auto"/>
              </w:rPr>
              <w:t>18,750</w:t>
            </w:r>
          </w:p>
        </w:tc>
        <w:tc>
          <w:tcPr>
            <w:tcW w:w="220" w:type="dxa"/>
            <w:vAlign w:val="bottom"/>
            <w:shd w:val="clear" w:color="auto" w:fill="D0E0F0"/>
          </w:tcPr>
          <w:p>
            <w:pPr>
              <w:jc w:val="right"/>
              <w:ind w:right="20"/>
              <w:spacing w:after="0"/>
              <w:rPr>
                <w:sz w:val="20"/>
                <w:szCs w:val="20"/>
                <w:color w:val="auto"/>
              </w:rPr>
            </w:pPr>
            <w:r>
              <w:rPr>
                <w:rFonts w:ascii="Arial" w:cs="Arial" w:eastAsia="Arial" w:hAnsi="Arial"/>
                <w:sz w:val="12"/>
                <w:szCs w:val="12"/>
                <w:color w:val="auto"/>
                <w:w w:val="81"/>
              </w:rPr>
              <w:t>(3)</w:t>
            </w:r>
          </w:p>
        </w:tc>
        <w:tc>
          <w:tcPr>
            <w:tcW w:w="960" w:type="dxa"/>
            <w:vAlign w:val="bottom"/>
            <w:shd w:val="clear" w:color="auto" w:fill="D0E0F0"/>
          </w:tcPr>
          <w:p>
            <w:pPr>
              <w:jc w:val="right"/>
              <w:ind w:right="228"/>
              <w:spacing w:after="0"/>
              <w:rPr>
                <w:sz w:val="20"/>
                <w:szCs w:val="20"/>
                <w:color w:val="auto"/>
              </w:rPr>
            </w:pPr>
            <w:r>
              <w:rPr>
                <w:rFonts w:ascii="Arial" w:cs="Arial" w:eastAsia="Arial" w:hAnsi="Arial"/>
                <w:sz w:val="14"/>
                <w:szCs w:val="14"/>
                <w:color w:val="auto"/>
              </w:rPr>
              <w:t>37,500</w:t>
            </w:r>
          </w:p>
        </w:tc>
        <w:tc>
          <w:tcPr>
            <w:tcW w:w="1120" w:type="dxa"/>
            <w:vAlign w:val="bottom"/>
            <w:vMerge w:val="restart"/>
            <w:shd w:val="clear" w:color="auto" w:fill="D0E0F0"/>
          </w:tcPr>
          <w:p>
            <w:pPr>
              <w:jc w:val="right"/>
              <w:ind w:right="8"/>
              <w:spacing w:after="0"/>
              <w:rPr>
                <w:sz w:val="20"/>
                <w:szCs w:val="20"/>
                <w:color w:val="auto"/>
              </w:rPr>
            </w:pPr>
            <w:r>
              <w:rPr>
                <w:rFonts w:ascii="Arial" w:cs="Arial" w:eastAsia="Arial" w:hAnsi="Arial"/>
                <w:sz w:val="14"/>
                <w:szCs w:val="14"/>
                <w:color w:val="auto"/>
              </w:rPr>
              <w:t>37,500</w:t>
            </w:r>
            <w:r>
              <w:rPr>
                <w:rFonts w:ascii="Arial" w:cs="Arial" w:eastAsia="Arial" w:hAnsi="Arial"/>
                <w:sz w:val="23"/>
                <w:szCs w:val="23"/>
                <w:color w:val="auto"/>
                <w:vertAlign w:val="superscript"/>
              </w:rPr>
              <w:t>(4)</w:t>
            </w:r>
          </w:p>
        </w:tc>
        <w:tc>
          <w:tcPr>
            <w:tcW w:w="980" w:type="dxa"/>
            <w:vAlign w:val="bottom"/>
            <w:shd w:val="clear" w:color="auto" w:fill="D0E0F0"/>
          </w:tcPr>
          <w:p>
            <w:pPr>
              <w:jc w:val="center"/>
              <w:ind w:right="108"/>
              <w:spacing w:after="0"/>
              <w:rPr>
                <w:sz w:val="20"/>
                <w:szCs w:val="20"/>
                <w:color w:val="auto"/>
              </w:rPr>
            </w:pPr>
            <w:r>
              <w:rPr>
                <w:rFonts w:ascii="Arial" w:cs="Arial" w:eastAsia="Arial" w:hAnsi="Arial"/>
                <w:sz w:val="14"/>
                <w:szCs w:val="14"/>
                <w:color w:val="auto"/>
              </w:rPr>
              <w:t>1,273,875</w:t>
            </w:r>
          </w:p>
        </w:tc>
        <w:tc>
          <w:tcPr>
            <w:tcW w:w="0" w:type="dxa"/>
            <w:vAlign w:val="bottom"/>
          </w:tcPr>
          <w:p>
            <w:pPr>
              <w:spacing w:after="0"/>
              <w:rPr>
                <w:sz w:val="1"/>
                <w:szCs w:val="1"/>
                <w:color w:val="auto"/>
              </w:rPr>
            </w:pPr>
          </w:p>
        </w:tc>
      </w:tr>
      <w:tr>
        <w:trPr>
          <w:trHeight w:val="162"/>
        </w:trPr>
        <w:tc>
          <w:tcPr>
            <w:tcW w:w="2300" w:type="dxa"/>
            <w:vAlign w:val="bottom"/>
            <w:shd w:val="clear" w:color="auto" w:fill="D0E0F0"/>
          </w:tcPr>
          <w:p>
            <w:pPr>
              <w:spacing w:after="0"/>
              <w:rPr>
                <w:sz w:val="14"/>
                <w:szCs w:val="14"/>
                <w:color w:val="auto"/>
              </w:rPr>
            </w:pPr>
          </w:p>
        </w:tc>
        <w:tc>
          <w:tcPr>
            <w:tcW w:w="500" w:type="dxa"/>
            <w:vAlign w:val="bottom"/>
            <w:shd w:val="clear" w:color="auto" w:fill="D0E0F0"/>
          </w:tcPr>
          <w:p>
            <w:pPr>
              <w:spacing w:after="0"/>
              <w:rPr>
                <w:sz w:val="14"/>
                <w:szCs w:val="14"/>
                <w:color w:val="auto"/>
              </w:rPr>
            </w:pPr>
          </w:p>
        </w:tc>
        <w:tc>
          <w:tcPr>
            <w:tcW w:w="90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840" w:type="dxa"/>
            <w:vAlign w:val="bottom"/>
            <w:shd w:val="clear" w:color="auto" w:fill="D0E0F0"/>
          </w:tcPr>
          <w:p>
            <w:pPr>
              <w:spacing w:after="0"/>
              <w:rPr>
                <w:sz w:val="14"/>
                <w:szCs w:val="14"/>
                <w:color w:val="auto"/>
              </w:rPr>
            </w:pPr>
          </w:p>
        </w:tc>
        <w:tc>
          <w:tcPr>
            <w:tcW w:w="1040" w:type="dxa"/>
            <w:vAlign w:val="bottom"/>
            <w:shd w:val="clear" w:color="auto" w:fill="D0E0F0"/>
          </w:tcPr>
          <w:p>
            <w:pPr>
              <w:spacing w:after="0"/>
              <w:rPr>
                <w:sz w:val="14"/>
                <w:szCs w:val="14"/>
                <w:color w:val="auto"/>
              </w:rPr>
            </w:pPr>
          </w:p>
        </w:tc>
        <w:tc>
          <w:tcPr>
            <w:tcW w:w="820" w:type="dxa"/>
            <w:vAlign w:val="bottom"/>
            <w:shd w:val="clear" w:color="auto" w:fill="D0E0F0"/>
          </w:tcPr>
          <w:p>
            <w:pPr>
              <w:spacing w:after="0"/>
              <w:rPr>
                <w:sz w:val="14"/>
                <w:szCs w:val="14"/>
                <w:color w:val="auto"/>
              </w:rPr>
            </w:pPr>
          </w:p>
        </w:tc>
        <w:tc>
          <w:tcPr>
            <w:tcW w:w="940" w:type="dxa"/>
            <w:vAlign w:val="bottom"/>
            <w:shd w:val="clear" w:color="auto" w:fill="D0E0F0"/>
          </w:tcPr>
          <w:p>
            <w:pPr>
              <w:spacing w:after="0"/>
              <w:rPr>
                <w:sz w:val="14"/>
                <w:szCs w:val="14"/>
                <w:color w:val="auto"/>
              </w:rPr>
            </w:pPr>
          </w:p>
        </w:tc>
        <w:tc>
          <w:tcPr>
            <w:tcW w:w="800" w:type="dxa"/>
            <w:vAlign w:val="bottom"/>
            <w:shd w:val="clear" w:color="auto" w:fill="D0E0F0"/>
          </w:tcPr>
          <w:p>
            <w:pPr>
              <w:spacing w:after="0"/>
              <w:rPr>
                <w:sz w:val="14"/>
                <w:szCs w:val="14"/>
                <w:color w:val="auto"/>
              </w:rPr>
            </w:pPr>
          </w:p>
        </w:tc>
        <w:tc>
          <w:tcPr>
            <w:tcW w:w="220" w:type="dxa"/>
            <w:vAlign w:val="bottom"/>
            <w:shd w:val="clear" w:color="auto" w:fill="D0E0F0"/>
          </w:tcPr>
          <w:p>
            <w:pPr>
              <w:spacing w:after="0"/>
              <w:rPr>
                <w:sz w:val="14"/>
                <w:szCs w:val="14"/>
                <w:color w:val="auto"/>
              </w:rPr>
            </w:pPr>
          </w:p>
        </w:tc>
        <w:tc>
          <w:tcPr>
            <w:tcW w:w="960" w:type="dxa"/>
            <w:vAlign w:val="bottom"/>
            <w:shd w:val="clear" w:color="auto" w:fill="D0E0F0"/>
          </w:tcPr>
          <w:p>
            <w:pPr>
              <w:spacing w:after="0"/>
              <w:rPr>
                <w:sz w:val="14"/>
                <w:szCs w:val="14"/>
                <w:color w:val="auto"/>
              </w:rPr>
            </w:pPr>
          </w:p>
        </w:tc>
        <w:tc>
          <w:tcPr>
            <w:tcW w:w="1120" w:type="dxa"/>
            <w:vAlign w:val="bottom"/>
            <w:vMerge w:val="continue"/>
            <w:shd w:val="clear" w:color="auto" w:fill="D0E0F0"/>
          </w:tcPr>
          <w:p>
            <w:pPr>
              <w:spacing w:after="0"/>
              <w:rPr>
                <w:sz w:val="14"/>
                <w:szCs w:val="14"/>
                <w:color w:val="auto"/>
              </w:rPr>
            </w:pPr>
          </w:p>
        </w:tc>
        <w:tc>
          <w:tcPr>
            <w:tcW w:w="980" w:type="dxa"/>
            <w:vAlign w:val="bottom"/>
            <w:shd w:val="clear" w:color="auto" w:fill="D0E0F0"/>
          </w:tcPr>
          <w:p>
            <w:pPr>
              <w:jc w:val="center"/>
              <w:ind w:right="108"/>
              <w:spacing w:after="0"/>
              <w:rPr>
                <w:sz w:val="20"/>
                <w:szCs w:val="20"/>
                <w:color w:val="auto"/>
              </w:rPr>
            </w:pPr>
            <w:r>
              <w:rPr>
                <w:rFonts w:ascii="Arial" w:cs="Arial" w:eastAsia="Arial" w:hAnsi="Arial"/>
                <w:sz w:val="14"/>
                <w:szCs w:val="14"/>
                <w:color w:val="auto"/>
              </w:rPr>
              <w:t>1,821,375</w:t>
            </w:r>
          </w:p>
        </w:tc>
        <w:tc>
          <w:tcPr>
            <w:tcW w:w="0" w:type="dxa"/>
            <w:vAlign w:val="bottom"/>
          </w:tcPr>
          <w:p>
            <w:pPr>
              <w:spacing w:after="0"/>
              <w:rPr>
                <w:sz w:val="1"/>
                <w:szCs w:val="1"/>
                <w:color w:val="auto"/>
              </w:rPr>
            </w:pPr>
          </w:p>
        </w:tc>
      </w:tr>
      <w:tr>
        <w:trPr>
          <w:trHeight w:val="162"/>
        </w:trPr>
        <w:tc>
          <w:tcPr>
            <w:tcW w:w="2300" w:type="dxa"/>
            <w:vAlign w:val="bottom"/>
            <w:shd w:val="clear" w:color="auto" w:fill="D0E0F0"/>
          </w:tcPr>
          <w:p>
            <w:pPr>
              <w:spacing w:after="0"/>
              <w:rPr>
                <w:sz w:val="14"/>
                <w:szCs w:val="14"/>
                <w:color w:val="auto"/>
              </w:rPr>
            </w:pPr>
          </w:p>
        </w:tc>
        <w:tc>
          <w:tcPr>
            <w:tcW w:w="500" w:type="dxa"/>
            <w:vAlign w:val="bottom"/>
            <w:shd w:val="clear" w:color="auto" w:fill="D0E0F0"/>
          </w:tcPr>
          <w:p>
            <w:pPr>
              <w:spacing w:after="0"/>
              <w:rPr>
                <w:sz w:val="14"/>
                <w:szCs w:val="14"/>
                <w:color w:val="auto"/>
              </w:rPr>
            </w:pPr>
          </w:p>
        </w:tc>
        <w:tc>
          <w:tcPr>
            <w:tcW w:w="900" w:type="dxa"/>
            <w:vAlign w:val="bottom"/>
            <w:shd w:val="clear" w:color="auto" w:fill="D0E0F0"/>
          </w:tcPr>
          <w:p>
            <w:pPr>
              <w:spacing w:after="0"/>
              <w:rPr>
                <w:sz w:val="14"/>
                <w:szCs w:val="14"/>
                <w:color w:val="auto"/>
              </w:rPr>
            </w:pPr>
          </w:p>
        </w:tc>
        <w:tc>
          <w:tcPr>
            <w:tcW w:w="840" w:type="dxa"/>
            <w:vAlign w:val="bottom"/>
            <w:shd w:val="clear" w:color="auto" w:fill="D0E0F0"/>
          </w:tcPr>
          <w:p>
            <w:pPr>
              <w:spacing w:after="0"/>
              <w:rPr>
                <w:sz w:val="14"/>
                <w:szCs w:val="14"/>
                <w:color w:val="auto"/>
              </w:rPr>
            </w:pPr>
          </w:p>
        </w:tc>
        <w:tc>
          <w:tcPr>
            <w:tcW w:w="1040" w:type="dxa"/>
            <w:vAlign w:val="bottom"/>
            <w:shd w:val="clear" w:color="auto" w:fill="D0E0F0"/>
          </w:tcPr>
          <w:p>
            <w:pPr>
              <w:spacing w:after="0"/>
              <w:rPr>
                <w:sz w:val="14"/>
                <w:szCs w:val="14"/>
                <w:color w:val="auto"/>
              </w:rPr>
            </w:pPr>
          </w:p>
        </w:tc>
        <w:tc>
          <w:tcPr>
            <w:tcW w:w="820" w:type="dxa"/>
            <w:vAlign w:val="bottom"/>
            <w:shd w:val="clear" w:color="auto" w:fill="D0E0F0"/>
          </w:tcPr>
          <w:p>
            <w:pPr>
              <w:spacing w:after="0"/>
              <w:rPr>
                <w:sz w:val="14"/>
                <w:szCs w:val="14"/>
                <w:color w:val="auto"/>
              </w:rPr>
            </w:pPr>
          </w:p>
        </w:tc>
        <w:tc>
          <w:tcPr>
            <w:tcW w:w="940" w:type="dxa"/>
            <w:vAlign w:val="bottom"/>
            <w:shd w:val="clear" w:color="auto" w:fill="D0E0F0"/>
          </w:tcPr>
          <w:p>
            <w:pPr>
              <w:spacing w:after="0"/>
              <w:rPr>
                <w:sz w:val="14"/>
                <w:szCs w:val="14"/>
                <w:color w:val="auto"/>
              </w:rPr>
            </w:pPr>
          </w:p>
        </w:tc>
        <w:tc>
          <w:tcPr>
            <w:tcW w:w="800" w:type="dxa"/>
            <w:vAlign w:val="bottom"/>
            <w:shd w:val="clear" w:color="auto" w:fill="D0E0F0"/>
          </w:tcPr>
          <w:p>
            <w:pPr>
              <w:spacing w:after="0"/>
              <w:rPr>
                <w:sz w:val="14"/>
                <w:szCs w:val="14"/>
                <w:color w:val="auto"/>
              </w:rPr>
            </w:pPr>
          </w:p>
        </w:tc>
        <w:tc>
          <w:tcPr>
            <w:tcW w:w="220" w:type="dxa"/>
            <w:vAlign w:val="bottom"/>
            <w:shd w:val="clear" w:color="auto" w:fill="D0E0F0"/>
          </w:tcPr>
          <w:p>
            <w:pPr>
              <w:spacing w:after="0"/>
              <w:rPr>
                <w:sz w:val="14"/>
                <w:szCs w:val="14"/>
                <w:color w:val="auto"/>
              </w:rPr>
            </w:pPr>
          </w:p>
        </w:tc>
        <w:tc>
          <w:tcPr>
            <w:tcW w:w="960" w:type="dxa"/>
            <w:vAlign w:val="bottom"/>
            <w:shd w:val="clear" w:color="auto" w:fill="D0E0F0"/>
          </w:tcPr>
          <w:p>
            <w:pPr>
              <w:spacing w:after="0"/>
              <w:rPr>
                <w:sz w:val="14"/>
                <w:szCs w:val="14"/>
                <w:color w:val="auto"/>
              </w:rPr>
            </w:pPr>
          </w:p>
        </w:tc>
        <w:tc>
          <w:tcPr>
            <w:tcW w:w="1120" w:type="dxa"/>
            <w:vAlign w:val="bottom"/>
            <w:shd w:val="clear" w:color="auto" w:fill="D0E0F0"/>
          </w:tcPr>
          <w:p>
            <w:pPr>
              <w:spacing w:after="0"/>
              <w:rPr>
                <w:sz w:val="14"/>
                <w:szCs w:val="14"/>
                <w:color w:val="auto"/>
              </w:rPr>
            </w:pPr>
          </w:p>
        </w:tc>
        <w:tc>
          <w:tcPr>
            <w:tcW w:w="980" w:type="dxa"/>
            <w:vAlign w:val="bottom"/>
            <w:shd w:val="clear" w:color="auto" w:fill="D0E0F0"/>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0" w:type="dxa"/>
            <w:vAlign w:val="bottom"/>
            <w:gridSpan w:val="2"/>
          </w:tcPr>
          <w:p>
            <w:pPr>
              <w:spacing w:after="0"/>
              <w:rPr>
                <w:sz w:val="20"/>
                <w:szCs w:val="20"/>
                <w:color w:val="auto"/>
              </w:rPr>
            </w:pPr>
            <w:r>
              <w:rPr>
                <w:rFonts w:ascii="Arial" w:cs="Arial" w:eastAsia="Arial" w:hAnsi="Arial"/>
                <w:sz w:val="14"/>
                <w:szCs w:val="14"/>
                <w:color w:val="auto"/>
              </w:rPr>
              <w:t>Vishal Chhibbar</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2/24/2016</w:t>
            </w:r>
          </w:p>
        </w:tc>
        <w:tc>
          <w:tcPr>
            <w:tcW w:w="840" w:type="dxa"/>
            <w:vAlign w:val="bottom"/>
          </w:tcPr>
          <w:p>
            <w:pPr>
              <w:spacing w:after="0"/>
              <w:rPr>
                <w:sz w:val="15"/>
                <w:szCs w:val="15"/>
                <w:color w:val="auto"/>
              </w:rPr>
            </w:pPr>
          </w:p>
        </w:tc>
        <w:tc>
          <w:tcPr>
            <w:tcW w:w="1040" w:type="dxa"/>
            <w:vAlign w:val="bottom"/>
          </w:tcPr>
          <w:p>
            <w:pPr>
              <w:jc w:val="right"/>
              <w:ind w:right="150"/>
              <w:spacing w:after="0"/>
              <w:rPr>
                <w:sz w:val="20"/>
                <w:szCs w:val="20"/>
                <w:color w:val="auto"/>
              </w:rPr>
            </w:pPr>
            <w:r>
              <w:rPr>
                <w:rFonts w:ascii="Arial" w:cs="Arial" w:eastAsia="Arial" w:hAnsi="Arial"/>
                <w:sz w:val="14"/>
                <w:szCs w:val="14"/>
                <w:color w:val="auto"/>
              </w:rPr>
              <w:t>240,000</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480,000</w:t>
            </w:r>
          </w:p>
        </w:tc>
        <w:tc>
          <w:tcPr>
            <w:tcW w:w="9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3,500</w:t>
            </w:r>
          </w:p>
        </w:tc>
        <w:tc>
          <w:tcPr>
            <w:tcW w:w="220" w:type="dxa"/>
            <w:vAlign w:val="bottom"/>
            <w:vMerge w:val="restart"/>
          </w:tcPr>
          <w:p>
            <w:pPr>
              <w:jc w:val="right"/>
              <w:ind w:right="20"/>
              <w:spacing w:after="0"/>
              <w:rPr>
                <w:sz w:val="20"/>
                <w:szCs w:val="20"/>
                <w:color w:val="auto"/>
              </w:rPr>
            </w:pPr>
            <w:r>
              <w:rPr>
                <w:rFonts w:ascii="Arial" w:cs="Arial" w:eastAsia="Arial" w:hAnsi="Arial"/>
                <w:sz w:val="12"/>
                <w:szCs w:val="12"/>
                <w:color w:val="auto"/>
                <w:w w:val="81"/>
              </w:rPr>
              <w:t>(2)</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7,000</w:t>
            </w:r>
          </w:p>
        </w:tc>
        <w:tc>
          <w:tcPr>
            <w:tcW w:w="1120" w:type="dxa"/>
            <w:vAlign w:val="bottom"/>
          </w:tcPr>
          <w:p>
            <w:pPr>
              <w:spacing w:after="0"/>
              <w:rPr>
                <w:sz w:val="15"/>
                <w:szCs w:val="15"/>
                <w:color w:val="auto"/>
              </w:rPr>
            </w:pPr>
          </w:p>
        </w:tc>
        <w:tc>
          <w:tcPr>
            <w:tcW w:w="980" w:type="dxa"/>
            <w:vAlign w:val="bottom"/>
            <w:vMerge w:val="restart"/>
          </w:tcPr>
          <w:p>
            <w:pPr>
              <w:jc w:val="center"/>
              <w:ind w:right="108"/>
              <w:spacing w:after="0"/>
              <w:rPr>
                <w:sz w:val="20"/>
                <w:szCs w:val="20"/>
                <w:color w:val="auto"/>
              </w:rPr>
            </w:pPr>
            <w:r>
              <w:rPr>
                <w:rFonts w:ascii="Arial" w:cs="Arial" w:eastAsia="Arial" w:hAnsi="Arial"/>
                <w:sz w:val="14"/>
                <w:szCs w:val="14"/>
                <w:color w:val="auto"/>
              </w:rPr>
              <w:t>169,995</w:t>
            </w:r>
          </w:p>
        </w:tc>
        <w:tc>
          <w:tcPr>
            <w:tcW w:w="0" w:type="dxa"/>
            <w:vAlign w:val="bottom"/>
          </w:tcPr>
          <w:p>
            <w:pPr>
              <w:spacing w:after="0"/>
              <w:rPr>
                <w:sz w:val="1"/>
                <w:szCs w:val="1"/>
                <w:color w:val="auto"/>
              </w:rPr>
            </w:pPr>
          </w:p>
        </w:tc>
      </w:tr>
      <w:tr>
        <w:trPr>
          <w:trHeight w:val="147"/>
        </w:trPr>
        <w:tc>
          <w:tcPr>
            <w:tcW w:w="2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2/24/2016</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3,500</w:t>
            </w:r>
          </w:p>
        </w:tc>
        <w:tc>
          <w:tcPr>
            <w:tcW w:w="220" w:type="dxa"/>
            <w:vAlign w:val="bottom"/>
          </w:tcPr>
          <w:p>
            <w:pPr>
              <w:jc w:val="right"/>
              <w:ind w:right="20"/>
              <w:spacing w:after="0"/>
              <w:rPr>
                <w:sz w:val="20"/>
                <w:szCs w:val="20"/>
                <w:color w:val="auto"/>
              </w:rPr>
            </w:pPr>
            <w:r>
              <w:rPr>
                <w:rFonts w:ascii="Arial" w:cs="Arial" w:eastAsia="Arial" w:hAnsi="Arial"/>
                <w:sz w:val="12"/>
                <w:szCs w:val="12"/>
                <w:color w:val="auto"/>
                <w:w w:val="81"/>
              </w:rPr>
              <w:t>(3)</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7,000</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7,000</w:t>
            </w:r>
            <w:r>
              <w:rPr>
                <w:rFonts w:ascii="Arial" w:cs="Arial" w:eastAsia="Arial" w:hAnsi="Arial"/>
                <w:sz w:val="23"/>
                <w:szCs w:val="23"/>
                <w:color w:val="auto"/>
                <w:vertAlign w:val="superscript"/>
              </w:rPr>
              <w:t>(4)</w:t>
            </w:r>
          </w:p>
        </w:tc>
        <w:tc>
          <w:tcPr>
            <w:tcW w:w="980" w:type="dxa"/>
            <w:vAlign w:val="bottom"/>
          </w:tcPr>
          <w:p>
            <w:pPr>
              <w:jc w:val="center"/>
              <w:ind w:right="108"/>
              <w:spacing w:after="0"/>
              <w:rPr>
                <w:sz w:val="20"/>
                <w:szCs w:val="20"/>
                <w:color w:val="auto"/>
              </w:rPr>
            </w:pPr>
            <w:r>
              <w:rPr>
                <w:rFonts w:ascii="Arial" w:cs="Arial" w:eastAsia="Arial" w:hAnsi="Arial"/>
                <w:sz w:val="14"/>
                <w:szCs w:val="14"/>
                <w:color w:val="auto"/>
              </w:rPr>
              <w:t>237,790</w:t>
            </w:r>
          </w:p>
        </w:tc>
        <w:tc>
          <w:tcPr>
            <w:tcW w:w="0" w:type="dxa"/>
            <w:vAlign w:val="bottom"/>
          </w:tcPr>
          <w:p>
            <w:pPr>
              <w:spacing w:after="0"/>
              <w:rPr>
                <w:sz w:val="1"/>
                <w:szCs w:val="1"/>
                <w:color w:val="auto"/>
              </w:rPr>
            </w:pPr>
          </w:p>
        </w:tc>
      </w:tr>
      <w:tr>
        <w:trPr>
          <w:trHeight w:val="311"/>
        </w:trPr>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2/24/2016</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980" w:type="dxa"/>
            <w:vAlign w:val="bottom"/>
          </w:tcPr>
          <w:p>
            <w:pPr>
              <w:jc w:val="center"/>
              <w:ind w:right="108"/>
              <w:spacing w:after="0"/>
              <w:rPr>
                <w:sz w:val="20"/>
                <w:szCs w:val="20"/>
                <w:color w:val="auto"/>
              </w:rPr>
            </w:pPr>
            <w:r>
              <w:rPr>
                <w:rFonts w:ascii="Arial" w:cs="Arial" w:eastAsia="Arial" w:hAnsi="Arial"/>
                <w:sz w:val="14"/>
                <w:szCs w:val="14"/>
                <w:color w:val="auto"/>
              </w:rPr>
              <w:t>339,990</w:t>
            </w:r>
          </w:p>
        </w:tc>
        <w:tc>
          <w:tcPr>
            <w:tcW w:w="0" w:type="dxa"/>
            <w:vAlign w:val="bottom"/>
          </w:tcPr>
          <w:p>
            <w:pPr>
              <w:spacing w:after="0"/>
              <w:rPr>
                <w:sz w:val="1"/>
                <w:szCs w:val="1"/>
                <w:color w:val="auto"/>
              </w:rPr>
            </w:pPr>
          </w:p>
        </w:tc>
      </w:tr>
      <w:tr>
        <w:trPr>
          <w:trHeight w:val="171"/>
        </w:trPr>
        <w:tc>
          <w:tcPr>
            <w:tcW w:w="2800" w:type="dxa"/>
            <w:vAlign w:val="bottom"/>
            <w:gridSpan w:val="2"/>
            <w:shd w:val="clear" w:color="auto" w:fill="D0E0F0"/>
          </w:tcPr>
          <w:p>
            <w:pPr>
              <w:spacing w:after="0"/>
              <w:rPr>
                <w:sz w:val="20"/>
                <w:szCs w:val="20"/>
                <w:color w:val="auto"/>
              </w:rPr>
            </w:pPr>
            <w:r>
              <w:rPr>
                <w:rFonts w:ascii="Arial" w:cs="Arial" w:eastAsia="Arial" w:hAnsi="Arial"/>
                <w:sz w:val="14"/>
                <w:szCs w:val="14"/>
                <w:color w:val="auto"/>
              </w:rPr>
              <w:t>Pavan Bagai</w:t>
            </w:r>
          </w:p>
        </w:tc>
        <w:tc>
          <w:tcPr>
            <w:tcW w:w="900" w:type="dxa"/>
            <w:vAlign w:val="bottom"/>
            <w:vMerge w:val="restart"/>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840" w:type="dxa"/>
            <w:vAlign w:val="bottom"/>
            <w:shd w:val="clear" w:color="auto" w:fill="D0E0F0"/>
          </w:tcPr>
          <w:p>
            <w:pPr>
              <w:spacing w:after="0"/>
              <w:rPr>
                <w:sz w:val="14"/>
                <w:szCs w:val="14"/>
                <w:color w:val="auto"/>
              </w:rPr>
            </w:pPr>
          </w:p>
        </w:tc>
        <w:tc>
          <w:tcPr>
            <w:tcW w:w="1040" w:type="dxa"/>
            <w:vAlign w:val="bottom"/>
            <w:shd w:val="clear" w:color="auto" w:fill="D0E0F0"/>
          </w:tcPr>
          <w:p>
            <w:pPr>
              <w:jc w:val="right"/>
              <w:ind w:right="150"/>
              <w:spacing w:after="0"/>
              <w:rPr>
                <w:sz w:val="20"/>
                <w:szCs w:val="20"/>
                <w:color w:val="auto"/>
              </w:rPr>
            </w:pPr>
            <w:r>
              <w:rPr>
                <w:rFonts w:ascii="Arial" w:cs="Arial" w:eastAsia="Arial" w:hAnsi="Arial"/>
                <w:sz w:val="14"/>
                <w:szCs w:val="14"/>
                <w:color w:val="auto"/>
              </w:rPr>
              <w:t>249,234</w:t>
            </w:r>
          </w:p>
        </w:tc>
        <w:tc>
          <w:tcPr>
            <w:tcW w:w="820" w:type="dxa"/>
            <w:vAlign w:val="bottom"/>
            <w:shd w:val="clear" w:color="auto" w:fill="D0E0F0"/>
          </w:tcPr>
          <w:p>
            <w:pPr>
              <w:jc w:val="right"/>
              <w:ind w:right="88"/>
              <w:spacing w:after="0"/>
              <w:rPr>
                <w:sz w:val="20"/>
                <w:szCs w:val="20"/>
                <w:color w:val="auto"/>
              </w:rPr>
            </w:pPr>
            <w:r>
              <w:rPr>
                <w:rFonts w:ascii="Arial" w:cs="Arial" w:eastAsia="Arial" w:hAnsi="Arial"/>
                <w:sz w:val="14"/>
                <w:szCs w:val="14"/>
                <w:color w:val="auto"/>
              </w:rPr>
              <w:t>498,469</w:t>
            </w:r>
          </w:p>
        </w:tc>
        <w:tc>
          <w:tcPr>
            <w:tcW w:w="940" w:type="dxa"/>
            <w:vAlign w:val="bottom"/>
            <w:shd w:val="clear" w:color="auto" w:fill="D0E0F0"/>
          </w:tcPr>
          <w:p>
            <w:pPr>
              <w:spacing w:after="0"/>
              <w:rPr>
                <w:sz w:val="14"/>
                <w:szCs w:val="14"/>
                <w:color w:val="auto"/>
              </w:rPr>
            </w:pPr>
          </w:p>
        </w:tc>
        <w:tc>
          <w:tcPr>
            <w:tcW w:w="800" w:type="dxa"/>
            <w:vAlign w:val="bottom"/>
            <w:vMerge w:val="restart"/>
            <w:shd w:val="clear" w:color="auto" w:fill="D0E0F0"/>
          </w:tcPr>
          <w:p>
            <w:pPr>
              <w:jc w:val="right"/>
              <w:spacing w:after="0"/>
              <w:rPr>
                <w:sz w:val="20"/>
                <w:szCs w:val="20"/>
                <w:color w:val="auto"/>
              </w:rPr>
            </w:pPr>
            <w:r>
              <w:rPr>
                <w:rFonts w:ascii="Arial" w:cs="Arial" w:eastAsia="Arial" w:hAnsi="Arial"/>
                <w:sz w:val="14"/>
                <w:szCs w:val="14"/>
                <w:color w:val="auto"/>
              </w:rPr>
              <w:t>6,250</w:t>
            </w:r>
          </w:p>
        </w:tc>
        <w:tc>
          <w:tcPr>
            <w:tcW w:w="220" w:type="dxa"/>
            <w:vAlign w:val="bottom"/>
            <w:vMerge w:val="restart"/>
            <w:shd w:val="clear" w:color="auto" w:fill="D0E0F0"/>
          </w:tcPr>
          <w:p>
            <w:pPr>
              <w:jc w:val="right"/>
              <w:ind w:right="20"/>
              <w:spacing w:after="0"/>
              <w:rPr>
                <w:sz w:val="20"/>
                <w:szCs w:val="20"/>
                <w:color w:val="auto"/>
              </w:rPr>
            </w:pPr>
            <w:r>
              <w:rPr>
                <w:rFonts w:ascii="Arial" w:cs="Arial" w:eastAsia="Arial" w:hAnsi="Arial"/>
                <w:sz w:val="12"/>
                <w:szCs w:val="12"/>
                <w:color w:val="auto"/>
                <w:w w:val="81"/>
              </w:rPr>
              <w:t>(2)</w:t>
            </w:r>
          </w:p>
        </w:tc>
        <w:tc>
          <w:tcPr>
            <w:tcW w:w="960" w:type="dxa"/>
            <w:vAlign w:val="bottom"/>
            <w:vMerge w:val="restart"/>
            <w:shd w:val="clear" w:color="auto" w:fill="D0E0F0"/>
          </w:tcPr>
          <w:p>
            <w:pPr>
              <w:jc w:val="right"/>
              <w:ind w:right="228"/>
              <w:spacing w:after="0"/>
              <w:rPr>
                <w:sz w:val="20"/>
                <w:szCs w:val="20"/>
                <w:color w:val="auto"/>
              </w:rPr>
            </w:pPr>
            <w:r>
              <w:rPr>
                <w:rFonts w:ascii="Arial" w:cs="Arial" w:eastAsia="Arial" w:hAnsi="Arial"/>
                <w:sz w:val="14"/>
                <w:szCs w:val="14"/>
                <w:color w:val="auto"/>
              </w:rPr>
              <w:t>12,500</w:t>
            </w:r>
          </w:p>
        </w:tc>
        <w:tc>
          <w:tcPr>
            <w:tcW w:w="1120" w:type="dxa"/>
            <w:vAlign w:val="bottom"/>
            <w:shd w:val="clear" w:color="auto" w:fill="D0E0F0"/>
          </w:tcPr>
          <w:p>
            <w:pPr>
              <w:spacing w:after="0"/>
              <w:rPr>
                <w:sz w:val="14"/>
                <w:szCs w:val="14"/>
                <w:color w:val="auto"/>
              </w:rPr>
            </w:pPr>
          </w:p>
        </w:tc>
        <w:tc>
          <w:tcPr>
            <w:tcW w:w="980" w:type="dxa"/>
            <w:vAlign w:val="bottom"/>
            <w:vMerge w:val="restart"/>
            <w:shd w:val="clear" w:color="auto" w:fill="D0E0F0"/>
          </w:tcPr>
          <w:p>
            <w:pPr>
              <w:jc w:val="center"/>
              <w:ind w:right="108"/>
              <w:spacing w:after="0"/>
              <w:rPr>
                <w:sz w:val="20"/>
                <w:szCs w:val="20"/>
                <w:color w:val="auto"/>
              </w:rPr>
            </w:pPr>
            <w:r>
              <w:rPr>
                <w:rFonts w:ascii="Arial" w:cs="Arial" w:eastAsia="Arial" w:hAnsi="Arial"/>
                <w:sz w:val="14"/>
                <w:szCs w:val="14"/>
                <w:color w:val="auto"/>
              </w:rPr>
              <w:t>303,563</w:t>
            </w:r>
          </w:p>
        </w:tc>
        <w:tc>
          <w:tcPr>
            <w:tcW w:w="0" w:type="dxa"/>
            <w:vAlign w:val="bottom"/>
          </w:tcPr>
          <w:p>
            <w:pPr>
              <w:spacing w:after="0"/>
              <w:rPr>
                <w:sz w:val="1"/>
                <w:szCs w:val="1"/>
                <w:color w:val="auto"/>
              </w:rPr>
            </w:pPr>
          </w:p>
        </w:tc>
      </w:tr>
      <w:tr>
        <w:trPr>
          <w:trHeight w:val="162"/>
        </w:trPr>
        <w:tc>
          <w:tcPr>
            <w:tcW w:w="2300" w:type="dxa"/>
            <w:vAlign w:val="bottom"/>
            <w:shd w:val="clear" w:color="auto" w:fill="D0E0F0"/>
          </w:tcPr>
          <w:p>
            <w:pPr>
              <w:spacing w:after="0"/>
              <w:rPr>
                <w:sz w:val="14"/>
                <w:szCs w:val="14"/>
                <w:color w:val="auto"/>
              </w:rPr>
            </w:pPr>
          </w:p>
        </w:tc>
        <w:tc>
          <w:tcPr>
            <w:tcW w:w="500" w:type="dxa"/>
            <w:vAlign w:val="bottom"/>
            <w:shd w:val="clear" w:color="auto" w:fill="D0E0F0"/>
          </w:tcPr>
          <w:p>
            <w:pPr>
              <w:spacing w:after="0"/>
              <w:rPr>
                <w:sz w:val="14"/>
                <w:szCs w:val="14"/>
                <w:color w:val="auto"/>
              </w:rPr>
            </w:pPr>
          </w:p>
        </w:tc>
        <w:tc>
          <w:tcPr>
            <w:tcW w:w="900" w:type="dxa"/>
            <w:vAlign w:val="bottom"/>
            <w:vMerge w:val="continue"/>
            <w:shd w:val="clear" w:color="auto" w:fill="D0E0F0"/>
          </w:tcPr>
          <w:p>
            <w:pPr>
              <w:spacing w:after="0"/>
              <w:rPr>
                <w:sz w:val="14"/>
                <w:szCs w:val="14"/>
                <w:color w:val="auto"/>
              </w:rPr>
            </w:pPr>
          </w:p>
        </w:tc>
        <w:tc>
          <w:tcPr>
            <w:tcW w:w="840" w:type="dxa"/>
            <w:vAlign w:val="bottom"/>
            <w:shd w:val="clear" w:color="auto" w:fill="D0E0F0"/>
          </w:tcPr>
          <w:p>
            <w:pPr>
              <w:spacing w:after="0"/>
              <w:rPr>
                <w:sz w:val="14"/>
                <w:szCs w:val="14"/>
                <w:color w:val="auto"/>
              </w:rPr>
            </w:pPr>
          </w:p>
        </w:tc>
        <w:tc>
          <w:tcPr>
            <w:tcW w:w="1040" w:type="dxa"/>
            <w:vAlign w:val="bottom"/>
            <w:shd w:val="clear" w:color="auto" w:fill="D0E0F0"/>
          </w:tcPr>
          <w:p>
            <w:pPr>
              <w:spacing w:after="0"/>
              <w:rPr>
                <w:sz w:val="14"/>
                <w:szCs w:val="14"/>
                <w:color w:val="auto"/>
              </w:rPr>
            </w:pPr>
          </w:p>
        </w:tc>
        <w:tc>
          <w:tcPr>
            <w:tcW w:w="820" w:type="dxa"/>
            <w:vAlign w:val="bottom"/>
            <w:shd w:val="clear" w:color="auto" w:fill="D0E0F0"/>
          </w:tcPr>
          <w:p>
            <w:pPr>
              <w:spacing w:after="0"/>
              <w:rPr>
                <w:sz w:val="14"/>
                <w:szCs w:val="14"/>
                <w:color w:val="auto"/>
              </w:rPr>
            </w:pPr>
          </w:p>
        </w:tc>
        <w:tc>
          <w:tcPr>
            <w:tcW w:w="940" w:type="dxa"/>
            <w:vAlign w:val="bottom"/>
            <w:shd w:val="clear" w:color="auto" w:fill="D0E0F0"/>
          </w:tcPr>
          <w:p>
            <w:pPr>
              <w:spacing w:after="0"/>
              <w:rPr>
                <w:sz w:val="14"/>
                <w:szCs w:val="14"/>
                <w:color w:val="auto"/>
              </w:rPr>
            </w:pPr>
          </w:p>
        </w:tc>
        <w:tc>
          <w:tcPr>
            <w:tcW w:w="800" w:type="dxa"/>
            <w:vAlign w:val="bottom"/>
            <w:vMerge w:val="continue"/>
            <w:shd w:val="clear" w:color="auto" w:fill="D0E0F0"/>
          </w:tcPr>
          <w:p>
            <w:pPr>
              <w:spacing w:after="0"/>
              <w:rPr>
                <w:sz w:val="14"/>
                <w:szCs w:val="14"/>
                <w:color w:val="auto"/>
              </w:rPr>
            </w:pPr>
          </w:p>
        </w:tc>
        <w:tc>
          <w:tcPr>
            <w:tcW w:w="220" w:type="dxa"/>
            <w:vAlign w:val="bottom"/>
            <w:vMerge w:val="continue"/>
            <w:shd w:val="clear" w:color="auto" w:fill="D0E0F0"/>
          </w:tcPr>
          <w:p>
            <w:pPr>
              <w:spacing w:after="0"/>
              <w:rPr>
                <w:sz w:val="14"/>
                <w:szCs w:val="14"/>
                <w:color w:val="auto"/>
              </w:rPr>
            </w:pPr>
          </w:p>
        </w:tc>
        <w:tc>
          <w:tcPr>
            <w:tcW w:w="960" w:type="dxa"/>
            <w:vAlign w:val="bottom"/>
            <w:vMerge w:val="continue"/>
            <w:shd w:val="clear" w:color="auto" w:fill="D0E0F0"/>
          </w:tcPr>
          <w:p>
            <w:pPr>
              <w:spacing w:after="0"/>
              <w:rPr>
                <w:sz w:val="14"/>
                <w:szCs w:val="14"/>
                <w:color w:val="auto"/>
              </w:rPr>
            </w:pPr>
          </w:p>
        </w:tc>
        <w:tc>
          <w:tcPr>
            <w:tcW w:w="1120" w:type="dxa"/>
            <w:vAlign w:val="bottom"/>
            <w:shd w:val="clear" w:color="auto" w:fill="D0E0F0"/>
          </w:tcPr>
          <w:p>
            <w:pPr>
              <w:spacing w:after="0"/>
              <w:rPr>
                <w:sz w:val="14"/>
                <w:szCs w:val="14"/>
                <w:color w:val="auto"/>
              </w:rPr>
            </w:pPr>
          </w:p>
        </w:tc>
        <w:tc>
          <w:tcPr>
            <w:tcW w:w="980" w:type="dxa"/>
            <w:vAlign w:val="bottom"/>
            <w:vMerge w:val="continue"/>
            <w:shd w:val="clear" w:color="auto" w:fill="D0E0F0"/>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D0E0F0"/>
          </w:tcPr>
          <w:p>
            <w:pPr>
              <w:spacing w:after="0"/>
              <w:rPr>
                <w:sz w:val="14"/>
                <w:szCs w:val="14"/>
                <w:color w:val="auto"/>
              </w:rPr>
            </w:pPr>
          </w:p>
        </w:tc>
        <w:tc>
          <w:tcPr>
            <w:tcW w:w="500" w:type="dxa"/>
            <w:vAlign w:val="bottom"/>
            <w:shd w:val="clear" w:color="auto" w:fill="D0E0F0"/>
          </w:tcPr>
          <w:p>
            <w:pPr>
              <w:spacing w:after="0"/>
              <w:rPr>
                <w:sz w:val="14"/>
                <w:szCs w:val="14"/>
                <w:color w:val="auto"/>
              </w:rPr>
            </w:pPr>
          </w:p>
        </w:tc>
        <w:tc>
          <w:tcPr>
            <w:tcW w:w="90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840" w:type="dxa"/>
            <w:vAlign w:val="bottom"/>
            <w:shd w:val="clear" w:color="auto" w:fill="D0E0F0"/>
          </w:tcPr>
          <w:p>
            <w:pPr>
              <w:spacing w:after="0"/>
              <w:rPr>
                <w:sz w:val="14"/>
                <w:szCs w:val="14"/>
                <w:color w:val="auto"/>
              </w:rPr>
            </w:pPr>
          </w:p>
        </w:tc>
        <w:tc>
          <w:tcPr>
            <w:tcW w:w="1040" w:type="dxa"/>
            <w:vAlign w:val="bottom"/>
            <w:shd w:val="clear" w:color="auto" w:fill="D0E0F0"/>
          </w:tcPr>
          <w:p>
            <w:pPr>
              <w:spacing w:after="0"/>
              <w:rPr>
                <w:sz w:val="14"/>
                <w:szCs w:val="14"/>
                <w:color w:val="auto"/>
              </w:rPr>
            </w:pPr>
          </w:p>
        </w:tc>
        <w:tc>
          <w:tcPr>
            <w:tcW w:w="820" w:type="dxa"/>
            <w:vAlign w:val="bottom"/>
            <w:shd w:val="clear" w:color="auto" w:fill="D0E0F0"/>
          </w:tcPr>
          <w:p>
            <w:pPr>
              <w:spacing w:after="0"/>
              <w:rPr>
                <w:sz w:val="14"/>
                <w:szCs w:val="14"/>
                <w:color w:val="auto"/>
              </w:rPr>
            </w:pPr>
          </w:p>
        </w:tc>
        <w:tc>
          <w:tcPr>
            <w:tcW w:w="940" w:type="dxa"/>
            <w:vAlign w:val="bottom"/>
            <w:shd w:val="clear" w:color="auto" w:fill="D0E0F0"/>
          </w:tcPr>
          <w:p>
            <w:pPr>
              <w:spacing w:after="0"/>
              <w:rPr>
                <w:sz w:val="14"/>
                <w:szCs w:val="14"/>
                <w:color w:val="auto"/>
              </w:rPr>
            </w:pPr>
          </w:p>
        </w:tc>
        <w:tc>
          <w:tcPr>
            <w:tcW w:w="800" w:type="dxa"/>
            <w:vAlign w:val="bottom"/>
            <w:shd w:val="clear" w:color="auto" w:fill="D0E0F0"/>
          </w:tcPr>
          <w:p>
            <w:pPr>
              <w:jc w:val="right"/>
              <w:spacing w:after="0"/>
              <w:rPr>
                <w:sz w:val="20"/>
                <w:szCs w:val="20"/>
                <w:color w:val="auto"/>
              </w:rPr>
            </w:pPr>
            <w:r>
              <w:rPr>
                <w:rFonts w:ascii="Arial" w:cs="Arial" w:eastAsia="Arial" w:hAnsi="Arial"/>
                <w:sz w:val="14"/>
                <w:szCs w:val="14"/>
                <w:color w:val="auto"/>
              </w:rPr>
              <w:t>6,250</w:t>
            </w:r>
          </w:p>
        </w:tc>
        <w:tc>
          <w:tcPr>
            <w:tcW w:w="220" w:type="dxa"/>
            <w:vAlign w:val="bottom"/>
            <w:shd w:val="clear" w:color="auto" w:fill="D0E0F0"/>
          </w:tcPr>
          <w:p>
            <w:pPr>
              <w:jc w:val="right"/>
              <w:ind w:right="20"/>
              <w:spacing w:after="0"/>
              <w:rPr>
                <w:sz w:val="20"/>
                <w:szCs w:val="20"/>
                <w:color w:val="auto"/>
              </w:rPr>
            </w:pPr>
            <w:r>
              <w:rPr>
                <w:rFonts w:ascii="Arial" w:cs="Arial" w:eastAsia="Arial" w:hAnsi="Arial"/>
                <w:sz w:val="12"/>
                <w:szCs w:val="12"/>
                <w:color w:val="auto"/>
                <w:w w:val="81"/>
              </w:rPr>
              <w:t>(3)</w:t>
            </w:r>
          </w:p>
        </w:tc>
        <w:tc>
          <w:tcPr>
            <w:tcW w:w="960" w:type="dxa"/>
            <w:vAlign w:val="bottom"/>
            <w:shd w:val="clear" w:color="auto" w:fill="D0E0F0"/>
          </w:tcPr>
          <w:p>
            <w:pPr>
              <w:jc w:val="right"/>
              <w:ind w:right="228"/>
              <w:spacing w:after="0"/>
              <w:rPr>
                <w:sz w:val="20"/>
                <w:szCs w:val="20"/>
                <w:color w:val="auto"/>
              </w:rPr>
            </w:pPr>
            <w:r>
              <w:rPr>
                <w:rFonts w:ascii="Arial" w:cs="Arial" w:eastAsia="Arial" w:hAnsi="Arial"/>
                <w:sz w:val="14"/>
                <w:szCs w:val="14"/>
                <w:color w:val="auto"/>
              </w:rPr>
              <w:t>12,500</w:t>
            </w:r>
          </w:p>
        </w:tc>
        <w:tc>
          <w:tcPr>
            <w:tcW w:w="1120" w:type="dxa"/>
            <w:vAlign w:val="bottom"/>
            <w:vMerge w:val="restart"/>
            <w:shd w:val="clear" w:color="auto" w:fill="D0E0F0"/>
          </w:tcPr>
          <w:p>
            <w:pPr>
              <w:jc w:val="right"/>
              <w:ind w:right="8"/>
              <w:spacing w:after="0"/>
              <w:rPr>
                <w:sz w:val="20"/>
                <w:szCs w:val="20"/>
                <w:color w:val="auto"/>
              </w:rPr>
            </w:pPr>
            <w:r>
              <w:rPr>
                <w:rFonts w:ascii="Arial" w:cs="Arial" w:eastAsia="Arial" w:hAnsi="Arial"/>
                <w:sz w:val="14"/>
                <w:szCs w:val="14"/>
                <w:color w:val="auto"/>
              </w:rPr>
              <w:t>12,500</w:t>
            </w:r>
            <w:r>
              <w:rPr>
                <w:rFonts w:ascii="Arial" w:cs="Arial" w:eastAsia="Arial" w:hAnsi="Arial"/>
                <w:sz w:val="23"/>
                <w:szCs w:val="23"/>
                <w:color w:val="auto"/>
                <w:vertAlign w:val="superscript"/>
              </w:rPr>
              <w:t>(4)</w:t>
            </w:r>
          </w:p>
        </w:tc>
        <w:tc>
          <w:tcPr>
            <w:tcW w:w="980" w:type="dxa"/>
            <w:vAlign w:val="bottom"/>
            <w:shd w:val="clear" w:color="auto" w:fill="D0E0F0"/>
          </w:tcPr>
          <w:p>
            <w:pPr>
              <w:jc w:val="center"/>
              <w:ind w:right="108"/>
              <w:spacing w:after="0"/>
              <w:rPr>
                <w:sz w:val="20"/>
                <w:szCs w:val="20"/>
                <w:color w:val="auto"/>
              </w:rPr>
            </w:pPr>
            <w:r>
              <w:rPr>
                <w:rFonts w:ascii="Arial" w:cs="Arial" w:eastAsia="Arial" w:hAnsi="Arial"/>
                <w:sz w:val="14"/>
                <w:szCs w:val="14"/>
                <w:color w:val="auto"/>
              </w:rPr>
              <w:t>424,625</w:t>
            </w:r>
          </w:p>
        </w:tc>
        <w:tc>
          <w:tcPr>
            <w:tcW w:w="0" w:type="dxa"/>
            <w:vAlign w:val="bottom"/>
          </w:tcPr>
          <w:p>
            <w:pPr>
              <w:spacing w:after="0"/>
              <w:rPr>
                <w:sz w:val="1"/>
                <w:szCs w:val="1"/>
                <w:color w:val="auto"/>
              </w:rPr>
            </w:pPr>
          </w:p>
        </w:tc>
      </w:tr>
      <w:tr>
        <w:trPr>
          <w:trHeight w:val="162"/>
        </w:trPr>
        <w:tc>
          <w:tcPr>
            <w:tcW w:w="2300" w:type="dxa"/>
            <w:vAlign w:val="bottom"/>
            <w:shd w:val="clear" w:color="auto" w:fill="D0E0F0"/>
          </w:tcPr>
          <w:p>
            <w:pPr>
              <w:spacing w:after="0"/>
              <w:rPr>
                <w:sz w:val="14"/>
                <w:szCs w:val="14"/>
                <w:color w:val="auto"/>
              </w:rPr>
            </w:pPr>
          </w:p>
        </w:tc>
        <w:tc>
          <w:tcPr>
            <w:tcW w:w="500" w:type="dxa"/>
            <w:vAlign w:val="bottom"/>
            <w:shd w:val="clear" w:color="auto" w:fill="D0E0F0"/>
          </w:tcPr>
          <w:p>
            <w:pPr>
              <w:spacing w:after="0"/>
              <w:rPr>
                <w:sz w:val="14"/>
                <w:szCs w:val="14"/>
                <w:color w:val="auto"/>
              </w:rPr>
            </w:pPr>
          </w:p>
        </w:tc>
        <w:tc>
          <w:tcPr>
            <w:tcW w:w="90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840" w:type="dxa"/>
            <w:vAlign w:val="bottom"/>
            <w:shd w:val="clear" w:color="auto" w:fill="D0E0F0"/>
          </w:tcPr>
          <w:p>
            <w:pPr>
              <w:spacing w:after="0"/>
              <w:rPr>
                <w:sz w:val="14"/>
                <w:szCs w:val="14"/>
                <w:color w:val="auto"/>
              </w:rPr>
            </w:pPr>
          </w:p>
        </w:tc>
        <w:tc>
          <w:tcPr>
            <w:tcW w:w="1040" w:type="dxa"/>
            <w:vAlign w:val="bottom"/>
            <w:shd w:val="clear" w:color="auto" w:fill="D0E0F0"/>
          </w:tcPr>
          <w:p>
            <w:pPr>
              <w:spacing w:after="0"/>
              <w:rPr>
                <w:sz w:val="14"/>
                <w:szCs w:val="14"/>
                <w:color w:val="auto"/>
              </w:rPr>
            </w:pPr>
          </w:p>
        </w:tc>
        <w:tc>
          <w:tcPr>
            <w:tcW w:w="820" w:type="dxa"/>
            <w:vAlign w:val="bottom"/>
            <w:shd w:val="clear" w:color="auto" w:fill="D0E0F0"/>
          </w:tcPr>
          <w:p>
            <w:pPr>
              <w:spacing w:after="0"/>
              <w:rPr>
                <w:sz w:val="14"/>
                <w:szCs w:val="14"/>
                <w:color w:val="auto"/>
              </w:rPr>
            </w:pPr>
          </w:p>
        </w:tc>
        <w:tc>
          <w:tcPr>
            <w:tcW w:w="940" w:type="dxa"/>
            <w:vAlign w:val="bottom"/>
            <w:shd w:val="clear" w:color="auto" w:fill="D0E0F0"/>
          </w:tcPr>
          <w:p>
            <w:pPr>
              <w:spacing w:after="0"/>
              <w:rPr>
                <w:sz w:val="14"/>
                <w:szCs w:val="14"/>
                <w:color w:val="auto"/>
              </w:rPr>
            </w:pPr>
          </w:p>
        </w:tc>
        <w:tc>
          <w:tcPr>
            <w:tcW w:w="800" w:type="dxa"/>
            <w:vAlign w:val="bottom"/>
            <w:shd w:val="clear" w:color="auto" w:fill="D0E0F0"/>
          </w:tcPr>
          <w:p>
            <w:pPr>
              <w:spacing w:after="0"/>
              <w:rPr>
                <w:sz w:val="14"/>
                <w:szCs w:val="14"/>
                <w:color w:val="auto"/>
              </w:rPr>
            </w:pPr>
          </w:p>
        </w:tc>
        <w:tc>
          <w:tcPr>
            <w:tcW w:w="220" w:type="dxa"/>
            <w:vAlign w:val="bottom"/>
            <w:shd w:val="clear" w:color="auto" w:fill="D0E0F0"/>
          </w:tcPr>
          <w:p>
            <w:pPr>
              <w:spacing w:after="0"/>
              <w:rPr>
                <w:sz w:val="14"/>
                <w:szCs w:val="14"/>
                <w:color w:val="auto"/>
              </w:rPr>
            </w:pPr>
          </w:p>
        </w:tc>
        <w:tc>
          <w:tcPr>
            <w:tcW w:w="960" w:type="dxa"/>
            <w:vAlign w:val="bottom"/>
            <w:shd w:val="clear" w:color="auto" w:fill="D0E0F0"/>
          </w:tcPr>
          <w:p>
            <w:pPr>
              <w:spacing w:after="0"/>
              <w:rPr>
                <w:sz w:val="14"/>
                <w:szCs w:val="14"/>
                <w:color w:val="auto"/>
              </w:rPr>
            </w:pPr>
          </w:p>
        </w:tc>
        <w:tc>
          <w:tcPr>
            <w:tcW w:w="1120" w:type="dxa"/>
            <w:vAlign w:val="bottom"/>
            <w:vMerge w:val="continue"/>
            <w:shd w:val="clear" w:color="auto" w:fill="D0E0F0"/>
          </w:tcPr>
          <w:p>
            <w:pPr>
              <w:spacing w:after="0"/>
              <w:rPr>
                <w:sz w:val="14"/>
                <w:szCs w:val="14"/>
                <w:color w:val="auto"/>
              </w:rPr>
            </w:pPr>
          </w:p>
        </w:tc>
        <w:tc>
          <w:tcPr>
            <w:tcW w:w="980" w:type="dxa"/>
            <w:vAlign w:val="bottom"/>
            <w:shd w:val="clear" w:color="auto" w:fill="D0E0F0"/>
          </w:tcPr>
          <w:p>
            <w:pPr>
              <w:jc w:val="center"/>
              <w:ind w:right="108"/>
              <w:spacing w:after="0"/>
              <w:rPr>
                <w:sz w:val="20"/>
                <w:szCs w:val="20"/>
                <w:color w:val="auto"/>
              </w:rPr>
            </w:pPr>
            <w:r>
              <w:rPr>
                <w:rFonts w:ascii="Arial" w:cs="Arial" w:eastAsia="Arial" w:hAnsi="Arial"/>
                <w:sz w:val="14"/>
                <w:szCs w:val="14"/>
                <w:color w:val="auto"/>
              </w:rPr>
              <w:t>607,125</w:t>
            </w:r>
          </w:p>
        </w:tc>
        <w:tc>
          <w:tcPr>
            <w:tcW w:w="0" w:type="dxa"/>
            <w:vAlign w:val="bottom"/>
          </w:tcPr>
          <w:p>
            <w:pPr>
              <w:spacing w:after="0"/>
              <w:rPr>
                <w:sz w:val="1"/>
                <w:szCs w:val="1"/>
                <w:color w:val="auto"/>
              </w:rPr>
            </w:pPr>
          </w:p>
        </w:tc>
      </w:tr>
      <w:tr>
        <w:trPr>
          <w:trHeight w:val="162"/>
        </w:trPr>
        <w:tc>
          <w:tcPr>
            <w:tcW w:w="2300" w:type="dxa"/>
            <w:vAlign w:val="bottom"/>
            <w:shd w:val="clear" w:color="auto" w:fill="D0E0F0"/>
          </w:tcPr>
          <w:p>
            <w:pPr>
              <w:spacing w:after="0"/>
              <w:rPr>
                <w:sz w:val="14"/>
                <w:szCs w:val="14"/>
                <w:color w:val="auto"/>
              </w:rPr>
            </w:pPr>
          </w:p>
        </w:tc>
        <w:tc>
          <w:tcPr>
            <w:tcW w:w="500" w:type="dxa"/>
            <w:vAlign w:val="bottom"/>
            <w:shd w:val="clear" w:color="auto" w:fill="D0E0F0"/>
          </w:tcPr>
          <w:p>
            <w:pPr>
              <w:spacing w:after="0"/>
              <w:rPr>
                <w:sz w:val="14"/>
                <w:szCs w:val="14"/>
                <w:color w:val="auto"/>
              </w:rPr>
            </w:pPr>
          </w:p>
        </w:tc>
        <w:tc>
          <w:tcPr>
            <w:tcW w:w="900" w:type="dxa"/>
            <w:vAlign w:val="bottom"/>
            <w:shd w:val="clear" w:color="auto" w:fill="D0E0F0"/>
          </w:tcPr>
          <w:p>
            <w:pPr>
              <w:spacing w:after="0"/>
              <w:rPr>
                <w:sz w:val="14"/>
                <w:szCs w:val="14"/>
                <w:color w:val="auto"/>
              </w:rPr>
            </w:pPr>
          </w:p>
        </w:tc>
        <w:tc>
          <w:tcPr>
            <w:tcW w:w="840" w:type="dxa"/>
            <w:vAlign w:val="bottom"/>
            <w:shd w:val="clear" w:color="auto" w:fill="D0E0F0"/>
          </w:tcPr>
          <w:p>
            <w:pPr>
              <w:spacing w:after="0"/>
              <w:rPr>
                <w:sz w:val="14"/>
                <w:szCs w:val="14"/>
                <w:color w:val="auto"/>
              </w:rPr>
            </w:pPr>
          </w:p>
        </w:tc>
        <w:tc>
          <w:tcPr>
            <w:tcW w:w="1040" w:type="dxa"/>
            <w:vAlign w:val="bottom"/>
            <w:shd w:val="clear" w:color="auto" w:fill="D0E0F0"/>
          </w:tcPr>
          <w:p>
            <w:pPr>
              <w:spacing w:after="0"/>
              <w:rPr>
                <w:sz w:val="14"/>
                <w:szCs w:val="14"/>
                <w:color w:val="auto"/>
              </w:rPr>
            </w:pPr>
          </w:p>
        </w:tc>
        <w:tc>
          <w:tcPr>
            <w:tcW w:w="820" w:type="dxa"/>
            <w:vAlign w:val="bottom"/>
            <w:shd w:val="clear" w:color="auto" w:fill="D0E0F0"/>
          </w:tcPr>
          <w:p>
            <w:pPr>
              <w:spacing w:after="0"/>
              <w:rPr>
                <w:sz w:val="14"/>
                <w:szCs w:val="14"/>
                <w:color w:val="auto"/>
              </w:rPr>
            </w:pPr>
          </w:p>
        </w:tc>
        <w:tc>
          <w:tcPr>
            <w:tcW w:w="940" w:type="dxa"/>
            <w:vAlign w:val="bottom"/>
            <w:shd w:val="clear" w:color="auto" w:fill="D0E0F0"/>
          </w:tcPr>
          <w:p>
            <w:pPr>
              <w:spacing w:after="0"/>
              <w:rPr>
                <w:sz w:val="14"/>
                <w:szCs w:val="14"/>
                <w:color w:val="auto"/>
              </w:rPr>
            </w:pPr>
          </w:p>
        </w:tc>
        <w:tc>
          <w:tcPr>
            <w:tcW w:w="800" w:type="dxa"/>
            <w:vAlign w:val="bottom"/>
            <w:shd w:val="clear" w:color="auto" w:fill="D0E0F0"/>
          </w:tcPr>
          <w:p>
            <w:pPr>
              <w:spacing w:after="0"/>
              <w:rPr>
                <w:sz w:val="14"/>
                <w:szCs w:val="14"/>
                <w:color w:val="auto"/>
              </w:rPr>
            </w:pPr>
          </w:p>
        </w:tc>
        <w:tc>
          <w:tcPr>
            <w:tcW w:w="220" w:type="dxa"/>
            <w:vAlign w:val="bottom"/>
            <w:shd w:val="clear" w:color="auto" w:fill="D0E0F0"/>
          </w:tcPr>
          <w:p>
            <w:pPr>
              <w:spacing w:after="0"/>
              <w:rPr>
                <w:sz w:val="14"/>
                <w:szCs w:val="14"/>
                <w:color w:val="auto"/>
              </w:rPr>
            </w:pPr>
          </w:p>
        </w:tc>
        <w:tc>
          <w:tcPr>
            <w:tcW w:w="960" w:type="dxa"/>
            <w:vAlign w:val="bottom"/>
            <w:shd w:val="clear" w:color="auto" w:fill="D0E0F0"/>
          </w:tcPr>
          <w:p>
            <w:pPr>
              <w:spacing w:after="0"/>
              <w:rPr>
                <w:sz w:val="14"/>
                <w:szCs w:val="14"/>
                <w:color w:val="auto"/>
              </w:rPr>
            </w:pPr>
          </w:p>
        </w:tc>
        <w:tc>
          <w:tcPr>
            <w:tcW w:w="1120" w:type="dxa"/>
            <w:vAlign w:val="bottom"/>
            <w:shd w:val="clear" w:color="auto" w:fill="D0E0F0"/>
          </w:tcPr>
          <w:p>
            <w:pPr>
              <w:spacing w:after="0"/>
              <w:rPr>
                <w:sz w:val="14"/>
                <w:szCs w:val="14"/>
                <w:color w:val="auto"/>
              </w:rPr>
            </w:pPr>
          </w:p>
        </w:tc>
        <w:tc>
          <w:tcPr>
            <w:tcW w:w="980" w:type="dxa"/>
            <w:vAlign w:val="bottom"/>
            <w:shd w:val="clear" w:color="auto" w:fill="D0E0F0"/>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0" w:type="dxa"/>
            <w:vAlign w:val="bottom"/>
            <w:gridSpan w:val="2"/>
          </w:tcPr>
          <w:p>
            <w:pPr>
              <w:spacing w:after="0"/>
              <w:rPr>
                <w:sz w:val="20"/>
                <w:szCs w:val="20"/>
                <w:color w:val="auto"/>
              </w:rPr>
            </w:pPr>
            <w:r>
              <w:rPr>
                <w:rFonts w:ascii="Arial" w:cs="Arial" w:eastAsia="Arial" w:hAnsi="Arial"/>
                <w:sz w:val="14"/>
                <w:szCs w:val="14"/>
                <w:color w:val="auto"/>
              </w:rPr>
              <w:t>Rembert de Villa</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2/24/2016</w:t>
            </w:r>
          </w:p>
        </w:tc>
        <w:tc>
          <w:tcPr>
            <w:tcW w:w="840" w:type="dxa"/>
            <w:vAlign w:val="bottom"/>
          </w:tcPr>
          <w:p>
            <w:pPr>
              <w:spacing w:after="0"/>
              <w:rPr>
                <w:sz w:val="15"/>
                <w:szCs w:val="15"/>
                <w:color w:val="auto"/>
              </w:rPr>
            </w:pPr>
          </w:p>
        </w:tc>
        <w:tc>
          <w:tcPr>
            <w:tcW w:w="1040" w:type="dxa"/>
            <w:vAlign w:val="bottom"/>
          </w:tcPr>
          <w:p>
            <w:pPr>
              <w:jc w:val="right"/>
              <w:ind w:right="150"/>
              <w:spacing w:after="0"/>
              <w:rPr>
                <w:sz w:val="20"/>
                <w:szCs w:val="20"/>
                <w:color w:val="auto"/>
              </w:rPr>
            </w:pPr>
            <w:r>
              <w:rPr>
                <w:rFonts w:ascii="Arial" w:cs="Arial" w:eastAsia="Arial" w:hAnsi="Arial"/>
                <w:sz w:val="14"/>
                <w:szCs w:val="14"/>
                <w:color w:val="auto"/>
              </w:rPr>
              <w:t>305,635</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611,270</w:t>
            </w:r>
          </w:p>
        </w:tc>
        <w:tc>
          <w:tcPr>
            <w:tcW w:w="9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3,000</w:t>
            </w:r>
          </w:p>
        </w:tc>
        <w:tc>
          <w:tcPr>
            <w:tcW w:w="220" w:type="dxa"/>
            <w:vAlign w:val="bottom"/>
            <w:vMerge w:val="restart"/>
          </w:tcPr>
          <w:p>
            <w:pPr>
              <w:jc w:val="right"/>
              <w:ind w:right="20"/>
              <w:spacing w:after="0"/>
              <w:rPr>
                <w:sz w:val="20"/>
                <w:szCs w:val="20"/>
                <w:color w:val="auto"/>
              </w:rPr>
            </w:pPr>
            <w:r>
              <w:rPr>
                <w:rFonts w:ascii="Arial" w:cs="Arial" w:eastAsia="Arial" w:hAnsi="Arial"/>
                <w:sz w:val="12"/>
                <w:szCs w:val="12"/>
                <w:color w:val="auto"/>
                <w:w w:val="81"/>
              </w:rPr>
              <w:t>(2)</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6,000</w:t>
            </w:r>
          </w:p>
        </w:tc>
        <w:tc>
          <w:tcPr>
            <w:tcW w:w="1120" w:type="dxa"/>
            <w:vAlign w:val="bottom"/>
          </w:tcPr>
          <w:p>
            <w:pPr>
              <w:spacing w:after="0"/>
              <w:rPr>
                <w:sz w:val="15"/>
                <w:szCs w:val="15"/>
                <w:color w:val="auto"/>
              </w:rPr>
            </w:pPr>
          </w:p>
        </w:tc>
        <w:tc>
          <w:tcPr>
            <w:tcW w:w="980" w:type="dxa"/>
            <w:vAlign w:val="bottom"/>
            <w:vMerge w:val="restart"/>
          </w:tcPr>
          <w:p>
            <w:pPr>
              <w:jc w:val="center"/>
              <w:ind w:right="108"/>
              <w:spacing w:after="0"/>
              <w:rPr>
                <w:sz w:val="20"/>
                <w:szCs w:val="20"/>
                <w:color w:val="auto"/>
              </w:rPr>
            </w:pPr>
            <w:r>
              <w:rPr>
                <w:rFonts w:ascii="Arial" w:cs="Arial" w:eastAsia="Arial" w:hAnsi="Arial"/>
                <w:sz w:val="14"/>
                <w:szCs w:val="14"/>
                <w:color w:val="auto"/>
              </w:rPr>
              <w:t>145,710</w:t>
            </w:r>
          </w:p>
        </w:tc>
        <w:tc>
          <w:tcPr>
            <w:tcW w:w="0" w:type="dxa"/>
            <w:vAlign w:val="bottom"/>
          </w:tcPr>
          <w:p>
            <w:pPr>
              <w:spacing w:after="0"/>
              <w:rPr>
                <w:sz w:val="1"/>
                <w:szCs w:val="1"/>
                <w:color w:val="auto"/>
              </w:rPr>
            </w:pPr>
          </w:p>
        </w:tc>
      </w:tr>
      <w:tr>
        <w:trPr>
          <w:trHeight w:val="147"/>
        </w:trPr>
        <w:tc>
          <w:tcPr>
            <w:tcW w:w="2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2/24/2016</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3,000</w:t>
            </w:r>
          </w:p>
        </w:tc>
        <w:tc>
          <w:tcPr>
            <w:tcW w:w="220" w:type="dxa"/>
            <w:vAlign w:val="bottom"/>
          </w:tcPr>
          <w:p>
            <w:pPr>
              <w:jc w:val="right"/>
              <w:ind w:right="20"/>
              <w:spacing w:after="0"/>
              <w:rPr>
                <w:sz w:val="20"/>
                <w:szCs w:val="20"/>
                <w:color w:val="auto"/>
              </w:rPr>
            </w:pPr>
            <w:r>
              <w:rPr>
                <w:rFonts w:ascii="Arial" w:cs="Arial" w:eastAsia="Arial" w:hAnsi="Arial"/>
                <w:sz w:val="12"/>
                <w:szCs w:val="12"/>
                <w:color w:val="auto"/>
                <w:w w:val="81"/>
              </w:rPr>
              <w:t>(3)</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6,000</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6,000</w:t>
            </w:r>
            <w:r>
              <w:rPr>
                <w:rFonts w:ascii="Arial" w:cs="Arial" w:eastAsia="Arial" w:hAnsi="Arial"/>
                <w:sz w:val="23"/>
                <w:szCs w:val="23"/>
                <w:color w:val="auto"/>
                <w:vertAlign w:val="superscript"/>
              </w:rPr>
              <w:t>(4)</w:t>
            </w:r>
          </w:p>
        </w:tc>
        <w:tc>
          <w:tcPr>
            <w:tcW w:w="980" w:type="dxa"/>
            <w:vAlign w:val="bottom"/>
          </w:tcPr>
          <w:p>
            <w:pPr>
              <w:jc w:val="center"/>
              <w:ind w:right="108"/>
              <w:spacing w:after="0"/>
              <w:rPr>
                <w:sz w:val="20"/>
                <w:szCs w:val="20"/>
                <w:color w:val="auto"/>
              </w:rPr>
            </w:pPr>
            <w:r>
              <w:rPr>
                <w:rFonts w:ascii="Arial" w:cs="Arial" w:eastAsia="Arial" w:hAnsi="Arial"/>
                <w:sz w:val="14"/>
                <w:szCs w:val="14"/>
                <w:color w:val="auto"/>
              </w:rPr>
              <w:t>203,820</w:t>
            </w:r>
          </w:p>
        </w:tc>
        <w:tc>
          <w:tcPr>
            <w:tcW w:w="0" w:type="dxa"/>
            <w:vAlign w:val="bottom"/>
          </w:tcPr>
          <w:p>
            <w:pPr>
              <w:spacing w:after="0"/>
              <w:rPr>
                <w:sz w:val="1"/>
                <w:szCs w:val="1"/>
                <w:color w:val="auto"/>
              </w:rPr>
            </w:pPr>
          </w:p>
        </w:tc>
      </w:tr>
      <w:tr>
        <w:trPr>
          <w:trHeight w:val="311"/>
        </w:trPr>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2/24/2016</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980" w:type="dxa"/>
            <w:vAlign w:val="bottom"/>
          </w:tcPr>
          <w:p>
            <w:pPr>
              <w:jc w:val="center"/>
              <w:ind w:right="108"/>
              <w:spacing w:after="0"/>
              <w:rPr>
                <w:sz w:val="20"/>
                <w:szCs w:val="20"/>
                <w:color w:val="auto"/>
              </w:rPr>
            </w:pPr>
            <w:r>
              <w:rPr>
                <w:rFonts w:ascii="Arial" w:cs="Arial" w:eastAsia="Arial" w:hAnsi="Arial"/>
                <w:sz w:val="14"/>
                <w:szCs w:val="14"/>
                <w:color w:val="auto"/>
              </w:rPr>
              <w:t>291,420</w:t>
            </w:r>
          </w:p>
        </w:tc>
        <w:tc>
          <w:tcPr>
            <w:tcW w:w="0" w:type="dxa"/>
            <w:vAlign w:val="bottom"/>
          </w:tcPr>
          <w:p>
            <w:pPr>
              <w:spacing w:after="0"/>
              <w:rPr>
                <w:sz w:val="1"/>
                <w:szCs w:val="1"/>
                <w:color w:val="auto"/>
              </w:rPr>
            </w:pPr>
          </w:p>
        </w:tc>
      </w:tr>
      <w:tr>
        <w:trPr>
          <w:trHeight w:val="171"/>
        </w:trPr>
        <w:tc>
          <w:tcPr>
            <w:tcW w:w="2800" w:type="dxa"/>
            <w:vAlign w:val="bottom"/>
            <w:gridSpan w:val="2"/>
            <w:shd w:val="clear" w:color="auto" w:fill="D0E0F0"/>
          </w:tcPr>
          <w:p>
            <w:pPr>
              <w:spacing w:after="0"/>
              <w:rPr>
                <w:sz w:val="20"/>
                <w:szCs w:val="20"/>
                <w:color w:val="auto"/>
              </w:rPr>
            </w:pPr>
            <w:r>
              <w:rPr>
                <w:rFonts w:ascii="Arial" w:cs="Arial" w:eastAsia="Arial" w:hAnsi="Arial"/>
                <w:sz w:val="14"/>
                <w:szCs w:val="14"/>
                <w:color w:val="auto"/>
              </w:rPr>
              <w:t>Nalin Miglani</w:t>
            </w:r>
          </w:p>
        </w:tc>
        <w:tc>
          <w:tcPr>
            <w:tcW w:w="900" w:type="dxa"/>
            <w:vAlign w:val="bottom"/>
            <w:vMerge w:val="restart"/>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840" w:type="dxa"/>
            <w:vAlign w:val="bottom"/>
            <w:shd w:val="clear" w:color="auto" w:fill="D0E0F0"/>
          </w:tcPr>
          <w:p>
            <w:pPr>
              <w:spacing w:after="0"/>
              <w:rPr>
                <w:sz w:val="14"/>
                <w:szCs w:val="14"/>
                <w:color w:val="auto"/>
              </w:rPr>
            </w:pPr>
          </w:p>
        </w:tc>
        <w:tc>
          <w:tcPr>
            <w:tcW w:w="1040" w:type="dxa"/>
            <w:vAlign w:val="bottom"/>
            <w:shd w:val="clear" w:color="auto" w:fill="D0E0F0"/>
          </w:tcPr>
          <w:p>
            <w:pPr>
              <w:jc w:val="right"/>
              <w:ind w:right="150"/>
              <w:spacing w:after="0"/>
              <w:rPr>
                <w:sz w:val="20"/>
                <w:szCs w:val="20"/>
                <w:color w:val="auto"/>
              </w:rPr>
            </w:pPr>
            <w:r>
              <w:rPr>
                <w:rFonts w:ascii="Arial" w:cs="Arial" w:eastAsia="Arial" w:hAnsi="Arial"/>
                <w:sz w:val="14"/>
                <w:szCs w:val="14"/>
                <w:color w:val="auto"/>
              </w:rPr>
              <w:t>244,508</w:t>
            </w:r>
          </w:p>
        </w:tc>
        <w:tc>
          <w:tcPr>
            <w:tcW w:w="820" w:type="dxa"/>
            <w:vAlign w:val="bottom"/>
            <w:shd w:val="clear" w:color="auto" w:fill="D0E0F0"/>
          </w:tcPr>
          <w:p>
            <w:pPr>
              <w:jc w:val="right"/>
              <w:ind w:right="88"/>
              <w:spacing w:after="0"/>
              <w:rPr>
                <w:sz w:val="20"/>
                <w:szCs w:val="20"/>
                <w:color w:val="auto"/>
              </w:rPr>
            </w:pPr>
            <w:r>
              <w:rPr>
                <w:rFonts w:ascii="Arial" w:cs="Arial" w:eastAsia="Arial" w:hAnsi="Arial"/>
                <w:sz w:val="14"/>
                <w:szCs w:val="14"/>
                <w:color w:val="auto"/>
              </w:rPr>
              <w:t>489,016</w:t>
            </w:r>
          </w:p>
        </w:tc>
        <w:tc>
          <w:tcPr>
            <w:tcW w:w="940" w:type="dxa"/>
            <w:vAlign w:val="bottom"/>
            <w:shd w:val="clear" w:color="auto" w:fill="D0E0F0"/>
          </w:tcPr>
          <w:p>
            <w:pPr>
              <w:spacing w:after="0"/>
              <w:rPr>
                <w:sz w:val="14"/>
                <w:szCs w:val="14"/>
                <w:color w:val="auto"/>
              </w:rPr>
            </w:pPr>
          </w:p>
        </w:tc>
        <w:tc>
          <w:tcPr>
            <w:tcW w:w="800" w:type="dxa"/>
            <w:vAlign w:val="bottom"/>
            <w:vMerge w:val="restart"/>
            <w:shd w:val="clear" w:color="auto" w:fill="D0E0F0"/>
          </w:tcPr>
          <w:p>
            <w:pPr>
              <w:jc w:val="right"/>
              <w:spacing w:after="0"/>
              <w:rPr>
                <w:sz w:val="20"/>
                <w:szCs w:val="20"/>
                <w:color w:val="auto"/>
              </w:rPr>
            </w:pPr>
            <w:r>
              <w:rPr>
                <w:rFonts w:ascii="Arial" w:cs="Arial" w:eastAsia="Arial" w:hAnsi="Arial"/>
                <w:sz w:val="14"/>
                <w:szCs w:val="14"/>
                <w:color w:val="auto"/>
              </w:rPr>
              <w:t>3,000</w:t>
            </w:r>
          </w:p>
        </w:tc>
        <w:tc>
          <w:tcPr>
            <w:tcW w:w="220" w:type="dxa"/>
            <w:vAlign w:val="bottom"/>
            <w:vMerge w:val="restart"/>
            <w:shd w:val="clear" w:color="auto" w:fill="D0E0F0"/>
          </w:tcPr>
          <w:p>
            <w:pPr>
              <w:jc w:val="right"/>
              <w:ind w:right="20"/>
              <w:spacing w:after="0"/>
              <w:rPr>
                <w:sz w:val="20"/>
                <w:szCs w:val="20"/>
                <w:color w:val="auto"/>
              </w:rPr>
            </w:pPr>
            <w:r>
              <w:rPr>
                <w:rFonts w:ascii="Arial" w:cs="Arial" w:eastAsia="Arial" w:hAnsi="Arial"/>
                <w:sz w:val="12"/>
                <w:szCs w:val="12"/>
                <w:color w:val="auto"/>
                <w:w w:val="81"/>
              </w:rPr>
              <w:t>(2)</w:t>
            </w:r>
          </w:p>
        </w:tc>
        <w:tc>
          <w:tcPr>
            <w:tcW w:w="960" w:type="dxa"/>
            <w:vAlign w:val="bottom"/>
            <w:vMerge w:val="restart"/>
            <w:shd w:val="clear" w:color="auto" w:fill="D0E0F0"/>
          </w:tcPr>
          <w:p>
            <w:pPr>
              <w:jc w:val="right"/>
              <w:ind w:right="228"/>
              <w:spacing w:after="0"/>
              <w:rPr>
                <w:sz w:val="20"/>
                <w:szCs w:val="20"/>
                <w:color w:val="auto"/>
              </w:rPr>
            </w:pPr>
            <w:r>
              <w:rPr>
                <w:rFonts w:ascii="Arial" w:cs="Arial" w:eastAsia="Arial" w:hAnsi="Arial"/>
                <w:sz w:val="14"/>
                <w:szCs w:val="14"/>
                <w:color w:val="auto"/>
              </w:rPr>
              <w:t>6,000</w:t>
            </w:r>
          </w:p>
        </w:tc>
        <w:tc>
          <w:tcPr>
            <w:tcW w:w="1120" w:type="dxa"/>
            <w:vAlign w:val="bottom"/>
            <w:shd w:val="clear" w:color="auto" w:fill="D0E0F0"/>
          </w:tcPr>
          <w:p>
            <w:pPr>
              <w:spacing w:after="0"/>
              <w:rPr>
                <w:sz w:val="14"/>
                <w:szCs w:val="14"/>
                <w:color w:val="auto"/>
              </w:rPr>
            </w:pPr>
          </w:p>
        </w:tc>
        <w:tc>
          <w:tcPr>
            <w:tcW w:w="980" w:type="dxa"/>
            <w:vAlign w:val="bottom"/>
            <w:vMerge w:val="restart"/>
            <w:shd w:val="clear" w:color="auto" w:fill="D0E0F0"/>
          </w:tcPr>
          <w:p>
            <w:pPr>
              <w:jc w:val="center"/>
              <w:ind w:right="108"/>
              <w:spacing w:after="0"/>
              <w:rPr>
                <w:sz w:val="20"/>
                <w:szCs w:val="20"/>
                <w:color w:val="auto"/>
              </w:rPr>
            </w:pPr>
            <w:r>
              <w:rPr>
                <w:rFonts w:ascii="Arial" w:cs="Arial" w:eastAsia="Arial" w:hAnsi="Arial"/>
                <w:sz w:val="14"/>
                <w:szCs w:val="14"/>
                <w:color w:val="auto"/>
              </w:rPr>
              <w:t>145,710</w:t>
            </w:r>
          </w:p>
        </w:tc>
        <w:tc>
          <w:tcPr>
            <w:tcW w:w="0" w:type="dxa"/>
            <w:vAlign w:val="bottom"/>
          </w:tcPr>
          <w:p>
            <w:pPr>
              <w:spacing w:after="0"/>
              <w:rPr>
                <w:sz w:val="1"/>
                <w:szCs w:val="1"/>
                <w:color w:val="auto"/>
              </w:rPr>
            </w:pPr>
          </w:p>
        </w:tc>
      </w:tr>
      <w:tr>
        <w:trPr>
          <w:trHeight w:val="162"/>
        </w:trPr>
        <w:tc>
          <w:tcPr>
            <w:tcW w:w="2300" w:type="dxa"/>
            <w:vAlign w:val="bottom"/>
            <w:shd w:val="clear" w:color="auto" w:fill="D0E0F0"/>
          </w:tcPr>
          <w:p>
            <w:pPr>
              <w:spacing w:after="0"/>
              <w:rPr>
                <w:sz w:val="14"/>
                <w:szCs w:val="14"/>
                <w:color w:val="auto"/>
              </w:rPr>
            </w:pPr>
          </w:p>
        </w:tc>
        <w:tc>
          <w:tcPr>
            <w:tcW w:w="500" w:type="dxa"/>
            <w:vAlign w:val="bottom"/>
            <w:shd w:val="clear" w:color="auto" w:fill="D0E0F0"/>
          </w:tcPr>
          <w:p>
            <w:pPr>
              <w:spacing w:after="0"/>
              <w:rPr>
                <w:sz w:val="14"/>
                <w:szCs w:val="14"/>
                <w:color w:val="auto"/>
              </w:rPr>
            </w:pPr>
          </w:p>
        </w:tc>
        <w:tc>
          <w:tcPr>
            <w:tcW w:w="900" w:type="dxa"/>
            <w:vAlign w:val="bottom"/>
            <w:vMerge w:val="continue"/>
            <w:shd w:val="clear" w:color="auto" w:fill="D0E0F0"/>
          </w:tcPr>
          <w:p>
            <w:pPr>
              <w:spacing w:after="0"/>
              <w:rPr>
                <w:sz w:val="14"/>
                <w:szCs w:val="14"/>
                <w:color w:val="auto"/>
              </w:rPr>
            </w:pPr>
          </w:p>
        </w:tc>
        <w:tc>
          <w:tcPr>
            <w:tcW w:w="840" w:type="dxa"/>
            <w:vAlign w:val="bottom"/>
            <w:shd w:val="clear" w:color="auto" w:fill="D0E0F0"/>
          </w:tcPr>
          <w:p>
            <w:pPr>
              <w:spacing w:after="0"/>
              <w:rPr>
                <w:sz w:val="14"/>
                <w:szCs w:val="14"/>
                <w:color w:val="auto"/>
              </w:rPr>
            </w:pPr>
          </w:p>
        </w:tc>
        <w:tc>
          <w:tcPr>
            <w:tcW w:w="1040" w:type="dxa"/>
            <w:vAlign w:val="bottom"/>
            <w:shd w:val="clear" w:color="auto" w:fill="D0E0F0"/>
          </w:tcPr>
          <w:p>
            <w:pPr>
              <w:spacing w:after="0"/>
              <w:rPr>
                <w:sz w:val="14"/>
                <w:szCs w:val="14"/>
                <w:color w:val="auto"/>
              </w:rPr>
            </w:pPr>
          </w:p>
        </w:tc>
        <w:tc>
          <w:tcPr>
            <w:tcW w:w="820" w:type="dxa"/>
            <w:vAlign w:val="bottom"/>
            <w:shd w:val="clear" w:color="auto" w:fill="D0E0F0"/>
          </w:tcPr>
          <w:p>
            <w:pPr>
              <w:spacing w:after="0"/>
              <w:rPr>
                <w:sz w:val="14"/>
                <w:szCs w:val="14"/>
                <w:color w:val="auto"/>
              </w:rPr>
            </w:pPr>
          </w:p>
        </w:tc>
        <w:tc>
          <w:tcPr>
            <w:tcW w:w="940" w:type="dxa"/>
            <w:vAlign w:val="bottom"/>
            <w:shd w:val="clear" w:color="auto" w:fill="D0E0F0"/>
          </w:tcPr>
          <w:p>
            <w:pPr>
              <w:spacing w:after="0"/>
              <w:rPr>
                <w:sz w:val="14"/>
                <w:szCs w:val="14"/>
                <w:color w:val="auto"/>
              </w:rPr>
            </w:pPr>
          </w:p>
        </w:tc>
        <w:tc>
          <w:tcPr>
            <w:tcW w:w="800" w:type="dxa"/>
            <w:vAlign w:val="bottom"/>
            <w:vMerge w:val="continue"/>
            <w:shd w:val="clear" w:color="auto" w:fill="D0E0F0"/>
          </w:tcPr>
          <w:p>
            <w:pPr>
              <w:spacing w:after="0"/>
              <w:rPr>
                <w:sz w:val="14"/>
                <w:szCs w:val="14"/>
                <w:color w:val="auto"/>
              </w:rPr>
            </w:pPr>
          </w:p>
        </w:tc>
        <w:tc>
          <w:tcPr>
            <w:tcW w:w="220" w:type="dxa"/>
            <w:vAlign w:val="bottom"/>
            <w:vMerge w:val="continue"/>
            <w:shd w:val="clear" w:color="auto" w:fill="D0E0F0"/>
          </w:tcPr>
          <w:p>
            <w:pPr>
              <w:spacing w:after="0"/>
              <w:rPr>
                <w:sz w:val="14"/>
                <w:szCs w:val="14"/>
                <w:color w:val="auto"/>
              </w:rPr>
            </w:pPr>
          </w:p>
        </w:tc>
        <w:tc>
          <w:tcPr>
            <w:tcW w:w="960" w:type="dxa"/>
            <w:vAlign w:val="bottom"/>
            <w:vMerge w:val="continue"/>
            <w:shd w:val="clear" w:color="auto" w:fill="D0E0F0"/>
          </w:tcPr>
          <w:p>
            <w:pPr>
              <w:spacing w:after="0"/>
              <w:rPr>
                <w:sz w:val="14"/>
                <w:szCs w:val="14"/>
                <w:color w:val="auto"/>
              </w:rPr>
            </w:pPr>
          </w:p>
        </w:tc>
        <w:tc>
          <w:tcPr>
            <w:tcW w:w="1120" w:type="dxa"/>
            <w:vAlign w:val="bottom"/>
            <w:shd w:val="clear" w:color="auto" w:fill="D0E0F0"/>
          </w:tcPr>
          <w:p>
            <w:pPr>
              <w:spacing w:after="0"/>
              <w:rPr>
                <w:sz w:val="14"/>
                <w:szCs w:val="14"/>
                <w:color w:val="auto"/>
              </w:rPr>
            </w:pPr>
          </w:p>
        </w:tc>
        <w:tc>
          <w:tcPr>
            <w:tcW w:w="980" w:type="dxa"/>
            <w:vAlign w:val="bottom"/>
            <w:vMerge w:val="continue"/>
            <w:shd w:val="clear" w:color="auto" w:fill="D0E0F0"/>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D0E0F0"/>
          </w:tcPr>
          <w:p>
            <w:pPr>
              <w:spacing w:after="0"/>
              <w:rPr>
                <w:sz w:val="14"/>
                <w:szCs w:val="14"/>
                <w:color w:val="auto"/>
              </w:rPr>
            </w:pPr>
          </w:p>
        </w:tc>
        <w:tc>
          <w:tcPr>
            <w:tcW w:w="500" w:type="dxa"/>
            <w:vAlign w:val="bottom"/>
            <w:shd w:val="clear" w:color="auto" w:fill="D0E0F0"/>
          </w:tcPr>
          <w:p>
            <w:pPr>
              <w:spacing w:after="0"/>
              <w:rPr>
                <w:sz w:val="14"/>
                <w:szCs w:val="14"/>
                <w:color w:val="auto"/>
              </w:rPr>
            </w:pPr>
          </w:p>
        </w:tc>
        <w:tc>
          <w:tcPr>
            <w:tcW w:w="90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840" w:type="dxa"/>
            <w:vAlign w:val="bottom"/>
            <w:shd w:val="clear" w:color="auto" w:fill="D0E0F0"/>
          </w:tcPr>
          <w:p>
            <w:pPr>
              <w:spacing w:after="0"/>
              <w:rPr>
                <w:sz w:val="14"/>
                <w:szCs w:val="14"/>
                <w:color w:val="auto"/>
              </w:rPr>
            </w:pPr>
          </w:p>
        </w:tc>
        <w:tc>
          <w:tcPr>
            <w:tcW w:w="1040" w:type="dxa"/>
            <w:vAlign w:val="bottom"/>
            <w:shd w:val="clear" w:color="auto" w:fill="D0E0F0"/>
          </w:tcPr>
          <w:p>
            <w:pPr>
              <w:spacing w:after="0"/>
              <w:rPr>
                <w:sz w:val="14"/>
                <w:szCs w:val="14"/>
                <w:color w:val="auto"/>
              </w:rPr>
            </w:pPr>
          </w:p>
        </w:tc>
        <w:tc>
          <w:tcPr>
            <w:tcW w:w="820" w:type="dxa"/>
            <w:vAlign w:val="bottom"/>
            <w:shd w:val="clear" w:color="auto" w:fill="D0E0F0"/>
          </w:tcPr>
          <w:p>
            <w:pPr>
              <w:spacing w:after="0"/>
              <w:rPr>
                <w:sz w:val="14"/>
                <w:szCs w:val="14"/>
                <w:color w:val="auto"/>
              </w:rPr>
            </w:pPr>
          </w:p>
        </w:tc>
        <w:tc>
          <w:tcPr>
            <w:tcW w:w="940" w:type="dxa"/>
            <w:vAlign w:val="bottom"/>
            <w:shd w:val="clear" w:color="auto" w:fill="D0E0F0"/>
          </w:tcPr>
          <w:p>
            <w:pPr>
              <w:spacing w:after="0"/>
              <w:rPr>
                <w:sz w:val="14"/>
                <w:szCs w:val="14"/>
                <w:color w:val="auto"/>
              </w:rPr>
            </w:pPr>
          </w:p>
        </w:tc>
        <w:tc>
          <w:tcPr>
            <w:tcW w:w="800" w:type="dxa"/>
            <w:vAlign w:val="bottom"/>
            <w:shd w:val="clear" w:color="auto" w:fill="D0E0F0"/>
          </w:tcPr>
          <w:p>
            <w:pPr>
              <w:jc w:val="right"/>
              <w:spacing w:after="0"/>
              <w:rPr>
                <w:sz w:val="20"/>
                <w:szCs w:val="20"/>
                <w:color w:val="auto"/>
              </w:rPr>
            </w:pPr>
            <w:r>
              <w:rPr>
                <w:rFonts w:ascii="Arial" w:cs="Arial" w:eastAsia="Arial" w:hAnsi="Arial"/>
                <w:sz w:val="14"/>
                <w:szCs w:val="14"/>
                <w:color w:val="auto"/>
              </w:rPr>
              <w:t>3,000</w:t>
            </w:r>
          </w:p>
        </w:tc>
        <w:tc>
          <w:tcPr>
            <w:tcW w:w="220" w:type="dxa"/>
            <w:vAlign w:val="bottom"/>
            <w:shd w:val="clear" w:color="auto" w:fill="D0E0F0"/>
          </w:tcPr>
          <w:p>
            <w:pPr>
              <w:jc w:val="right"/>
              <w:ind w:right="20"/>
              <w:spacing w:after="0"/>
              <w:rPr>
                <w:sz w:val="20"/>
                <w:szCs w:val="20"/>
                <w:color w:val="auto"/>
              </w:rPr>
            </w:pPr>
            <w:r>
              <w:rPr>
                <w:rFonts w:ascii="Arial" w:cs="Arial" w:eastAsia="Arial" w:hAnsi="Arial"/>
                <w:sz w:val="12"/>
                <w:szCs w:val="12"/>
                <w:color w:val="auto"/>
                <w:w w:val="81"/>
              </w:rPr>
              <w:t>(3)</w:t>
            </w:r>
          </w:p>
        </w:tc>
        <w:tc>
          <w:tcPr>
            <w:tcW w:w="960" w:type="dxa"/>
            <w:vAlign w:val="bottom"/>
            <w:shd w:val="clear" w:color="auto" w:fill="D0E0F0"/>
          </w:tcPr>
          <w:p>
            <w:pPr>
              <w:jc w:val="right"/>
              <w:ind w:right="228"/>
              <w:spacing w:after="0"/>
              <w:rPr>
                <w:sz w:val="20"/>
                <w:szCs w:val="20"/>
                <w:color w:val="auto"/>
              </w:rPr>
            </w:pPr>
            <w:r>
              <w:rPr>
                <w:rFonts w:ascii="Arial" w:cs="Arial" w:eastAsia="Arial" w:hAnsi="Arial"/>
                <w:sz w:val="14"/>
                <w:szCs w:val="14"/>
                <w:color w:val="auto"/>
              </w:rPr>
              <w:t>6,000</w:t>
            </w:r>
          </w:p>
        </w:tc>
        <w:tc>
          <w:tcPr>
            <w:tcW w:w="1120" w:type="dxa"/>
            <w:vAlign w:val="bottom"/>
            <w:vMerge w:val="restart"/>
            <w:shd w:val="clear" w:color="auto" w:fill="D0E0F0"/>
          </w:tcPr>
          <w:p>
            <w:pPr>
              <w:jc w:val="right"/>
              <w:ind w:right="8"/>
              <w:spacing w:after="0"/>
              <w:rPr>
                <w:sz w:val="20"/>
                <w:szCs w:val="20"/>
                <w:color w:val="auto"/>
              </w:rPr>
            </w:pPr>
            <w:r>
              <w:rPr>
                <w:rFonts w:ascii="Arial" w:cs="Arial" w:eastAsia="Arial" w:hAnsi="Arial"/>
                <w:sz w:val="14"/>
                <w:szCs w:val="14"/>
                <w:color w:val="auto"/>
              </w:rPr>
              <w:t>6,000</w:t>
            </w:r>
            <w:r>
              <w:rPr>
                <w:rFonts w:ascii="Arial" w:cs="Arial" w:eastAsia="Arial" w:hAnsi="Arial"/>
                <w:sz w:val="23"/>
                <w:szCs w:val="23"/>
                <w:color w:val="auto"/>
                <w:vertAlign w:val="superscript"/>
              </w:rPr>
              <w:t>(4)</w:t>
            </w:r>
          </w:p>
        </w:tc>
        <w:tc>
          <w:tcPr>
            <w:tcW w:w="980" w:type="dxa"/>
            <w:vAlign w:val="bottom"/>
            <w:shd w:val="clear" w:color="auto" w:fill="D0E0F0"/>
          </w:tcPr>
          <w:p>
            <w:pPr>
              <w:jc w:val="center"/>
              <w:ind w:right="108"/>
              <w:spacing w:after="0"/>
              <w:rPr>
                <w:sz w:val="20"/>
                <w:szCs w:val="20"/>
                <w:color w:val="auto"/>
              </w:rPr>
            </w:pPr>
            <w:r>
              <w:rPr>
                <w:rFonts w:ascii="Arial" w:cs="Arial" w:eastAsia="Arial" w:hAnsi="Arial"/>
                <w:sz w:val="14"/>
                <w:szCs w:val="14"/>
                <w:color w:val="auto"/>
              </w:rPr>
              <w:t>203,820</w:t>
            </w:r>
          </w:p>
        </w:tc>
        <w:tc>
          <w:tcPr>
            <w:tcW w:w="0" w:type="dxa"/>
            <w:vAlign w:val="bottom"/>
          </w:tcPr>
          <w:p>
            <w:pPr>
              <w:spacing w:after="0"/>
              <w:rPr>
                <w:sz w:val="1"/>
                <w:szCs w:val="1"/>
                <w:color w:val="auto"/>
              </w:rPr>
            </w:pPr>
          </w:p>
        </w:tc>
      </w:tr>
      <w:tr>
        <w:trPr>
          <w:trHeight w:val="162"/>
        </w:trPr>
        <w:tc>
          <w:tcPr>
            <w:tcW w:w="2300" w:type="dxa"/>
            <w:vAlign w:val="bottom"/>
            <w:shd w:val="clear" w:color="auto" w:fill="D0E0F0"/>
          </w:tcPr>
          <w:p>
            <w:pPr>
              <w:spacing w:after="0"/>
              <w:rPr>
                <w:sz w:val="14"/>
                <w:szCs w:val="14"/>
                <w:color w:val="auto"/>
              </w:rPr>
            </w:pPr>
          </w:p>
        </w:tc>
        <w:tc>
          <w:tcPr>
            <w:tcW w:w="500" w:type="dxa"/>
            <w:vAlign w:val="bottom"/>
            <w:shd w:val="clear" w:color="auto" w:fill="D0E0F0"/>
          </w:tcPr>
          <w:p>
            <w:pPr>
              <w:spacing w:after="0"/>
              <w:rPr>
                <w:sz w:val="14"/>
                <w:szCs w:val="14"/>
                <w:color w:val="auto"/>
              </w:rPr>
            </w:pPr>
          </w:p>
        </w:tc>
        <w:tc>
          <w:tcPr>
            <w:tcW w:w="90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840" w:type="dxa"/>
            <w:vAlign w:val="bottom"/>
            <w:shd w:val="clear" w:color="auto" w:fill="D0E0F0"/>
          </w:tcPr>
          <w:p>
            <w:pPr>
              <w:spacing w:after="0"/>
              <w:rPr>
                <w:sz w:val="14"/>
                <w:szCs w:val="14"/>
                <w:color w:val="auto"/>
              </w:rPr>
            </w:pPr>
          </w:p>
        </w:tc>
        <w:tc>
          <w:tcPr>
            <w:tcW w:w="1040" w:type="dxa"/>
            <w:vAlign w:val="bottom"/>
            <w:shd w:val="clear" w:color="auto" w:fill="D0E0F0"/>
          </w:tcPr>
          <w:p>
            <w:pPr>
              <w:spacing w:after="0"/>
              <w:rPr>
                <w:sz w:val="14"/>
                <w:szCs w:val="14"/>
                <w:color w:val="auto"/>
              </w:rPr>
            </w:pPr>
          </w:p>
        </w:tc>
        <w:tc>
          <w:tcPr>
            <w:tcW w:w="820" w:type="dxa"/>
            <w:vAlign w:val="bottom"/>
            <w:shd w:val="clear" w:color="auto" w:fill="D0E0F0"/>
          </w:tcPr>
          <w:p>
            <w:pPr>
              <w:spacing w:after="0"/>
              <w:rPr>
                <w:sz w:val="14"/>
                <w:szCs w:val="14"/>
                <w:color w:val="auto"/>
              </w:rPr>
            </w:pPr>
          </w:p>
        </w:tc>
        <w:tc>
          <w:tcPr>
            <w:tcW w:w="940" w:type="dxa"/>
            <w:vAlign w:val="bottom"/>
            <w:shd w:val="clear" w:color="auto" w:fill="D0E0F0"/>
          </w:tcPr>
          <w:p>
            <w:pPr>
              <w:spacing w:after="0"/>
              <w:rPr>
                <w:sz w:val="14"/>
                <w:szCs w:val="14"/>
                <w:color w:val="auto"/>
              </w:rPr>
            </w:pPr>
          </w:p>
        </w:tc>
        <w:tc>
          <w:tcPr>
            <w:tcW w:w="800" w:type="dxa"/>
            <w:vAlign w:val="bottom"/>
            <w:shd w:val="clear" w:color="auto" w:fill="D0E0F0"/>
          </w:tcPr>
          <w:p>
            <w:pPr>
              <w:spacing w:after="0"/>
              <w:rPr>
                <w:sz w:val="14"/>
                <w:szCs w:val="14"/>
                <w:color w:val="auto"/>
              </w:rPr>
            </w:pPr>
          </w:p>
        </w:tc>
        <w:tc>
          <w:tcPr>
            <w:tcW w:w="220" w:type="dxa"/>
            <w:vAlign w:val="bottom"/>
            <w:shd w:val="clear" w:color="auto" w:fill="D0E0F0"/>
          </w:tcPr>
          <w:p>
            <w:pPr>
              <w:spacing w:after="0"/>
              <w:rPr>
                <w:sz w:val="14"/>
                <w:szCs w:val="14"/>
                <w:color w:val="auto"/>
              </w:rPr>
            </w:pPr>
          </w:p>
        </w:tc>
        <w:tc>
          <w:tcPr>
            <w:tcW w:w="960" w:type="dxa"/>
            <w:vAlign w:val="bottom"/>
            <w:shd w:val="clear" w:color="auto" w:fill="D0E0F0"/>
          </w:tcPr>
          <w:p>
            <w:pPr>
              <w:spacing w:after="0"/>
              <w:rPr>
                <w:sz w:val="14"/>
                <w:szCs w:val="14"/>
                <w:color w:val="auto"/>
              </w:rPr>
            </w:pPr>
          </w:p>
        </w:tc>
        <w:tc>
          <w:tcPr>
            <w:tcW w:w="1120" w:type="dxa"/>
            <w:vAlign w:val="bottom"/>
            <w:vMerge w:val="continue"/>
            <w:shd w:val="clear" w:color="auto" w:fill="D0E0F0"/>
          </w:tcPr>
          <w:p>
            <w:pPr>
              <w:spacing w:after="0"/>
              <w:rPr>
                <w:sz w:val="14"/>
                <w:szCs w:val="14"/>
                <w:color w:val="auto"/>
              </w:rPr>
            </w:pPr>
          </w:p>
        </w:tc>
        <w:tc>
          <w:tcPr>
            <w:tcW w:w="980" w:type="dxa"/>
            <w:vAlign w:val="bottom"/>
            <w:shd w:val="clear" w:color="auto" w:fill="D0E0F0"/>
          </w:tcPr>
          <w:p>
            <w:pPr>
              <w:jc w:val="center"/>
              <w:ind w:right="108"/>
              <w:spacing w:after="0"/>
              <w:rPr>
                <w:sz w:val="20"/>
                <w:szCs w:val="20"/>
                <w:color w:val="auto"/>
              </w:rPr>
            </w:pPr>
            <w:r>
              <w:rPr>
                <w:rFonts w:ascii="Arial" w:cs="Arial" w:eastAsia="Arial" w:hAnsi="Arial"/>
                <w:sz w:val="14"/>
                <w:szCs w:val="14"/>
                <w:color w:val="auto"/>
              </w:rPr>
              <w:t>291,420</w:t>
            </w:r>
          </w:p>
        </w:tc>
        <w:tc>
          <w:tcPr>
            <w:tcW w:w="0" w:type="dxa"/>
            <w:vAlign w:val="bottom"/>
          </w:tcPr>
          <w:p>
            <w:pPr>
              <w:spacing w:after="0"/>
              <w:rPr>
                <w:sz w:val="1"/>
                <w:szCs w:val="1"/>
                <w:color w:val="auto"/>
              </w:rPr>
            </w:pPr>
          </w:p>
        </w:tc>
      </w:tr>
      <w:tr>
        <w:trPr>
          <w:trHeight w:val="162"/>
        </w:trPr>
        <w:tc>
          <w:tcPr>
            <w:tcW w:w="2300" w:type="dxa"/>
            <w:vAlign w:val="bottom"/>
            <w:shd w:val="clear" w:color="auto" w:fill="D0E0F0"/>
          </w:tcPr>
          <w:p>
            <w:pPr>
              <w:spacing w:after="0"/>
              <w:rPr>
                <w:sz w:val="14"/>
                <w:szCs w:val="14"/>
                <w:color w:val="auto"/>
              </w:rPr>
            </w:pPr>
          </w:p>
        </w:tc>
        <w:tc>
          <w:tcPr>
            <w:tcW w:w="500" w:type="dxa"/>
            <w:vAlign w:val="bottom"/>
            <w:shd w:val="clear" w:color="auto" w:fill="D0E0F0"/>
          </w:tcPr>
          <w:p>
            <w:pPr>
              <w:spacing w:after="0"/>
              <w:rPr>
                <w:sz w:val="14"/>
                <w:szCs w:val="14"/>
                <w:color w:val="auto"/>
              </w:rPr>
            </w:pPr>
          </w:p>
        </w:tc>
        <w:tc>
          <w:tcPr>
            <w:tcW w:w="900" w:type="dxa"/>
            <w:vAlign w:val="bottom"/>
            <w:shd w:val="clear" w:color="auto" w:fill="D0E0F0"/>
          </w:tcPr>
          <w:p>
            <w:pPr>
              <w:spacing w:after="0"/>
              <w:rPr>
                <w:sz w:val="14"/>
                <w:szCs w:val="14"/>
                <w:color w:val="auto"/>
              </w:rPr>
            </w:pPr>
          </w:p>
        </w:tc>
        <w:tc>
          <w:tcPr>
            <w:tcW w:w="840" w:type="dxa"/>
            <w:vAlign w:val="bottom"/>
            <w:shd w:val="clear" w:color="auto" w:fill="D0E0F0"/>
          </w:tcPr>
          <w:p>
            <w:pPr>
              <w:spacing w:after="0"/>
              <w:rPr>
                <w:sz w:val="14"/>
                <w:szCs w:val="14"/>
                <w:color w:val="auto"/>
              </w:rPr>
            </w:pPr>
          </w:p>
        </w:tc>
        <w:tc>
          <w:tcPr>
            <w:tcW w:w="1040" w:type="dxa"/>
            <w:vAlign w:val="bottom"/>
            <w:shd w:val="clear" w:color="auto" w:fill="D0E0F0"/>
          </w:tcPr>
          <w:p>
            <w:pPr>
              <w:spacing w:after="0"/>
              <w:rPr>
                <w:sz w:val="14"/>
                <w:szCs w:val="14"/>
                <w:color w:val="auto"/>
              </w:rPr>
            </w:pPr>
          </w:p>
        </w:tc>
        <w:tc>
          <w:tcPr>
            <w:tcW w:w="820" w:type="dxa"/>
            <w:vAlign w:val="bottom"/>
            <w:shd w:val="clear" w:color="auto" w:fill="D0E0F0"/>
          </w:tcPr>
          <w:p>
            <w:pPr>
              <w:spacing w:after="0"/>
              <w:rPr>
                <w:sz w:val="14"/>
                <w:szCs w:val="14"/>
                <w:color w:val="auto"/>
              </w:rPr>
            </w:pPr>
          </w:p>
        </w:tc>
        <w:tc>
          <w:tcPr>
            <w:tcW w:w="940" w:type="dxa"/>
            <w:vAlign w:val="bottom"/>
            <w:shd w:val="clear" w:color="auto" w:fill="D0E0F0"/>
          </w:tcPr>
          <w:p>
            <w:pPr>
              <w:spacing w:after="0"/>
              <w:rPr>
                <w:sz w:val="14"/>
                <w:szCs w:val="14"/>
                <w:color w:val="auto"/>
              </w:rPr>
            </w:pPr>
          </w:p>
        </w:tc>
        <w:tc>
          <w:tcPr>
            <w:tcW w:w="800" w:type="dxa"/>
            <w:vAlign w:val="bottom"/>
            <w:shd w:val="clear" w:color="auto" w:fill="D0E0F0"/>
          </w:tcPr>
          <w:p>
            <w:pPr>
              <w:spacing w:after="0"/>
              <w:rPr>
                <w:sz w:val="14"/>
                <w:szCs w:val="14"/>
                <w:color w:val="auto"/>
              </w:rPr>
            </w:pPr>
          </w:p>
        </w:tc>
        <w:tc>
          <w:tcPr>
            <w:tcW w:w="220" w:type="dxa"/>
            <w:vAlign w:val="bottom"/>
            <w:shd w:val="clear" w:color="auto" w:fill="D0E0F0"/>
          </w:tcPr>
          <w:p>
            <w:pPr>
              <w:spacing w:after="0"/>
              <w:rPr>
                <w:sz w:val="14"/>
                <w:szCs w:val="14"/>
                <w:color w:val="auto"/>
              </w:rPr>
            </w:pPr>
          </w:p>
        </w:tc>
        <w:tc>
          <w:tcPr>
            <w:tcW w:w="960" w:type="dxa"/>
            <w:vAlign w:val="bottom"/>
            <w:shd w:val="clear" w:color="auto" w:fill="D0E0F0"/>
          </w:tcPr>
          <w:p>
            <w:pPr>
              <w:spacing w:after="0"/>
              <w:rPr>
                <w:sz w:val="14"/>
                <w:szCs w:val="14"/>
                <w:color w:val="auto"/>
              </w:rPr>
            </w:pPr>
          </w:p>
        </w:tc>
        <w:tc>
          <w:tcPr>
            <w:tcW w:w="1120" w:type="dxa"/>
            <w:vAlign w:val="bottom"/>
            <w:shd w:val="clear" w:color="auto" w:fill="D0E0F0"/>
          </w:tcPr>
          <w:p>
            <w:pPr>
              <w:spacing w:after="0"/>
              <w:rPr>
                <w:sz w:val="14"/>
                <w:szCs w:val="14"/>
                <w:color w:val="auto"/>
              </w:rPr>
            </w:pPr>
          </w:p>
        </w:tc>
        <w:tc>
          <w:tcPr>
            <w:tcW w:w="980" w:type="dxa"/>
            <w:vAlign w:val="bottom"/>
            <w:shd w:val="clear" w:color="auto" w:fill="D0E0F0"/>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0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-3215005</wp:posOffset>
            </wp:positionV>
            <wp:extent cx="35077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077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-2717800</wp:posOffset>
            </wp:positionV>
            <wp:extent cx="71951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ind w:left="660" w:right="720" w:hanging="328"/>
        <w:spacing w:after="0" w:line="23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These amounts reflect the target and maximum cash incentive bonuses set for 2016. For details of our annual incentive bonus program, see “Compensation Discussion and Analysis – Incentive Bonus” beginning on page 32.</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annual awards of Revenue-Linked PRSUs granted under the 2015 Plan, subject to the vesting set forth in footnote 6.</w:t>
      </w:r>
    </w:p>
    <w:p>
      <w:pPr>
        <w:ind w:left="660" w:hanging="328"/>
        <w:spacing w:after="0" w:line="23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annual awards of Relative TSR-Linked PRSUs granted under the 2015 Plan, subject to the vesting set forth in footnote 6.</w:t>
      </w:r>
    </w:p>
    <w:p>
      <w:pPr>
        <w:ind w:left="660" w:hanging="328"/>
        <w:spacing w:after="0" w:line="23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annual awards of restricted stock units granted under the 2015 Plan, subject to the vesting set forth in footnote 6.</w:t>
      </w:r>
    </w:p>
    <w:p>
      <w:pPr>
        <w:ind w:left="660" w:hanging="328"/>
        <w:spacing w:after="0" w:line="23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grant date fair value of the estimated future payouts for the Relative TSR-Linked PRSUs are based on the Monte Carlo value.</w:t>
      </w:r>
    </w:p>
    <w:p>
      <w:pPr>
        <w:ind w:left="660" w:right="640" w:hanging="328"/>
        <w:spacing w:after="0" w:line="24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vesting schedules of the stock grants mentioned in the table are as follows (subject to continued employment through each applicable vesting date):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9"/>
        </w:trPr>
        <w:tc>
          <w:tcPr>
            <w:tcW w:w="1260" w:type="dxa"/>
            <w:vAlign w:val="bottom"/>
            <w:shd w:val="clear" w:color="auto" w:fill="508BC7"/>
          </w:tcPr>
          <w:p>
            <w:pPr>
              <w:ind w:left="440"/>
              <w:spacing w:after="0"/>
              <w:rPr>
                <w:sz w:val="20"/>
                <w:szCs w:val="20"/>
                <w:color w:val="auto"/>
              </w:rPr>
            </w:pPr>
            <w:r>
              <w:rPr>
                <w:rFonts w:ascii="Arial" w:cs="Arial" w:eastAsia="Arial" w:hAnsi="Arial"/>
                <w:sz w:val="14"/>
                <w:szCs w:val="14"/>
                <w:b w:val="1"/>
                <w:bCs w:val="1"/>
                <w:color w:val="FFFFFF"/>
              </w:rPr>
              <w:t>Name</w:t>
            </w:r>
          </w:p>
        </w:tc>
        <w:tc>
          <w:tcPr>
            <w:tcW w:w="1160" w:type="dxa"/>
            <w:vAlign w:val="bottom"/>
            <w:shd w:val="clear" w:color="auto" w:fill="508BC7"/>
          </w:tcPr>
          <w:p>
            <w:pPr>
              <w:jc w:val="right"/>
              <w:ind w:right="148"/>
              <w:spacing w:after="0"/>
              <w:rPr>
                <w:sz w:val="20"/>
                <w:szCs w:val="20"/>
                <w:color w:val="auto"/>
              </w:rPr>
            </w:pPr>
            <w:r>
              <w:rPr>
                <w:rFonts w:ascii="Arial" w:cs="Arial" w:eastAsia="Arial" w:hAnsi="Arial"/>
                <w:sz w:val="14"/>
                <w:szCs w:val="14"/>
                <w:b w:val="1"/>
                <w:bCs w:val="1"/>
                <w:color w:val="FFFFFF"/>
              </w:rPr>
              <w:t>Grant Date</w:t>
            </w:r>
          </w:p>
        </w:tc>
        <w:tc>
          <w:tcPr>
            <w:tcW w:w="16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Vesting Start Date</w:t>
            </w:r>
          </w:p>
        </w:tc>
        <w:tc>
          <w:tcPr>
            <w:tcW w:w="7360" w:type="dxa"/>
            <w:vAlign w:val="bottom"/>
            <w:shd w:val="clear" w:color="auto" w:fill="508BC7"/>
          </w:tcPr>
          <w:p>
            <w:pPr>
              <w:ind w:left="3120"/>
              <w:spacing w:after="0"/>
              <w:rPr>
                <w:sz w:val="20"/>
                <w:szCs w:val="20"/>
                <w:color w:val="auto"/>
              </w:rPr>
            </w:pPr>
            <w:r>
              <w:rPr>
                <w:rFonts w:ascii="Arial" w:cs="Arial" w:eastAsia="Arial" w:hAnsi="Arial"/>
                <w:sz w:val="14"/>
                <w:szCs w:val="14"/>
                <w:b w:val="1"/>
                <w:bCs w:val="1"/>
                <w:color w:val="FFFFFF"/>
              </w:rPr>
              <w:t>Vesting Schedule</w:t>
            </w:r>
          </w:p>
        </w:tc>
      </w:tr>
      <w:tr>
        <w:trPr>
          <w:trHeight w:val="162"/>
        </w:trPr>
        <w:tc>
          <w:tcPr>
            <w:tcW w:w="1260" w:type="dxa"/>
            <w:vAlign w:val="bottom"/>
            <w:shd w:val="clear" w:color="auto" w:fill="D0E0F0"/>
          </w:tcPr>
          <w:p>
            <w:pPr>
              <w:ind w:left="100"/>
              <w:spacing w:after="0"/>
              <w:rPr>
                <w:sz w:val="20"/>
                <w:szCs w:val="20"/>
                <w:color w:val="auto"/>
              </w:rPr>
            </w:pPr>
            <w:r>
              <w:rPr>
                <w:rFonts w:ascii="Arial" w:cs="Arial" w:eastAsia="Arial" w:hAnsi="Arial"/>
                <w:sz w:val="14"/>
                <w:szCs w:val="14"/>
                <w:color w:val="auto"/>
              </w:rPr>
              <w:t>Rohit</w:t>
            </w:r>
          </w:p>
        </w:tc>
        <w:tc>
          <w:tcPr>
            <w:tcW w:w="116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164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2/24/2016</w:t>
            </w:r>
          </w:p>
        </w:tc>
        <w:tc>
          <w:tcPr>
            <w:tcW w:w="7360" w:type="dxa"/>
            <w:vAlign w:val="bottom"/>
            <w:shd w:val="clear" w:color="auto" w:fill="D0E0F0"/>
          </w:tcPr>
          <w:p>
            <w:pPr>
              <w:ind w:left="160"/>
              <w:spacing w:after="0"/>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12/31/2018</w:t>
            </w:r>
          </w:p>
        </w:tc>
      </w:tr>
      <w:tr>
        <w:trPr>
          <w:trHeight w:val="162"/>
        </w:trPr>
        <w:tc>
          <w:tcPr>
            <w:tcW w:w="1260" w:type="dxa"/>
            <w:vAlign w:val="bottom"/>
            <w:shd w:val="clear" w:color="auto" w:fill="D0E0F0"/>
          </w:tcPr>
          <w:p>
            <w:pPr>
              <w:ind w:left="100"/>
              <w:spacing w:after="0"/>
              <w:rPr>
                <w:sz w:val="20"/>
                <w:szCs w:val="20"/>
                <w:color w:val="auto"/>
              </w:rPr>
            </w:pPr>
            <w:r>
              <w:rPr>
                <w:rFonts w:ascii="Arial" w:cs="Arial" w:eastAsia="Arial" w:hAnsi="Arial"/>
                <w:sz w:val="14"/>
                <w:szCs w:val="14"/>
                <w:color w:val="auto"/>
              </w:rPr>
              <w:t>Kapoor</w:t>
            </w:r>
          </w:p>
        </w:tc>
        <w:tc>
          <w:tcPr>
            <w:tcW w:w="116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164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2/24/2016</w:t>
            </w:r>
          </w:p>
        </w:tc>
        <w:tc>
          <w:tcPr>
            <w:tcW w:w="7360" w:type="dxa"/>
            <w:vAlign w:val="bottom"/>
            <w:shd w:val="clear" w:color="auto" w:fill="D0E0F0"/>
          </w:tcPr>
          <w:p>
            <w:pPr>
              <w:ind w:left="16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12/31/2018</w:t>
            </w:r>
          </w:p>
        </w:tc>
      </w:tr>
      <w:tr>
        <w:trPr>
          <w:trHeight w:val="162"/>
        </w:trPr>
        <w:tc>
          <w:tcPr>
            <w:tcW w:w="1260" w:type="dxa"/>
            <w:vAlign w:val="bottom"/>
            <w:shd w:val="clear" w:color="auto" w:fill="D0E0F0"/>
          </w:tcPr>
          <w:p>
            <w:pPr>
              <w:spacing w:after="0"/>
              <w:rPr>
                <w:sz w:val="14"/>
                <w:szCs w:val="14"/>
                <w:color w:val="auto"/>
              </w:rPr>
            </w:pPr>
          </w:p>
        </w:tc>
        <w:tc>
          <w:tcPr>
            <w:tcW w:w="116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164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2/24/2016</w:t>
            </w:r>
          </w:p>
        </w:tc>
        <w:tc>
          <w:tcPr>
            <w:tcW w:w="7360" w:type="dxa"/>
            <w:vAlign w:val="bottom"/>
            <w:shd w:val="clear" w:color="auto" w:fill="D0E0F0"/>
          </w:tcPr>
          <w:p>
            <w:pPr>
              <w:ind w:left="16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25% each year</w:t>
            </w:r>
          </w:p>
        </w:tc>
      </w:tr>
      <w:tr>
        <w:trPr>
          <w:trHeight w:val="153"/>
        </w:trPr>
        <w:tc>
          <w:tcPr>
            <w:tcW w:w="1260" w:type="dxa"/>
            <w:vAlign w:val="bottom"/>
          </w:tcPr>
          <w:p>
            <w:pPr>
              <w:ind w:left="100"/>
              <w:spacing w:after="0" w:line="153" w:lineRule="exact"/>
              <w:rPr>
                <w:sz w:val="20"/>
                <w:szCs w:val="20"/>
                <w:color w:val="auto"/>
              </w:rPr>
            </w:pPr>
            <w:r>
              <w:rPr>
                <w:rFonts w:ascii="Arial" w:cs="Arial" w:eastAsia="Arial" w:hAnsi="Arial"/>
                <w:sz w:val="14"/>
                <w:szCs w:val="14"/>
                <w:color w:val="auto"/>
              </w:rPr>
              <w:t>Vishal</w:t>
            </w:r>
          </w:p>
        </w:tc>
        <w:tc>
          <w:tcPr>
            <w:tcW w:w="1160" w:type="dxa"/>
            <w:vAlign w:val="bottom"/>
          </w:tcPr>
          <w:p>
            <w:pPr>
              <w:jc w:val="right"/>
              <w:spacing w:after="0" w:line="153" w:lineRule="exact"/>
              <w:rPr>
                <w:sz w:val="20"/>
                <w:szCs w:val="20"/>
                <w:color w:val="auto"/>
              </w:rPr>
            </w:pPr>
            <w:r>
              <w:rPr>
                <w:rFonts w:ascii="Arial" w:cs="Arial" w:eastAsia="Arial" w:hAnsi="Arial"/>
                <w:sz w:val="14"/>
                <w:szCs w:val="14"/>
                <w:color w:val="auto"/>
              </w:rPr>
              <w:t>2/24/2016</w:t>
            </w:r>
          </w:p>
        </w:tc>
        <w:tc>
          <w:tcPr>
            <w:tcW w:w="1640" w:type="dxa"/>
            <w:vAlign w:val="bottom"/>
          </w:tcPr>
          <w:p>
            <w:pPr>
              <w:jc w:val="center"/>
              <w:spacing w:after="0" w:line="153" w:lineRule="exact"/>
              <w:rPr>
                <w:sz w:val="20"/>
                <w:szCs w:val="20"/>
                <w:color w:val="auto"/>
              </w:rPr>
            </w:pPr>
            <w:r>
              <w:rPr>
                <w:rFonts w:ascii="Arial" w:cs="Arial" w:eastAsia="Arial" w:hAnsi="Arial"/>
                <w:sz w:val="14"/>
                <w:szCs w:val="14"/>
                <w:color w:val="auto"/>
              </w:rPr>
              <w:t>2/24/2016</w:t>
            </w:r>
          </w:p>
        </w:tc>
        <w:tc>
          <w:tcPr>
            <w:tcW w:w="7360" w:type="dxa"/>
            <w:vAlign w:val="bottom"/>
          </w:tcPr>
          <w:p>
            <w:pPr>
              <w:ind w:left="160"/>
              <w:spacing w:after="0" w:line="153" w:lineRule="exact"/>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12/31/2018</w:t>
            </w:r>
          </w:p>
        </w:tc>
      </w:tr>
      <w:tr>
        <w:trPr>
          <w:trHeight w:val="162"/>
        </w:trPr>
        <w:tc>
          <w:tcPr>
            <w:tcW w:w="1260" w:type="dxa"/>
            <w:vAlign w:val="bottom"/>
          </w:tcPr>
          <w:p>
            <w:pPr>
              <w:ind w:left="100"/>
              <w:spacing w:after="0"/>
              <w:rPr>
                <w:sz w:val="20"/>
                <w:szCs w:val="20"/>
                <w:color w:val="auto"/>
              </w:rPr>
            </w:pPr>
            <w:r>
              <w:rPr>
                <w:rFonts w:ascii="Arial" w:cs="Arial" w:eastAsia="Arial" w:hAnsi="Arial"/>
                <w:sz w:val="14"/>
                <w:szCs w:val="14"/>
                <w:color w:val="auto"/>
              </w:rPr>
              <w:t>Chhibbar</w:t>
            </w:r>
          </w:p>
        </w:tc>
        <w:tc>
          <w:tcPr>
            <w:tcW w:w="1160" w:type="dxa"/>
            <w:vAlign w:val="bottom"/>
          </w:tcPr>
          <w:p>
            <w:pPr>
              <w:jc w:val="right"/>
              <w:spacing w:after="0"/>
              <w:rPr>
                <w:sz w:val="20"/>
                <w:szCs w:val="20"/>
                <w:color w:val="auto"/>
              </w:rPr>
            </w:pPr>
            <w:r>
              <w:rPr>
                <w:rFonts w:ascii="Arial" w:cs="Arial" w:eastAsia="Arial" w:hAnsi="Arial"/>
                <w:sz w:val="14"/>
                <w:szCs w:val="14"/>
                <w:color w:val="auto"/>
              </w:rPr>
              <w:t>2/24/2016</w:t>
            </w:r>
          </w:p>
        </w:tc>
        <w:tc>
          <w:tcPr>
            <w:tcW w:w="1640" w:type="dxa"/>
            <w:vAlign w:val="bottom"/>
          </w:tcPr>
          <w:p>
            <w:pPr>
              <w:jc w:val="center"/>
              <w:spacing w:after="0"/>
              <w:rPr>
                <w:sz w:val="20"/>
                <w:szCs w:val="20"/>
                <w:color w:val="auto"/>
              </w:rPr>
            </w:pPr>
            <w:r>
              <w:rPr>
                <w:rFonts w:ascii="Arial" w:cs="Arial" w:eastAsia="Arial" w:hAnsi="Arial"/>
                <w:sz w:val="14"/>
                <w:szCs w:val="14"/>
                <w:color w:val="auto"/>
              </w:rPr>
              <w:t>2/24/2016</w:t>
            </w:r>
          </w:p>
        </w:tc>
        <w:tc>
          <w:tcPr>
            <w:tcW w:w="7360" w:type="dxa"/>
            <w:vAlign w:val="bottom"/>
          </w:tcPr>
          <w:p>
            <w:pPr>
              <w:ind w:left="16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12/31/2018</w:t>
            </w:r>
          </w:p>
        </w:tc>
      </w:tr>
      <w:tr>
        <w:trPr>
          <w:trHeight w:val="171"/>
        </w:trPr>
        <w:tc>
          <w:tcPr>
            <w:tcW w:w="1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2/24/2016</w:t>
            </w:r>
          </w:p>
        </w:tc>
        <w:tc>
          <w:tcPr>
            <w:tcW w:w="1640" w:type="dxa"/>
            <w:vAlign w:val="bottom"/>
          </w:tcPr>
          <w:p>
            <w:pPr>
              <w:jc w:val="center"/>
              <w:spacing w:after="0"/>
              <w:rPr>
                <w:sz w:val="20"/>
                <w:szCs w:val="20"/>
                <w:color w:val="auto"/>
              </w:rPr>
            </w:pPr>
            <w:r>
              <w:rPr>
                <w:rFonts w:ascii="Arial" w:cs="Arial" w:eastAsia="Arial" w:hAnsi="Arial"/>
                <w:sz w:val="14"/>
                <w:szCs w:val="14"/>
                <w:color w:val="auto"/>
              </w:rPr>
              <w:t>2/24/2016</w:t>
            </w:r>
          </w:p>
        </w:tc>
        <w:tc>
          <w:tcPr>
            <w:tcW w:w="7360" w:type="dxa"/>
            <w:vAlign w:val="bottom"/>
          </w:tcPr>
          <w:p>
            <w:pPr>
              <w:ind w:left="16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25% each year</w:t>
            </w:r>
          </w:p>
        </w:tc>
      </w:tr>
      <w:tr>
        <w:trPr>
          <w:trHeight w:val="162"/>
        </w:trPr>
        <w:tc>
          <w:tcPr>
            <w:tcW w:w="1260" w:type="dxa"/>
            <w:vAlign w:val="bottom"/>
            <w:shd w:val="clear" w:color="auto" w:fill="D0E0F0"/>
          </w:tcPr>
          <w:p>
            <w:pPr>
              <w:ind w:left="100"/>
              <w:spacing w:after="0"/>
              <w:rPr>
                <w:sz w:val="20"/>
                <w:szCs w:val="20"/>
                <w:color w:val="auto"/>
              </w:rPr>
            </w:pPr>
            <w:r>
              <w:rPr>
                <w:rFonts w:ascii="Arial" w:cs="Arial" w:eastAsia="Arial" w:hAnsi="Arial"/>
                <w:sz w:val="14"/>
                <w:szCs w:val="14"/>
                <w:color w:val="auto"/>
              </w:rPr>
              <w:t>Pavan</w:t>
            </w:r>
          </w:p>
        </w:tc>
        <w:tc>
          <w:tcPr>
            <w:tcW w:w="116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164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2/24/2016</w:t>
            </w:r>
          </w:p>
        </w:tc>
        <w:tc>
          <w:tcPr>
            <w:tcW w:w="7360" w:type="dxa"/>
            <w:vAlign w:val="bottom"/>
            <w:shd w:val="clear" w:color="auto" w:fill="D0E0F0"/>
          </w:tcPr>
          <w:p>
            <w:pPr>
              <w:ind w:left="160"/>
              <w:spacing w:after="0"/>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12/31/2018</w:t>
            </w:r>
          </w:p>
        </w:tc>
      </w:tr>
      <w:tr>
        <w:trPr>
          <w:trHeight w:val="162"/>
        </w:trPr>
        <w:tc>
          <w:tcPr>
            <w:tcW w:w="1260" w:type="dxa"/>
            <w:vAlign w:val="bottom"/>
            <w:shd w:val="clear" w:color="auto" w:fill="D0E0F0"/>
          </w:tcPr>
          <w:p>
            <w:pPr>
              <w:ind w:left="100"/>
              <w:spacing w:after="0"/>
              <w:rPr>
                <w:sz w:val="20"/>
                <w:szCs w:val="20"/>
                <w:color w:val="auto"/>
              </w:rPr>
            </w:pPr>
            <w:r>
              <w:rPr>
                <w:rFonts w:ascii="Arial" w:cs="Arial" w:eastAsia="Arial" w:hAnsi="Arial"/>
                <w:sz w:val="14"/>
                <w:szCs w:val="14"/>
                <w:color w:val="auto"/>
              </w:rPr>
              <w:t>Bagai</w:t>
            </w:r>
          </w:p>
        </w:tc>
        <w:tc>
          <w:tcPr>
            <w:tcW w:w="116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164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2/24/2016</w:t>
            </w:r>
          </w:p>
        </w:tc>
        <w:tc>
          <w:tcPr>
            <w:tcW w:w="7360" w:type="dxa"/>
            <w:vAlign w:val="bottom"/>
            <w:shd w:val="clear" w:color="auto" w:fill="D0E0F0"/>
          </w:tcPr>
          <w:p>
            <w:pPr>
              <w:ind w:left="16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12/31/2018</w:t>
            </w:r>
          </w:p>
        </w:tc>
      </w:tr>
      <w:tr>
        <w:trPr>
          <w:trHeight w:val="162"/>
        </w:trPr>
        <w:tc>
          <w:tcPr>
            <w:tcW w:w="1260" w:type="dxa"/>
            <w:vAlign w:val="bottom"/>
            <w:shd w:val="clear" w:color="auto" w:fill="D0E0F0"/>
          </w:tcPr>
          <w:p>
            <w:pPr>
              <w:spacing w:after="0"/>
              <w:rPr>
                <w:sz w:val="14"/>
                <w:szCs w:val="14"/>
                <w:color w:val="auto"/>
              </w:rPr>
            </w:pPr>
          </w:p>
        </w:tc>
        <w:tc>
          <w:tcPr>
            <w:tcW w:w="116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164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2/24/2016</w:t>
            </w:r>
          </w:p>
        </w:tc>
        <w:tc>
          <w:tcPr>
            <w:tcW w:w="7360" w:type="dxa"/>
            <w:vAlign w:val="bottom"/>
            <w:shd w:val="clear" w:color="auto" w:fill="D0E0F0"/>
          </w:tcPr>
          <w:p>
            <w:pPr>
              <w:ind w:left="16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25% each year</w:t>
            </w:r>
          </w:p>
        </w:tc>
      </w:tr>
      <w:tr>
        <w:trPr>
          <w:trHeight w:val="153"/>
        </w:trPr>
        <w:tc>
          <w:tcPr>
            <w:tcW w:w="1260" w:type="dxa"/>
            <w:vAlign w:val="bottom"/>
          </w:tcPr>
          <w:p>
            <w:pPr>
              <w:ind w:left="100"/>
              <w:spacing w:after="0" w:line="153" w:lineRule="exact"/>
              <w:rPr>
                <w:sz w:val="20"/>
                <w:szCs w:val="20"/>
                <w:color w:val="auto"/>
              </w:rPr>
            </w:pPr>
            <w:r>
              <w:rPr>
                <w:rFonts w:ascii="Arial" w:cs="Arial" w:eastAsia="Arial" w:hAnsi="Arial"/>
                <w:sz w:val="14"/>
                <w:szCs w:val="14"/>
                <w:color w:val="auto"/>
              </w:rPr>
              <w:t>Rembert</w:t>
            </w:r>
          </w:p>
        </w:tc>
        <w:tc>
          <w:tcPr>
            <w:tcW w:w="1160" w:type="dxa"/>
            <w:vAlign w:val="bottom"/>
          </w:tcPr>
          <w:p>
            <w:pPr>
              <w:jc w:val="right"/>
              <w:spacing w:after="0" w:line="153" w:lineRule="exact"/>
              <w:rPr>
                <w:sz w:val="20"/>
                <w:szCs w:val="20"/>
                <w:color w:val="auto"/>
              </w:rPr>
            </w:pPr>
            <w:r>
              <w:rPr>
                <w:rFonts w:ascii="Arial" w:cs="Arial" w:eastAsia="Arial" w:hAnsi="Arial"/>
                <w:sz w:val="14"/>
                <w:szCs w:val="14"/>
                <w:color w:val="auto"/>
              </w:rPr>
              <w:t>2/24/2016</w:t>
            </w:r>
          </w:p>
        </w:tc>
        <w:tc>
          <w:tcPr>
            <w:tcW w:w="1640" w:type="dxa"/>
            <w:vAlign w:val="bottom"/>
          </w:tcPr>
          <w:p>
            <w:pPr>
              <w:jc w:val="center"/>
              <w:spacing w:after="0" w:line="153" w:lineRule="exact"/>
              <w:rPr>
                <w:sz w:val="20"/>
                <w:szCs w:val="20"/>
                <w:color w:val="auto"/>
              </w:rPr>
            </w:pPr>
            <w:r>
              <w:rPr>
                <w:rFonts w:ascii="Arial" w:cs="Arial" w:eastAsia="Arial" w:hAnsi="Arial"/>
                <w:sz w:val="14"/>
                <w:szCs w:val="14"/>
                <w:color w:val="auto"/>
              </w:rPr>
              <w:t>2/24/2016</w:t>
            </w:r>
          </w:p>
        </w:tc>
        <w:tc>
          <w:tcPr>
            <w:tcW w:w="7360" w:type="dxa"/>
            <w:vAlign w:val="bottom"/>
          </w:tcPr>
          <w:p>
            <w:pPr>
              <w:ind w:left="160"/>
              <w:spacing w:after="0" w:line="153" w:lineRule="exact"/>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12/31/2018</w:t>
            </w:r>
          </w:p>
        </w:tc>
      </w:tr>
      <w:tr>
        <w:trPr>
          <w:trHeight w:val="162"/>
        </w:trPr>
        <w:tc>
          <w:tcPr>
            <w:tcW w:w="1260" w:type="dxa"/>
            <w:vAlign w:val="bottom"/>
          </w:tcPr>
          <w:p>
            <w:pPr>
              <w:ind w:left="100"/>
              <w:spacing w:after="0"/>
              <w:rPr>
                <w:sz w:val="20"/>
                <w:szCs w:val="20"/>
                <w:color w:val="auto"/>
              </w:rPr>
            </w:pPr>
            <w:r>
              <w:rPr>
                <w:rFonts w:ascii="Arial" w:cs="Arial" w:eastAsia="Arial" w:hAnsi="Arial"/>
                <w:sz w:val="14"/>
                <w:szCs w:val="14"/>
                <w:color w:val="auto"/>
              </w:rPr>
              <w:t>de Villa</w:t>
            </w:r>
          </w:p>
        </w:tc>
        <w:tc>
          <w:tcPr>
            <w:tcW w:w="1160" w:type="dxa"/>
            <w:vAlign w:val="bottom"/>
          </w:tcPr>
          <w:p>
            <w:pPr>
              <w:jc w:val="right"/>
              <w:spacing w:after="0"/>
              <w:rPr>
                <w:sz w:val="20"/>
                <w:szCs w:val="20"/>
                <w:color w:val="auto"/>
              </w:rPr>
            </w:pPr>
            <w:r>
              <w:rPr>
                <w:rFonts w:ascii="Arial" w:cs="Arial" w:eastAsia="Arial" w:hAnsi="Arial"/>
                <w:sz w:val="14"/>
                <w:szCs w:val="14"/>
                <w:color w:val="auto"/>
              </w:rPr>
              <w:t>2/24/2016</w:t>
            </w:r>
          </w:p>
        </w:tc>
        <w:tc>
          <w:tcPr>
            <w:tcW w:w="1640" w:type="dxa"/>
            <w:vAlign w:val="bottom"/>
          </w:tcPr>
          <w:p>
            <w:pPr>
              <w:jc w:val="center"/>
              <w:spacing w:after="0"/>
              <w:rPr>
                <w:sz w:val="20"/>
                <w:szCs w:val="20"/>
                <w:color w:val="auto"/>
              </w:rPr>
            </w:pPr>
            <w:r>
              <w:rPr>
                <w:rFonts w:ascii="Arial" w:cs="Arial" w:eastAsia="Arial" w:hAnsi="Arial"/>
                <w:sz w:val="14"/>
                <w:szCs w:val="14"/>
                <w:color w:val="auto"/>
              </w:rPr>
              <w:t>2/24/2016</w:t>
            </w:r>
          </w:p>
        </w:tc>
        <w:tc>
          <w:tcPr>
            <w:tcW w:w="7360" w:type="dxa"/>
            <w:vAlign w:val="bottom"/>
          </w:tcPr>
          <w:p>
            <w:pPr>
              <w:ind w:left="16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12/31/2018</w:t>
            </w:r>
          </w:p>
        </w:tc>
      </w:tr>
      <w:tr>
        <w:trPr>
          <w:trHeight w:val="171"/>
        </w:trPr>
        <w:tc>
          <w:tcPr>
            <w:tcW w:w="1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2/24/2016</w:t>
            </w:r>
          </w:p>
        </w:tc>
        <w:tc>
          <w:tcPr>
            <w:tcW w:w="1640" w:type="dxa"/>
            <w:vAlign w:val="bottom"/>
          </w:tcPr>
          <w:p>
            <w:pPr>
              <w:jc w:val="center"/>
              <w:spacing w:after="0"/>
              <w:rPr>
                <w:sz w:val="20"/>
                <w:szCs w:val="20"/>
                <w:color w:val="auto"/>
              </w:rPr>
            </w:pPr>
            <w:r>
              <w:rPr>
                <w:rFonts w:ascii="Arial" w:cs="Arial" w:eastAsia="Arial" w:hAnsi="Arial"/>
                <w:sz w:val="14"/>
                <w:szCs w:val="14"/>
                <w:color w:val="auto"/>
              </w:rPr>
              <w:t>2/24/2016</w:t>
            </w:r>
          </w:p>
        </w:tc>
        <w:tc>
          <w:tcPr>
            <w:tcW w:w="7360" w:type="dxa"/>
            <w:vAlign w:val="bottom"/>
          </w:tcPr>
          <w:p>
            <w:pPr>
              <w:ind w:left="16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25% each year</w:t>
            </w:r>
          </w:p>
        </w:tc>
      </w:tr>
      <w:tr>
        <w:trPr>
          <w:trHeight w:val="162"/>
        </w:trPr>
        <w:tc>
          <w:tcPr>
            <w:tcW w:w="1260" w:type="dxa"/>
            <w:vAlign w:val="bottom"/>
            <w:shd w:val="clear" w:color="auto" w:fill="D0E0F0"/>
          </w:tcPr>
          <w:p>
            <w:pPr>
              <w:ind w:left="100"/>
              <w:spacing w:after="0"/>
              <w:rPr>
                <w:sz w:val="20"/>
                <w:szCs w:val="20"/>
                <w:color w:val="auto"/>
              </w:rPr>
            </w:pPr>
            <w:r>
              <w:rPr>
                <w:rFonts w:ascii="Arial" w:cs="Arial" w:eastAsia="Arial" w:hAnsi="Arial"/>
                <w:sz w:val="14"/>
                <w:szCs w:val="14"/>
                <w:color w:val="auto"/>
              </w:rPr>
              <w:t>Nalin</w:t>
            </w:r>
          </w:p>
        </w:tc>
        <w:tc>
          <w:tcPr>
            <w:tcW w:w="116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164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2/24/2016</w:t>
            </w:r>
          </w:p>
        </w:tc>
        <w:tc>
          <w:tcPr>
            <w:tcW w:w="7360" w:type="dxa"/>
            <w:vAlign w:val="bottom"/>
            <w:shd w:val="clear" w:color="auto" w:fill="D0E0F0"/>
          </w:tcPr>
          <w:p>
            <w:pPr>
              <w:ind w:left="160"/>
              <w:spacing w:after="0"/>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12/31/2018</w:t>
            </w:r>
          </w:p>
        </w:tc>
      </w:tr>
      <w:tr>
        <w:trPr>
          <w:trHeight w:val="162"/>
        </w:trPr>
        <w:tc>
          <w:tcPr>
            <w:tcW w:w="1260" w:type="dxa"/>
            <w:vAlign w:val="bottom"/>
            <w:shd w:val="clear" w:color="auto" w:fill="D0E0F0"/>
          </w:tcPr>
          <w:p>
            <w:pPr>
              <w:ind w:left="80"/>
              <w:spacing w:after="0"/>
              <w:rPr>
                <w:sz w:val="20"/>
                <w:szCs w:val="20"/>
                <w:color w:val="auto"/>
              </w:rPr>
            </w:pPr>
            <w:r>
              <w:rPr>
                <w:rFonts w:ascii="Arial" w:cs="Arial" w:eastAsia="Arial" w:hAnsi="Arial"/>
                <w:sz w:val="14"/>
                <w:szCs w:val="14"/>
                <w:color w:val="auto"/>
              </w:rPr>
              <w:t>Miglani</w:t>
            </w:r>
          </w:p>
        </w:tc>
        <w:tc>
          <w:tcPr>
            <w:tcW w:w="116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164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2/24/2016</w:t>
            </w:r>
          </w:p>
        </w:tc>
        <w:tc>
          <w:tcPr>
            <w:tcW w:w="7360" w:type="dxa"/>
            <w:vAlign w:val="bottom"/>
            <w:shd w:val="clear" w:color="auto" w:fill="D0E0F0"/>
          </w:tcPr>
          <w:p>
            <w:pPr>
              <w:ind w:left="16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12/31/2018</w:t>
            </w:r>
          </w:p>
        </w:tc>
      </w:tr>
      <w:tr>
        <w:trPr>
          <w:trHeight w:val="162"/>
        </w:trPr>
        <w:tc>
          <w:tcPr>
            <w:tcW w:w="1260" w:type="dxa"/>
            <w:vAlign w:val="bottom"/>
            <w:shd w:val="clear" w:color="auto" w:fill="D0E0F0"/>
          </w:tcPr>
          <w:p>
            <w:pPr>
              <w:spacing w:after="0"/>
              <w:rPr>
                <w:sz w:val="14"/>
                <w:szCs w:val="14"/>
                <w:color w:val="auto"/>
              </w:rPr>
            </w:pPr>
          </w:p>
        </w:tc>
        <w:tc>
          <w:tcPr>
            <w:tcW w:w="116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164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2/24/2016</w:t>
            </w:r>
          </w:p>
        </w:tc>
        <w:tc>
          <w:tcPr>
            <w:tcW w:w="7360" w:type="dxa"/>
            <w:vAlign w:val="bottom"/>
            <w:shd w:val="clear" w:color="auto" w:fill="D0E0F0"/>
          </w:tcPr>
          <w:p>
            <w:pPr>
              <w:ind w:left="16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25% each year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-1560195</wp:posOffset>
            </wp:positionV>
            <wp:extent cx="71266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Employment Agreements</w:t>
      </w:r>
    </w:p>
    <w:p>
      <w:pPr>
        <w:spacing w:after="0" w:line="220" w:lineRule="exact"/>
        <w:rPr>
          <w:sz w:val="20"/>
          <w:szCs w:val="20"/>
          <w:color w:val="auto"/>
        </w:rPr>
      </w:pPr>
    </w:p>
    <w:p>
      <w:pPr>
        <w:ind w:right="40" w:firstLine="324"/>
        <w:spacing w:after="0"/>
        <w:rPr>
          <w:sz w:val="20"/>
          <w:szCs w:val="20"/>
          <w:color w:val="auto"/>
        </w:rPr>
      </w:pPr>
      <w:r>
        <w:rPr>
          <w:rFonts w:ascii="Arial" w:cs="Arial" w:eastAsia="Arial" w:hAnsi="Arial"/>
          <w:sz w:val="18"/>
          <w:szCs w:val="18"/>
          <w:color w:val="auto"/>
        </w:rPr>
        <w:t>In addition to the terms described below, the employment and severance agreements for each of our named executive officers include severance, termination and/or noncompetition provisions which are described below under “Potential Payments upon Termination or Change in Control at Fiscal 2016 Year-End” beginning on page 50.</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Rohit Kapoor</w:t>
      </w:r>
    </w:p>
    <w:p>
      <w:pPr>
        <w:spacing w:after="0" w:line="220"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Mr. Kapoor serves as our Vice Chairman and CEO, and is based at our executive offices in New York, New York. We entered into an employment agreement with him, dated April 29, 2015. Mr. Kapoor’s employment agreement provides for an initial term that commenced January 1, 2015 and extends until December 31, 2017 and automatically renews for successive one-year periods unless terminated with 120 days prior notice.</w:t>
      </w:r>
    </w:p>
    <w:p>
      <w:pPr>
        <w:spacing w:after="0" w:line="170"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Kapoor’s base salary was increased to $620,000, effective April 1, 2016. Mr. Kapoor’s base salary can</w:t>
      </w:r>
      <w:r>
        <w:rPr>
          <w:rFonts w:ascii="Arial" w:cs="Arial" w:eastAsia="Arial" w:hAnsi="Arial"/>
          <w:sz w:val="18"/>
          <w:szCs w:val="18"/>
          <w:i w:val="1"/>
          <w:iCs w:val="1"/>
          <w:color w:val="auto"/>
        </w:rPr>
        <w:t xml:space="preserve"> </w:t>
      </w:r>
      <w:r>
        <w:rPr>
          <w:rFonts w:ascii="Arial" w:cs="Arial" w:eastAsia="Arial" w:hAnsi="Arial"/>
          <w:sz w:val="18"/>
          <w:szCs w:val="18"/>
          <w:color w:val="auto"/>
        </w:rPr>
        <w:t>be increased at our sole discretion and cannot be decreased unless a Company-wide decrease in pay is implemented. Mr. Kapoor can earn an annual cash bonus, with a target of 100% of base salary and a maximum of 200% of base salary, based upon the attainment of performance criteria determined by our Compensation Committee. Mr. Kapoor remains eligible to receive equity-based awards annually during the term, in amounts and forms determined by the Compensation Committee, but with vesting terms no less favorable than ratable vesting over four years from the date of grant.</w:t>
      </w:r>
    </w:p>
    <w:p>
      <w:pPr>
        <w:spacing w:after="0" w:line="189"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Pursuant to the terms of our 2006 Omnibus Award Plan (the “2006 Plan”), Mr. Kapoor received a Stock Price Performance Award in the second quarter of 2015 that he may earn based on the Company’s average stock price exceeding certain targets during the 60 day period prior to December 31, 2017 and contingent upon his continuous service through that date. The amount of PRUSs Mr. Kapoor ultimately receives may be between 0% and 200% of his Target Award, based on actual performance.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Personal Benefits</w:t>
      </w:r>
    </w:p>
    <w:p>
      <w:pPr>
        <w:spacing w:after="0" w:line="220"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We provide Mr. Kapoor with certain personal benefits, including certain club memberships, term life insurance policy (with a face value of $500,000), once-a-year business class airfare between the United States and India for the executive and his family, up to $12,000</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46" w:name="page47"/>
    <w:bookmarkEnd w:id="46"/>
    <w:p>
      <w:pPr>
        <w:ind w:right="180"/>
        <w:spacing w:after="0" w:line="239" w:lineRule="auto"/>
        <w:rPr>
          <w:sz w:val="20"/>
          <w:szCs w:val="20"/>
          <w:color w:val="auto"/>
        </w:rPr>
      </w:pPr>
      <w:r>
        <w:rPr>
          <w:rFonts w:ascii="Arial" w:cs="Arial" w:eastAsia="Arial" w:hAnsi="Arial"/>
          <w:sz w:val="18"/>
          <w:szCs w:val="18"/>
          <w:color w:val="auto"/>
        </w:rPr>
        <w:t>for personal tax and estate planning expenses, up to $1,400 per month car allowance, up to $12,000 per year for expenses associated with maintaining an automobile in India (including cost of a driver), personal security for the executive and his family while in India, reimbursement for first-class business travel, and a per diem allowance for certain trips. In addition, his employment agreement entitles him to certain other benefits in the event he is relocated to India, but which are not applicable currently as he maintains a U.S. residency.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Vishal Chhibbar</w:t>
      </w:r>
    </w:p>
    <w:p>
      <w:pPr>
        <w:spacing w:after="0" w:line="220"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Mr. Chhibbar serves as our Executive Vice President and CFO, and was based in India until December 31, 2015. We entered into an employment agreement with him, effective January 1, 2016 which will continue throughout Mr. Chhibbar’s employment with the Company.</w:t>
      </w:r>
    </w:p>
    <w:p>
      <w:pPr>
        <w:spacing w:after="0" w:line="142"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Chhibbar’s base salary was increased to $400,000, effective January 1, 2016. Mr. Chhibbar’s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will be reviewed at least annually and may be increased at the discretion of the Board. In addition, under his agreement, Mr. Chhibbar can earn an annual cash bonus, with a target of 60% of base salary and a maximum of 120% of base salary, based upon the attainment of performance criteria determined by our Compensation Committee. Mr. Chhibbar is also eligible, subject to performance and other conditions, to receive annual equity awards at the discretion of the Compensation Committee. Mr. Chhibbar was entitled to receive $100,000 in connection with his relocation from India to New York, New York in 2016.</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Pavan Bagai</w:t>
      </w:r>
    </w:p>
    <w:p>
      <w:pPr>
        <w:spacing w:after="0" w:line="220" w:lineRule="exact"/>
        <w:rPr>
          <w:sz w:val="20"/>
          <w:szCs w:val="20"/>
          <w:color w:val="auto"/>
        </w:rPr>
      </w:pPr>
    </w:p>
    <w:p>
      <w:pPr>
        <w:jc w:val="both"/>
        <w:ind w:right="140" w:firstLine="648"/>
        <w:spacing w:after="0"/>
        <w:rPr>
          <w:sz w:val="20"/>
          <w:szCs w:val="20"/>
          <w:color w:val="auto"/>
        </w:rPr>
      </w:pPr>
      <w:r>
        <w:rPr>
          <w:rFonts w:ascii="Arial" w:cs="Arial" w:eastAsia="Arial" w:hAnsi="Arial"/>
          <w:sz w:val="18"/>
          <w:szCs w:val="18"/>
          <w:color w:val="auto"/>
        </w:rPr>
        <w:t>Mr. Bagai serves as our President and Chief Operating Officer, and is based in India. We entered into an employment agreement with him, effective July 31, 2002 and a severance letter, effective March 15, 2011, each of which will continue throughout Mr. Bagai’s employment with the Company.</w:t>
      </w:r>
    </w:p>
    <w:p>
      <w:pPr>
        <w:spacing w:after="0" w:line="171" w:lineRule="exact"/>
        <w:rPr>
          <w:sz w:val="20"/>
          <w:szCs w:val="20"/>
          <w:color w:val="auto"/>
        </w:rPr>
      </w:pPr>
    </w:p>
    <w:p>
      <w:pPr>
        <w:ind w:right="120" w:firstLine="648"/>
        <w:spacing w:after="0" w:line="241"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Bagai’s annual fixed compensation, measured in his home currency of Indian rupees, was increased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7.98% effective April 1, 2016. Mr. Bagai’s annual fixed compensation includes base salary, as well as amounts available as a leave travel allowance, a housing allowance, an automobile allowance, a medical allowance and a cash supplementary allowance. In addition, Mr. Bagai can earn an annual cash bonus, with a target of 75% of annual fixed compensation and a maximum of 150% of annual fixed compensation in 2016, based upon the attainment of performance criteria determined by our Compensation Committee. Mr. Bagai is also eligible, subject to performance and other conditions, to receive annual equity awards at the discretion of the Compensation Committee.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Rembert de Villa</w:t>
      </w:r>
    </w:p>
    <w:p>
      <w:pPr>
        <w:spacing w:after="0" w:line="220"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Mr. de Villa serves as our Executive Vice President and Head of Healthcare and is based at our executive offices in New York, New York. We entered into an offer letter with him, effective as of March 20, 2008, and severance protection letter agreement, effective as of March 15, 2011.</w:t>
      </w:r>
    </w:p>
    <w:p>
      <w:pPr>
        <w:spacing w:after="0" w:line="171"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de Villa’s base salary was increased from $400,000 to $410,000 (</w:t>
      </w:r>
      <w:r>
        <w:rPr>
          <w:rFonts w:ascii="Arial" w:cs="Arial" w:eastAsia="Arial" w:hAnsi="Arial"/>
          <w:sz w:val="18"/>
          <w:szCs w:val="18"/>
          <w:i w:val="1"/>
          <w:iCs w:val="1"/>
          <w:color w:val="auto"/>
        </w:rPr>
        <w:t>i.e.</w:t>
      </w:r>
      <w:r>
        <w:rPr>
          <w:rFonts w:ascii="Arial" w:cs="Arial" w:eastAsia="Arial" w:hAnsi="Arial"/>
          <w:sz w:val="18"/>
          <w:szCs w:val="18"/>
          <w:color w:val="auto"/>
        </w:rPr>
        <w:t>, by 2.5%), effective April 1, 2016.</w:t>
      </w:r>
      <w:r>
        <w:rPr>
          <w:rFonts w:ascii="Arial" w:cs="Arial" w:eastAsia="Arial" w:hAnsi="Arial"/>
          <w:sz w:val="18"/>
          <w:szCs w:val="18"/>
          <w:i w:val="1"/>
          <w:iCs w:val="1"/>
          <w:color w:val="auto"/>
        </w:rPr>
        <w:t xml:space="preserve"> </w:t>
      </w:r>
      <w:r>
        <w:rPr>
          <w:rFonts w:ascii="Arial" w:cs="Arial" w:eastAsia="Arial" w:hAnsi="Arial"/>
          <w:sz w:val="18"/>
          <w:szCs w:val="18"/>
          <w:color w:val="auto"/>
        </w:rPr>
        <w:t>Mr. de Villa can earn an annual cash bonus, with a target of 75% of base salary and a maximum of 150% of base salary in 2016, based upon the attainment of criteria determined by our Compensation Committee. Mr. de Villa is also eligible, subject to performance and other conditions, to receive annual equity awards at the discretion of the Compensation Committee.</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7" w:name="page48"/>
    <w:bookmarkEnd w:id="47"/>
    <w:p>
      <w:pPr>
        <w:ind w:left="340"/>
        <w:spacing w:after="0"/>
        <w:rPr>
          <w:sz w:val="20"/>
          <w:szCs w:val="20"/>
          <w:color w:val="auto"/>
        </w:rPr>
      </w:pPr>
      <w:r>
        <w:rPr>
          <w:rFonts w:ascii="Arial" w:cs="Arial" w:eastAsia="Arial" w:hAnsi="Arial"/>
          <w:sz w:val="18"/>
          <w:szCs w:val="18"/>
          <w:b w:val="1"/>
          <w:bCs w:val="1"/>
          <w:i w:val="1"/>
          <w:iCs w:val="1"/>
          <w:color w:val="auto"/>
        </w:rPr>
        <w:t>Nalin Miglani</w:t>
      </w:r>
    </w:p>
    <w:p>
      <w:pPr>
        <w:spacing w:after="0" w:line="22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Mr. Miglani serves as our Executive Vice President and Chief Human Resources Officer, and is based at our executive offices in New York, New York. We entered into an employment agreement with him, effective December 1, 2014, which will continue throughout Mr. Miglani’s employment with the Company.</w:t>
      </w:r>
    </w:p>
    <w:p>
      <w:pPr>
        <w:spacing w:after="0" w:line="171"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Miglani’s base salary was increased from $400,000 to $410,000 (</w:t>
      </w:r>
      <w:r>
        <w:rPr>
          <w:rFonts w:ascii="Arial" w:cs="Arial" w:eastAsia="Arial" w:hAnsi="Arial"/>
          <w:sz w:val="18"/>
          <w:szCs w:val="18"/>
          <w:i w:val="1"/>
          <w:iCs w:val="1"/>
          <w:color w:val="auto"/>
        </w:rPr>
        <w:t>i.e.</w:t>
      </w:r>
      <w:r>
        <w:rPr>
          <w:rFonts w:ascii="Arial" w:cs="Arial" w:eastAsia="Arial" w:hAnsi="Arial"/>
          <w:sz w:val="18"/>
          <w:szCs w:val="18"/>
          <w:color w:val="auto"/>
        </w:rPr>
        <w:t>, by 2.5%), effective April 1, 2016</w:t>
      </w:r>
      <w:r>
        <w:rPr>
          <w:rFonts w:ascii="Arial" w:cs="Arial" w:eastAsia="Arial" w:hAnsi="Arial"/>
          <w:sz w:val="18"/>
          <w:szCs w:val="18"/>
          <w:i w:val="1"/>
          <w:iCs w:val="1"/>
          <w:color w:val="auto"/>
        </w:rPr>
        <w:t xml:space="preserve"> </w:t>
      </w:r>
      <w:r>
        <w:rPr>
          <w:rFonts w:ascii="Arial" w:cs="Arial" w:eastAsia="Arial" w:hAnsi="Arial"/>
          <w:sz w:val="18"/>
          <w:szCs w:val="18"/>
          <w:color w:val="auto"/>
        </w:rPr>
        <w:t>and may be further increased from time to time by our Board. While employed, Mr. Miglani can earn an annual cash bonus, with a target of 60% of base salary and a maximum of 120% of base salary, based upon attainment of performance criteria determined by our Compensation Committee. Mr. Miglani is also eligible, subject to performance and other conditions, to receive annual equity awards at the discretion of the Compensation Committee. Mr. Miglani’s employment agreement provided for: (i) an initial equity award of 20,000 restricted stock units that will vest according to the schedule described below under “Outstanding Equity Awards at Fiscal 2016 Year-End” beginning on page 46 and (ii) a one-time joining bonus of $200,000 half of which was paid on the commencement of his employment and the other half paid in March 2015, based on his continued service with the Company. Mr. Miglani received $100,000 in connection with his relocation from Amsterdam to New York in 2014.</w:t>
      </w:r>
    </w:p>
    <w:p>
      <w:pPr>
        <w:spacing w:after="0" w:line="189"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Mr. Miglani’s employment agreement also includes severance, termination and noncompetition provisions which are described below under “Potential Payments upon Termination or Change in Control at Fiscal 2016 Year-End” beginning on page 50.</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70" w:right="3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508BC7"/>
        </w:rPr>
        <w:t>Outstanding Equity Awards at Fiscal 2016 Year-End</w:t>
      </w:r>
    </w:p>
    <w:p>
      <w:pPr>
        <w:spacing w:after="0" w:line="220"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The following table sets forth the equity awards we have made to our named executive officers that were outstanding as of December 31,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40" w:type="dxa"/>
            <w:vAlign w:val="bottom"/>
            <w:shd w:val="clear" w:color="auto" w:fill="508BC7"/>
          </w:tcPr>
          <w:p>
            <w:pPr>
              <w:spacing w:after="0"/>
              <w:rPr>
                <w:sz w:val="18"/>
                <w:szCs w:val="18"/>
                <w:color w:val="auto"/>
              </w:rPr>
            </w:pPr>
          </w:p>
        </w:tc>
        <w:tc>
          <w:tcPr>
            <w:tcW w:w="1040" w:type="dxa"/>
            <w:vAlign w:val="bottom"/>
            <w:shd w:val="clear" w:color="auto" w:fill="508BC7"/>
          </w:tcPr>
          <w:p>
            <w:pPr>
              <w:spacing w:after="0"/>
              <w:rPr>
                <w:sz w:val="18"/>
                <w:szCs w:val="18"/>
                <w:color w:val="auto"/>
              </w:rPr>
            </w:pPr>
          </w:p>
        </w:tc>
        <w:tc>
          <w:tcPr>
            <w:tcW w:w="1380" w:type="dxa"/>
            <w:vAlign w:val="bottom"/>
            <w:shd w:val="clear" w:color="auto" w:fill="508BC7"/>
          </w:tcPr>
          <w:p>
            <w:pPr>
              <w:spacing w:after="0"/>
              <w:rPr>
                <w:sz w:val="18"/>
                <w:szCs w:val="18"/>
                <w:color w:val="auto"/>
              </w:rPr>
            </w:pPr>
          </w:p>
        </w:tc>
        <w:tc>
          <w:tcPr>
            <w:tcW w:w="2280" w:type="dxa"/>
            <w:vAlign w:val="bottom"/>
            <w:gridSpan w:val="2"/>
            <w:shd w:val="clear" w:color="auto" w:fill="508BC7"/>
          </w:tcPr>
          <w:p>
            <w:pPr>
              <w:jc w:val="right"/>
              <w:ind w:right="668"/>
              <w:spacing w:after="0"/>
              <w:rPr>
                <w:sz w:val="20"/>
                <w:szCs w:val="20"/>
                <w:color w:val="auto"/>
              </w:rPr>
            </w:pPr>
            <w:r>
              <w:rPr>
                <w:rFonts w:ascii="Arial" w:cs="Arial" w:eastAsia="Arial" w:hAnsi="Arial"/>
                <w:sz w:val="14"/>
                <w:szCs w:val="14"/>
                <w:b w:val="1"/>
                <w:bCs w:val="1"/>
                <w:color w:val="FFFFFF"/>
              </w:rPr>
              <w:t>Option Awards</w:t>
            </w:r>
          </w:p>
        </w:tc>
        <w:tc>
          <w:tcPr>
            <w:tcW w:w="1140" w:type="dxa"/>
            <w:vAlign w:val="bottom"/>
            <w:shd w:val="clear" w:color="auto" w:fill="508BC7"/>
          </w:tcPr>
          <w:p>
            <w:pPr>
              <w:spacing w:after="0"/>
              <w:rPr>
                <w:sz w:val="18"/>
                <w:szCs w:val="18"/>
                <w:color w:val="auto"/>
              </w:rPr>
            </w:pPr>
          </w:p>
        </w:tc>
        <w:tc>
          <w:tcPr>
            <w:tcW w:w="1140" w:type="dxa"/>
            <w:vAlign w:val="bottom"/>
            <w:shd w:val="clear" w:color="auto" w:fill="508BC7"/>
          </w:tcPr>
          <w:p>
            <w:pPr>
              <w:spacing w:after="0"/>
              <w:rPr>
                <w:sz w:val="18"/>
                <w:szCs w:val="18"/>
                <w:color w:val="auto"/>
              </w:rPr>
            </w:pPr>
          </w:p>
        </w:tc>
        <w:tc>
          <w:tcPr>
            <w:tcW w:w="2260" w:type="dxa"/>
            <w:vAlign w:val="bottom"/>
            <w:gridSpan w:val="2"/>
            <w:shd w:val="clear" w:color="auto" w:fill="508BC7"/>
          </w:tcPr>
          <w:p>
            <w:pPr>
              <w:jc w:val="right"/>
              <w:ind w:right="589"/>
              <w:spacing w:after="0"/>
              <w:rPr>
                <w:sz w:val="20"/>
                <w:szCs w:val="20"/>
                <w:color w:val="auto"/>
              </w:rPr>
            </w:pPr>
            <w:r>
              <w:rPr>
                <w:rFonts w:ascii="Arial" w:cs="Arial" w:eastAsia="Arial" w:hAnsi="Arial"/>
                <w:sz w:val="14"/>
                <w:szCs w:val="14"/>
                <w:b w:val="1"/>
                <w:bCs w:val="1"/>
                <w:color w:val="FFFFFF"/>
              </w:rPr>
              <w:t>Stock Awards</w:t>
            </w:r>
          </w:p>
        </w:tc>
        <w:tc>
          <w:tcPr>
            <w:tcW w:w="1140" w:type="dxa"/>
            <w:vAlign w:val="bottom"/>
            <w:vMerge w:val="restart"/>
            <w:shd w:val="clear" w:color="auto" w:fill="508BC7"/>
          </w:tcPr>
          <w:p>
            <w:pPr>
              <w:jc w:val="center"/>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28"/>
        </w:trPr>
        <w:tc>
          <w:tcPr>
            <w:tcW w:w="1040" w:type="dxa"/>
            <w:vAlign w:val="bottom"/>
            <w:shd w:val="clear" w:color="auto" w:fill="508BC7"/>
          </w:tcPr>
          <w:p>
            <w:pPr>
              <w:spacing w:after="0"/>
              <w:rPr>
                <w:sz w:val="11"/>
                <w:szCs w:val="11"/>
                <w:color w:val="auto"/>
              </w:rPr>
            </w:pPr>
          </w:p>
        </w:tc>
        <w:tc>
          <w:tcPr>
            <w:tcW w:w="1040" w:type="dxa"/>
            <w:vAlign w:val="bottom"/>
            <w:shd w:val="clear" w:color="auto" w:fill="508BC7"/>
          </w:tcPr>
          <w:p>
            <w:pPr>
              <w:spacing w:after="0"/>
              <w:rPr>
                <w:sz w:val="11"/>
                <w:szCs w:val="11"/>
                <w:color w:val="auto"/>
              </w:rPr>
            </w:pPr>
          </w:p>
        </w:tc>
        <w:tc>
          <w:tcPr>
            <w:tcW w:w="1380" w:type="dxa"/>
            <w:vAlign w:val="bottom"/>
            <w:shd w:val="clear" w:color="auto" w:fill="508BC7"/>
          </w:tcPr>
          <w:p>
            <w:pPr>
              <w:spacing w:after="0"/>
              <w:rPr>
                <w:sz w:val="11"/>
                <w:szCs w:val="11"/>
                <w:color w:val="auto"/>
              </w:rPr>
            </w:pPr>
          </w:p>
        </w:tc>
        <w:tc>
          <w:tcPr>
            <w:tcW w:w="1160" w:type="dxa"/>
            <w:vAlign w:val="bottom"/>
            <w:shd w:val="clear" w:color="auto" w:fill="508BC7"/>
          </w:tcPr>
          <w:p>
            <w:pPr>
              <w:spacing w:after="0"/>
              <w:rPr>
                <w:sz w:val="11"/>
                <w:szCs w:val="11"/>
                <w:color w:val="auto"/>
              </w:rPr>
            </w:pPr>
          </w:p>
        </w:tc>
        <w:tc>
          <w:tcPr>
            <w:tcW w:w="1120" w:type="dxa"/>
            <w:vAlign w:val="bottom"/>
            <w:shd w:val="clear" w:color="auto" w:fill="508BC7"/>
          </w:tcPr>
          <w:p>
            <w:pPr>
              <w:spacing w:after="0"/>
              <w:rPr>
                <w:sz w:val="11"/>
                <w:szCs w:val="11"/>
                <w:color w:val="auto"/>
              </w:rPr>
            </w:pPr>
          </w:p>
        </w:tc>
        <w:tc>
          <w:tcPr>
            <w:tcW w:w="1140" w:type="dxa"/>
            <w:vAlign w:val="bottom"/>
            <w:shd w:val="clear" w:color="auto" w:fill="508BC7"/>
          </w:tcPr>
          <w:p>
            <w:pPr>
              <w:spacing w:after="0"/>
              <w:rPr>
                <w:sz w:val="11"/>
                <w:szCs w:val="11"/>
                <w:color w:val="auto"/>
              </w:rPr>
            </w:pPr>
          </w:p>
        </w:tc>
        <w:tc>
          <w:tcPr>
            <w:tcW w:w="1140" w:type="dxa"/>
            <w:vAlign w:val="bottom"/>
            <w:shd w:val="clear" w:color="auto" w:fill="508BC7"/>
          </w:tcPr>
          <w:p>
            <w:pPr>
              <w:spacing w:after="0"/>
              <w:rPr>
                <w:sz w:val="11"/>
                <w:szCs w:val="11"/>
                <w:color w:val="auto"/>
              </w:rPr>
            </w:pPr>
          </w:p>
        </w:tc>
        <w:tc>
          <w:tcPr>
            <w:tcW w:w="1140" w:type="dxa"/>
            <w:vAlign w:val="bottom"/>
            <w:shd w:val="clear" w:color="auto" w:fill="508BC7"/>
          </w:tcPr>
          <w:p>
            <w:pPr>
              <w:spacing w:after="0"/>
              <w:rPr>
                <w:sz w:val="11"/>
                <w:szCs w:val="11"/>
                <w:color w:val="auto"/>
              </w:rPr>
            </w:pPr>
          </w:p>
        </w:tc>
        <w:tc>
          <w:tcPr>
            <w:tcW w:w="1120" w:type="dxa"/>
            <w:vAlign w:val="bottom"/>
            <w:shd w:val="clear" w:color="auto" w:fill="508BC7"/>
          </w:tcPr>
          <w:p>
            <w:pPr>
              <w:spacing w:after="0"/>
              <w:rPr>
                <w:sz w:val="11"/>
                <w:szCs w:val="11"/>
                <w:color w:val="auto"/>
              </w:rPr>
            </w:pPr>
          </w:p>
        </w:tc>
        <w:tc>
          <w:tcPr>
            <w:tcW w:w="1140" w:type="dxa"/>
            <w:vAlign w:val="bottom"/>
            <w:vMerge w:val="continue"/>
            <w:shd w:val="clear" w:color="auto" w:fill="508BC7"/>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508BC7"/>
          </w:tcPr>
          <w:p>
            <w:pPr>
              <w:spacing w:after="0"/>
              <w:rPr>
                <w:sz w:val="14"/>
                <w:szCs w:val="14"/>
                <w:color w:val="auto"/>
              </w:rPr>
            </w:pPr>
          </w:p>
        </w:tc>
        <w:tc>
          <w:tcPr>
            <w:tcW w:w="1040" w:type="dxa"/>
            <w:vAlign w:val="bottom"/>
            <w:shd w:val="clear" w:color="auto" w:fill="508BC7"/>
          </w:tcPr>
          <w:p>
            <w:pPr>
              <w:spacing w:after="0"/>
              <w:rPr>
                <w:sz w:val="14"/>
                <w:szCs w:val="14"/>
                <w:color w:val="auto"/>
              </w:rPr>
            </w:pPr>
          </w:p>
        </w:tc>
        <w:tc>
          <w:tcPr>
            <w:tcW w:w="138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1120" w:type="dxa"/>
            <w:vAlign w:val="bottom"/>
            <w:shd w:val="clear" w:color="auto" w:fill="508BC7"/>
          </w:tcPr>
          <w:p>
            <w:pPr>
              <w:spacing w:after="0"/>
              <w:rPr>
                <w:sz w:val="14"/>
                <w:szCs w:val="14"/>
                <w:color w:val="auto"/>
              </w:rPr>
            </w:pPr>
          </w:p>
        </w:tc>
        <w:tc>
          <w:tcPr>
            <w:tcW w:w="1140" w:type="dxa"/>
            <w:vAlign w:val="bottom"/>
            <w:shd w:val="clear" w:color="auto" w:fill="508BC7"/>
          </w:tcPr>
          <w:p>
            <w:pPr>
              <w:spacing w:after="0"/>
              <w:rPr>
                <w:sz w:val="14"/>
                <w:szCs w:val="14"/>
                <w:color w:val="auto"/>
              </w:rPr>
            </w:pPr>
          </w:p>
        </w:tc>
        <w:tc>
          <w:tcPr>
            <w:tcW w:w="1140" w:type="dxa"/>
            <w:vAlign w:val="bottom"/>
            <w:shd w:val="clear" w:color="auto" w:fill="508BC7"/>
          </w:tcPr>
          <w:p>
            <w:pPr>
              <w:spacing w:after="0"/>
              <w:rPr>
                <w:sz w:val="14"/>
                <w:szCs w:val="14"/>
                <w:color w:val="auto"/>
              </w:rPr>
            </w:pPr>
          </w:p>
        </w:tc>
        <w:tc>
          <w:tcPr>
            <w:tcW w:w="1140" w:type="dxa"/>
            <w:vAlign w:val="bottom"/>
            <w:shd w:val="clear" w:color="auto" w:fill="508BC7"/>
          </w:tcPr>
          <w:p>
            <w:pPr>
              <w:spacing w:after="0"/>
              <w:rPr>
                <w:sz w:val="14"/>
                <w:szCs w:val="14"/>
                <w:color w:val="auto"/>
              </w:rPr>
            </w:pPr>
          </w:p>
        </w:tc>
        <w:tc>
          <w:tcPr>
            <w:tcW w:w="1120" w:type="dxa"/>
            <w:vAlign w:val="bottom"/>
            <w:shd w:val="clear" w:color="auto" w:fill="508BC7"/>
          </w:tcPr>
          <w:p>
            <w:pPr>
              <w:spacing w:after="0"/>
              <w:rPr>
                <w:sz w:val="14"/>
                <w:szCs w:val="14"/>
                <w:color w:val="auto"/>
              </w:rPr>
            </w:pP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Incentive Plan</w:t>
            </w:r>
          </w:p>
        </w:tc>
        <w:tc>
          <w:tcPr>
            <w:tcW w:w="0" w:type="dxa"/>
            <w:vAlign w:val="bottom"/>
          </w:tcPr>
          <w:p>
            <w:pPr>
              <w:spacing w:after="0"/>
              <w:rPr>
                <w:sz w:val="1"/>
                <w:szCs w:val="1"/>
                <w:color w:val="auto"/>
              </w:rPr>
            </w:pPr>
          </w:p>
        </w:tc>
      </w:tr>
      <w:tr>
        <w:trPr>
          <w:trHeight w:val="162"/>
        </w:trPr>
        <w:tc>
          <w:tcPr>
            <w:tcW w:w="1040" w:type="dxa"/>
            <w:vAlign w:val="bottom"/>
            <w:shd w:val="clear" w:color="auto" w:fill="508BC7"/>
          </w:tcPr>
          <w:p>
            <w:pPr>
              <w:spacing w:after="0"/>
              <w:rPr>
                <w:sz w:val="14"/>
                <w:szCs w:val="14"/>
                <w:color w:val="auto"/>
              </w:rPr>
            </w:pPr>
          </w:p>
        </w:tc>
        <w:tc>
          <w:tcPr>
            <w:tcW w:w="1040" w:type="dxa"/>
            <w:vAlign w:val="bottom"/>
            <w:shd w:val="clear" w:color="auto" w:fill="508BC7"/>
          </w:tcPr>
          <w:p>
            <w:pPr>
              <w:spacing w:after="0"/>
              <w:rPr>
                <w:sz w:val="14"/>
                <w:szCs w:val="14"/>
                <w:color w:val="auto"/>
              </w:rPr>
            </w:pPr>
          </w:p>
        </w:tc>
        <w:tc>
          <w:tcPr>
            <w:tcW w:w="138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1120" w:type="dxa"/>
            <w:vAlign w:val="bottom"/>
            <w:shd w:val="clear" w:color="auto" w:fill="508BC7"/>
          </w:tcPr>
          <w:p>
            <w:pPr>
              <w:spacing w:after="0"/>
              <w:rPr>
                <w:sz w:val="14"/>
                <w:szCs w:val="14"/>
                <w:color w:val="auto"/>
              </w:rPr>
            </w:pPr>
          </w:p>
        </w:tc>
        <w:tc>
          <w:tcPr>
            <w:tcW w:w="1140" w:type="dxa"/>
            <w:vAlign w:val="bottom"/>
            <w:shd w:val="clear" w:color="auto" w:fill="508BC7"/>
          </w:tcPr>
          <w:p>
            <w:pPr>
              <w:spacing w:after="0"/>
              <w:rPr>
                <w:sz w:val="14"/>
                <w:szCs w:val="14"/>
                <w:color w:val="auto"/>
              </w:rPr>
            </w:pPr>
          </w:p>
        </w:tc>
        <w:tc>
          <w:tcPr>
            <w:tcW w:w="1140" w:type="dxa"/>
            <w:vAlign w:val="bottom"/>
            <w:shd w:val="clear" w:color="auto" w:fill="508BC7"/>
          </w:tcPr>
          <w:p>
            <w:pPr>
              <w:spacing w:after="0"/>
              <w:rPr>
                <w:sz w:val="14"/>
                <w:szCs w:val="14"/>
                <w:color w:val="auto"/>
              </w:rPr>
            </w:pPr>
          </w:p>
        </w:tc>
        <w:tc>
          <w:tcPr>
            <w:tcW w:w="1140" w:type="dxa"/>
            <w:vAlign w:val="bottom"/>
            <w:shd w:val="clear" w:color="auto" w:fill="508BC7"/>
          </w:tcPr>
          <w:p>
            <w:pPr>
              <w:spacing w:after="0"/>
              <w:rPr>
                <w:sz w:val="14"/>
                <w:szCs w:val="14"/>
                <w:color w:val="auto"/>
              </w:rPr>
            </w:pPr>
          </w:p>
        </w:tc>
        <w:tc>
          <w:tcPr>
            <w:tcW w:w="112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Equity</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62"/>
        </w:trPr>
        <w:tc>
          <w:tcPr>
            <w:tcW w:w="1040" w:type="dxa"/>
            <w:vAlign w:val="bottom"/>
            <w:shd w:val="clear" w:color="auto" w:fill="508BC7"/>
          </w:tcPr>
          <w:p>
            <w:pPr>
              <w:spacing w:after="0"/>
              <w:rPr>
                <w:sz w:val="14"/>
                <w:szCs w:val="14"/>
                <w:color w:val="auto"/>
              </w:rPr>
            </w:pPr>
          </w:p>
        </w:tc>
        <w:tc>
          <w:tcPr>
            <w:tcW w:w="1040" w:type="dxa"/>
            <w:vAlign w:val="bottom"/>
            <w:shd w:val="clear" w:color="auto" w:fill="508BC7"/>
          </w:tcPr>
          <w:p>
            <w:pPr>
              <w:spacing w:after="0"/>
              <w:rPr>
                <w:sz w:val="14"/>
                <w:szCs w:val="14"/>
                <w:color w:val="auto"/>
              </w:rPr>
            </w:pPr>
          </w:p>
        </w:tc>
        <w:tc>
          <w:tcPr>
            <w:tcW w:w="138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1120" w:type="dxa"/>
            <w:vAlign w:val="bottom"/>
            <w:shd w:val="clear" w:color="auto" w:fill="508BC7"/>
          </w:tcPr>
          <w:p>
            <w:pPr>
              <w:spacing w:after="0"/>
              <w:rPr>
                <w:sz w:val="14"/>
                <w:szCs w:val="14"/>
                <w:color w:val="auto"/>
              </w:rPr>
            </w:pPr>
          </w:p>
        </w:tc>
        <w:tc>
          <w:tcPr>
            <w:tcW w:w="1140" w:type="dxa"/>
            <w:vAlign w:val="bottom"/>
            <w:shd w:val="clear" w:color="auto" w:fill="508BC7"/>
          </w:tcPr>
          <w:p>
            <w:pPr>
              <w:spacing w:after="0"/>
              <w:rPr>
                <w:sz w:val="14"/>
                <w:szCs w:val="14"/>
                <w:color w:val="auto"/>
              </w:rPr>
            </w:pP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Number</w:t>
            </w:r>
          </w:p>
        </w:tc>
        <w:tc>
          <w:tcPr>
            <w:tcW w:w="1140" w:type="dxa"/>
            <w:vAlign w:val="bottom"/>
            <w:shd w:val="clear" w:color="auto" w:fill="508BC7"/>
          </w:tcPr>
          <w:p>
            <w:pPr>
              <w:spacing w:after="0"/>
              <w:rPr>
                <w:sz w:val="14"/>
                <w:szCs w:val="14"/>
                <w:color w:val="auto"/>
              </w:rPr>
            </w:pPr>
          </w:p>
        </w:tc>
        <w:tc>
          <w:tcPr>
            <w:tcW w:w="112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Incentive</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Market</w:t>
            </w:r>
          </w:p>
        </w:tc>
        <w:tc>
          <w:tcPr>
            <w:tcW w:w="0" w:type="dxa"/>
            <w:vAlign w:val="bottom"/>
          </w:tcPr>
          <w:p>
            <w:pPr>
              <w:spacing w:after="0"/>
              <w:rPr>
                <w:sz w:val="1"/>
                <w:szCs w:val="1"/>
                <w:color w:val="auto"/>
              </w:rPr>
            </w:pPr>
          </w:p>
        </w:tc>
      </w:tr>
      <w:tr>
        <w:trPr>
          <w:trHeight w:val="162"/>
        </w:trPr>
        <w:tc>
          <w:tcPr>
            <w:tcW w:w="1040" w:type="dxa"/>
            <w:vAlign w:val="bottom"/>
            <w:shd w:val="clear" w:color="auto" w:fill="508BC7"/>
          </w:tcPr>
          <w:p>
            <w:pPr>
              <w:spacing w:after="0"/>
              <w:rPr>
                <w:sz w:val="14"/>
                <w:szCs w:val="14"/>
                <w:color w:val="auto"/>
              </w:rPr>
            </w:pPr>
          </w:p>
        </w:tc>
        <w:tc>
          <w:tcPr>
            <w:tcW w:w="1040" w:type="dxa"/>
            <w:vAlign w:val="bottom"/>
            <w:shd w:val="clear" w:color="auto" w:fill="508BC7"/>
          </w:tcPr>
          <w:p>
            <w:pPr>
              <w:spacing w:after="0"/>
              <w:rPr>
                <w:sz w:val="14"/>
                <w:szCs w:val="14"/>
                <w:color w:val="auto"/>
              </w:rPr>
            </w:pPr>
          </w:p>
        </w:tc>
        <w:tc>
          <w:tcPr>
            <w:tcW w:w="138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1120" w:type="dxa"/>
            <w:vAlign w:val="bottom"/>
            <w:shd w:val="clear" w:color="auto" w:fill="508BC7"/>
          </w:tcPr>
          <w:p>
            <w:pPr>
              <w:spacing w:after="0"/>
              <w:rPr>
                <w:sz w:val="14"/>
                <w:szCs w:val="14"/>
                <w:color w:val="auto"/>
              </w:rPr>
            </w:pPr>
          </w:p>
        </w:tc>
        <w:tc>
          <w:tcPr>
            <w:tcW w:w="1140" w:type="dxa"/>
            <w:vAlign w:val="bottom"/>
            <w:shd w:val="clear" w:color="auto" w:fill="508BC7"/>
          </w:tcPr>
          <w:p>
            <w:pPr>
              <w:spacing w:after="0"/>
              <w:rPr>
                <w:sz w:val="14"/>
                <w:szCs w:val="14"/>
                <w:color w:val="auto"/>
              </w:rPr>
            </w:pP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of</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Market</w:t>
            </w:r>
          </w:p>
        </w:tc>
        <w:tc>
          <w:tcPr>
            <w:tcW w:w="112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Plan Awards:</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or Payout</w:t>
            </w:r>
          </w:p>
        </w:tc>
        <w:tc>
          <w:tcPr>
            <w:tcW w:w="0" w:type="dxa"/>
            <w:vAlign w:val="bottom"/>
          </w:tcPr>
          <w:p>
            <w:pPr>
              <w:spacing w:after="0"/>
              <w:rPr>
                <w:sz w:val="1"/>
                <w:szCs w:val="1"/>
                <w:color w:val="auto"/>
              </w:rPr>
            </w:pPr>
          </w:p>
        </w:tc>
      </w:tr>
      <w:tr>
        <w:trPr>
          <w:trHeight w:val="162"/>
        </w:trPr>
        <w:tc>
          <w:tcPr>
            <w:tcW w:w="1040" w:type="dxa"/>
            <w:vAlign w:val="bottom"/>
            <w:shd w:val="clear" w:color="auto" w:fill="508BC7"/>
          </w:tcPr>
          <w:p>
            <w:pPr>
              <w:spacing w:after="0"/>
              <w:rPr>
                <w:sz w:val="14"/>
                <w:szCs w:val="14"/>
                <w:color w:val="auto"/>
              </w:rPr>
            </w:pPr>
          </w:p>
        </w:tc>
        <w:tc>
          <w:tcPr>
            <w:tcW w:w="1040" w:type="dxa"/>
            <w:vAlign w:val="bottom"/>
            <w:shd w:val="clear" w:color="auto" w:fill="508BC7"/>
          </w:tcPr>
          <w:p>
            <w:pPr>
              <w:spacing w:after="0"/>
              <w:rPr>
                <w:sz w:val="14"/>
                <w:szCs w:val="14"/>
                <w:color w:val="auto"/>
              </w:rPr>
            </w:pPr>
          </w:p>
        </w:tc>
        <w:tc>
          <w:tcPr>
            <w:tcW w:w="138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1120" w:type="dxa"/>
            <w:vAlign w:val="bottom"/>
            <w:shd w:val="clear" w:color="auto" w:fill="508BC7"/>
          </w:tcPr>
          <w:p>
            <w:pPr>
              <w:spacing w:after="0"/>
              <w:rPr>
                <w:sz w:val="14"/>
                <w:szCs w:val="14"/>
                <w:color w:val="auto"/>
              </w:rPr>
            </w:pPr>
          </w:p>
        </w:tc>
        <w:tc>
          <w:tcPr>
            <w:tcW w:w="1140" w:type="dxa"/>
            <w:vAlign w:val="bottom"/>
            <w:shd w:val="clear" w:color="auto" w:fill="508BC7"/>
          </w:tcPr>
          <w:p>
            <w:pPr>
              <w:spacing w:after="0"/>
              <w:rPr>
                <w:sz w:val="14"/>
                <w:szCs w:val="14"/>
                <w:color w:val="auto"/>
              </w:rPr>
            </w:pP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Shares</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Value of</w:t>
            </w:r>
          </w:p>
        </w:tc>
        <w:tc>
          <w:tcPr>
            <w:tcW w:w="112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Number of</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0" w:type="dxa"/>
            <w:vAlign w:val="bottom"/>
          </w:tcPr>
          <w:p>
            <w:pPr>
              <w:spacing w:after="0"/>
              <w:rPr>
                <w:sz w:val="1"/>
                <w:szCs w:val="1"/>
                <w:color w:val="auto"/>
              </w:rPr>
            </w:pPr>
          </w:p>
        </w:tc>
      </w:tr>
      <w:tr>
        <w:trPr>
          <w:trHeight w:val="162"/>
        </w:trPr>
        <w:tc>
          <w:tcPr>
            <w:tcW w:w="1040" w:type="dxa"/>
            <w:vAlign w:val="bottom"/>
            <w:shd w:val="clear" w:color="auto" w:fill="508BC7"/>
          </w:tcPr>
          <w:p>
            <w:pPr>
              <w:spacing w:after="0"/>
              <w:rPr>
                <w:sz w:val="14"/>
                <w:szCs w:val="14"/>
                <w:color w:val="auto"/>
              </w:rPr>
            </w:pPr>
          </w:p>
        </w:tc>
        <w:tc>
          <w:tcPr>
            <w:tcW w:w="1040" w:type="dxa"/>
            <w:vAlign w:val="bottom"/>
            <w:shd w:val="clear" w:color="auto" w:fill="508BC7"/>
          </w:tcPr>
          <w:p>
            <w:pPr>
              <w:spacing w:after="0"/>
              <w:rPr>
                <w:sz w:val="14"/>
                <w:szCs w:val="14"/>
                <w:color w:val="auto"/>
              </w:rPr>
            </w:pPr>
          </w:p>
        </w:tc>
        <w:tc>
          <w:tcPr>
            <w:tcW w:w="138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1120" w:type="dxa"/>
            <w:vAlign w:val="bottom"/>
            <w:shd w:val="clear" w:color="auto" w:fill="508BC7"/>
          </w:tcPr>
          <w:p>
            <w:pPr>
              <w:spacing w:after="0"/>
              <w:rPr>
                <w:sz w:val="14"/>
                <w:szCs w:val="14"/>
                <w:color w:val="auto"/>
              </w:rPr>
            </w:pPr>
          </w:p>
        </w:tc>
        <w:tc>
          <w:tcPr>
            <w:tcW w:w="1140" w:type="dxa"/>
            <w:vAlign w:val="bottom"/>
            <w:shd w:val="clear" w:color="auto" w:fill="508BC7"/>
          </w:tcPr>
          <w:p>
            <w:pPr>
              <w:spacing w:after="0"/>
              <w:rPr>
                <w:sz w:val="14"/>
                <w:szCs w:val="14"/>
                <w:color w:val="auto"/>
              </w:rPr>
            </w:pP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or Units</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Shares or</w:t>
            </w:r>
          </w:p>
        </w:tc>
        <w:tc>
          <w:tcPr>
            <w:tcW w:w="112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Unearned</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Unearned</w:t>
            </w:r>
          </w:p>
        </w:tc>
        <w:tc>
          <w:tcPr>
            <w:tcW w:w="0" w:type="dxa"/>
            <w:vAlign w:val="bottom"/>
          </w:tcPr>
          <w:p>
            <w:pPr>
              <w:spacing w:after="0"/>
              <w:rPr>
                <w:sz w:val="1"/>
                <w:szCs w:val="1"/>
                <w:color w:val="auto"/>
              </w:rPr>
            </w:pPr>
          </w:p>
        </w:tc>
      </w:tr>
      <w:tr>
        <w:trPr>
          <w:trHeight w:val="175"/>
        </w:trPr>
        <w:tc>
          <w:tcPr>
            <w:tcW w:w="1040" w:type="dxa"/>
            <w:vAlign w:val="bottom"/>
            <w:shd w:val="clear" w:color="auto" w:fill="508BC7"/>
          </w:tcPr>
          <w:p>
            <w:pPr>
              <w:spacing w:after="0"/>
              <w:rPr>
                <w:sz w:val="15"/>
                <w:szCs w:val="15"/>
                <w:color w:val="auto"/>
              </w:rPr>
            </w:pPr>
          </w:p>
        </w:tc>
        <w:tc>
          <w:tcPr>
            <w:tcW w:w="1040" w:type="dxa"/>
            <w:vAlign w:val="bottom"/>
            <w:shd w:val="clear" w:color="auto" w:fill="508BC7"/>
          </w:tcPr>
          <w:p>
            <w:pPr>
              <w:spacing w:after="0"/>
              <w:rPr>
                <w:sz w:val="15"/>
                <w:szCs w:val="15"/>
                <w:color w:val="auto"/>
              </w:rPr>
            </w:pPr>
          </w:p>
        </w:tc>
        <w:tc>
          <w:tcPr>
            <w:tcW w:w="13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Number of</w:t>
            </w: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Number of</w:t>
            </w:r>
          </w:p>
        </w:tc>
        <w:tc>
          <w:tcPr>
            <w:tcW w:w="1120" w:type="dxa"/>
            <w:vAlign w:val="bottom"/>
            <w:shd w:val="clear" w:color="auto" w:fill="508BC7"/>
          </w:tcPr>
          <w:p>
            <w:pPr>
              <w:spacing w:after="0"/>
              <w:rPr>
                <w:sz w:val="15"/>
                <w:szCs w:val="15"/>
                <w:color w:val="auto"/>
              </w:rPr>
            </w:pPr>
          </w:p>
        </w:tc>
        <w:tc>
          <w:tcPr>
            <w:tcW w:w="1140" w:type="dxa"/>
            <w:vAlign w:val="bottom"/>
            <w:shd w:val="clear" w:color="auto" w:fill="508BC7"/>
          </w:tcPr>
          <w:p>
            <w:pPr>
              <w:spacing w:after="0"/>
              <w:rPr>
                <w:sz w:val="15"/>
                <w:szCs w:val="15"/>
                <w:color w:val="auto"/>
              </w:rPr>
            </w:pP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of Stock</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Units of</w:t>
            </w:r>
          </w:p>
        </w:tc>
        <w:tc>
          <w:tcPr>
            <w:tcW w:w="112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Shares, Units</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Shares, Units</w:t>
            </w:r>
          </w:p>
        </w:tc>
        <w:tc>
          <w:tcPr>
            <w:tcW w:w="0" w:type="dxa"/>
            <w:vAlign w:val="bottom"/>
          </w:tcPr>
          <w:p>
            <w:pPr>
              <w:spacing w:after="0"/>
              <w:rPr>
                <w:sz w:val="1"/>
                <w:szCs w:val="1"/>
                <w:color w:val="auto"/>
              </w:rPr>
            </w:pPr>
          </w:p>
        </w:tc>
      </w:tr>
      <w:tr>
        <w:trPr>
          <w:trHeight w:val="162"/>
        </w:trPr>
        <w:tc>
          <w:tcPr>
            <w:tcW w:w="1040" w:type="dxa"/>
            <w:vAlign w:val="bottom"/>
            <w:shd w:val="clear" w:color="auto" w:fill="508BC7"/>
          </w:tcPr>
          <w:p>
            <w:pPr>
              <w:spacing w:after="0"/>
              <w:rPr>
                <w:sz w:val="14"/>
                <w:szCs w:val="14"/>
                <w:color w:val="auto"/>
              </w:rPr>
            </w:pPr>
          </w:p>
        </w:tc>
        <w:tc>
          <w:tcPr>
            <w:tcW w:w="10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Option /</w:t>
            </w:r>
          </w:p>
        </w:tc>
        <w:tc>
          <w:tcPr>
            <w:tcW w:w="13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Securities</w:t>
            </w: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Securities</w:t>
            </w:r>
          </w:p>
        </w:tc>
        <w:tc>
          <w:tcPr>
            <w:tcW w:w="1120" w:type="dxa"/>
            <w:vAlign w:val="bottom"/>
            <w:shd w:val="clear" w:color="auto" w:fill="508BC7"/>
          </w:tcPr>
          <w:p>
            <w:pPr>
              <w:spacing w:after="0"/>
              <w:rPr>
                <w:sz w:val="14"/>
                <w:szCs w:val="14"/>
                <w:color w:val="auto"/>
              </w:rPr>
            </w:pPr>
          </w:p>
        </w:tc>
        <w:tc>
          <w:tcPr>
            <w:tcW w:w="1140" w:type="dxa"/>
            <w:vAlign w:val="bottom"/>
            <w:shd w:val="clear" w:color="auto" w:fill="508BC7"/>
          </w:tcPr>
          <w:p>
            <w:pPr>
              <w:spacing w:after="0"/>
              <w:rPr>
                <w:sz w:val="14"/>
                <w:szCs w:val="14"/>
                <w:color w:val="auto"/>
              </w:rPr>
            </w:pP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That</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Stock</w:t>
            </w:r>
          </w:p>
        </w:tc>
        <w:tc>
          <w:tcPr>
            <w:tcW w:w="112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or Other</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w w:val="99"/>
              </w:rPr>
              <w:t>or</w:t>
            </w:r>
          </w:p>
        </w:tc>
        <w:tc>
          <w:tcPr>
            <w:tcW w:w="0" w:type="dxa"/>
            <w:vAlign w:val="bottom"/>
          </w:tcPr>
          <w:p>
            <w:pPr>
              <w:spacing w:after="0"/>
              <w:rPr>
                <w:sz w:val="1"/>
                <w:szCs w:val="1"/>
                <w:color w:val="auto"/>
              </w:rPr>
            </w:pPr>
          </w:p>
        </w:tc>
      </w:tr>
      <w:tr>
        <w:trPr>
          <w:trHeight w:val="162"/>
        </w:trPr>
        <w:tc>
          <w:tcPr>
            <w:tcW w:w="1040" w:type="dxa"/>
            <w:vAlign w:val="bottom"/>
            <w:shd w:val="clear" w:color="auto" w:fill="508BC7"/>
          </w:tcPr>
          <w:p>
            <w:pPr>
              <w:spacing w:after="0"/>
              <w:rPr>
                <w:sz w:val="14"/>
                <w:szCs w:val="14"/>
                <w:color w:val="auto"/>
              </w:rPr>
            </w:pPr>
          </w:p>
        </w:tc>
        <w:tc>
          <w:tcPr>
            <w:tcW w:w="10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3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Underlying</w:t>
            </w: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Underlying</w:t>
            </w:r>
          </w:p>
        </w:tc>
        <w:tc>
          <w:tcPr>
            <w:tcW w:w="1120" w:type="dxa"/>
            <w:vAlign w:val="bottom"/>
            <w:shd w:val="clear" w:color="auto" w:fill="508BC7"/>
          </w:tcPr>
          <w:p>
            <w:pPr>
              <w:spacing w:after="0"/>
              <w:rPr>
                <w:sz w:val="14"/>
                <w:szCs w:val="14"/>
                <w:color w:val="auto"/>
              </w:rPr>
            </w:pPr>
          </w:p>
        </w:tc>
        <w:tc>
          <w:tcPr>
            <w:tcW w:w="1140" w:type="dxa"/>
            <w:vAlign w:val="bottom"/>
            <w:shd w:val="clear" w:color="auto" w:fill="508BC7"/>
          </w:tcPr>
          <w:p>
            <w:pPr>
              <w:spacing w:after="0"/>
              <w:rPr>
                <w:sz w:val="14"/>
                <w:szCs w:val="14"/>
                <w:color w:val="auto"/>
              </w:rPr>
            </w:pP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Have</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That Have</w:t>
            </w:r>
          </w:p>
        </w:tc>
        <w:tc>
          <w:tcPr>
            <w:tcW w:w="112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Rights That</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Other Rights</w:t>
            </w:r>
          </w:p>
        </w:tc>
        <w:tc>
          <w:tcPr>
            <w:tcW w:w="0" w:type="dxa"/>
            <w:vAlign w:val="bottom"/>
          </w:tcPr>
          <w:p>
            <w:pPr>
              <w:spacing w:after="0"/>
              <w:rPr>
                <w:sz w:val="1"/>
                <w:szCs w:val="1"/>
                <w:color w:val="auto"/>
              </w:rPr>
            </w:pPr>
          </w:p>
        </w:tc>
      </w:tr>
      <w:tr>
        <w:trPr>
          <w:trHeight w:val="162"/>
        </w:trPr>
        <w:tc>
          <w:tcPr>
            <w:tcW w:w="1040" w:type="dxa"/>
            <w:vAlign w:val="bottom"/>
            <w:shd w:val="clear" w:color="auto" w:fill="508BC7"/>
          </w:tcPr>
          <w:p>
            <w:pPr>
              <w:spacing w:after="0"/>
              <w:rPr>
                <w:sz w:val="14"/>
                <w:szCs w:val="14"/>
                <w:color w:val="auto"/>
              </w:rPr>
            </w:pPr>
          </w:p>
        </w:tc>
        <w:tc>
          <w:tcPr>
            <w:tcW w:w="10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Award</w:t>
            </w:r>
          </w:p>
        </w:tc>
        <w:tc>
          <w:tcPr>
            <w:tcW w:w="13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Unexercised</w:t>
            </w: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Unexercised</w:t>
            </w:r>
          </w:p>
        </w:tc>
        <w:tc>
          <w:tcPr>
            <w:tcW w:w="1120" w:type="dxa"/>
            <w:vAlign w:val="bottom"/>
            <w:shd w:val="clear" w:color="auto" w:fill="508BC7"/>
          </w:tcPr>
          <w:p>
            <w:pPr>
              <w:jc w:val="right"/>
              <w:ind w:right="248"/>
              <w:spacing w:after="0"/>
              <w:rPr>
                <w:sz w:val="20"/>
                <w:szCs w:val="20"/>
                <w:color w:val="auto"/>
              </w:rPr>
            </w:pPr>
            <w:r>
              <w:rPr>
                <w:rFonts w:ascii="Arial" w:cs="Arial" w:eastAsia="Arial" w:hAnsi="Arial"/>
                <w:sz w:val="14"/>
                <w:szCs w:val="14"/>
                <w:b w:val="1"/>
                <w:bCs w:val="1"/>
                <w:color w:val="FFFFFF"/>
              </w:rPr>
              <w:t>Option</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Option</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Not</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Not</w:t>
            </w:r>
          </w:p>
        </w:tc>
        <w:tc>
          <w:tcPr>
            <w:tcW w:w="112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Have Not</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That Have Not</w:t>
            </w:r>
          </w:p>
        </w:tc>
        <w:tc>
          <w:tcPr>
            <w:tcW w:w="0" w:type="dxa"/>
            <w:vAlign w:val="bottom"/>
          </w:tcPr>
          <w:p>
            <w:pPr>
              <w:spacing w:after="0"/>
              <w:rPr>
                <w:sz w:val="1"/>
                <w:szCs w:val="1"/>
                <w:color w:val="auto"/>
              </w:rPr>
            </w:pPr>
          </w:p>
        </w:tc>
      </w:tr>
      <w:tr>
        <w:trPr>
          <w:trHeight w:val="162"/>
        </w:trPr>
        <w:tc>
          <w:tcPr>
            <w:tcW w:w="1040" w:type="dxa"/>
            <w:vAlign w:val="bottom"/>
            <w:shd w:val="clear" w:color="auto" w:fill="508BC7"/>
          </w:tcPr>
          <w:p>
            <w:pPr>
              <w:spacing w:after="0"/>
              <w:rPr>
                <w:sz w:val="14"/>
                <w:szCs w:val="14"/>
                <w:color w:val="auto"/>
              </w:rPr>
            </w:pPr>
          </w:p>
        </w:tc>
        <w:tc>
          <w:tcPr>
            <w:tcW w:w="10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Grant</w:t>
            </w:r>
          </w:p>
        </w:tc>
        <w:tc>
          <w:tcPr>
            <w:tcW w:w="13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Options (#)</w:t>
            </w: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Options (#)</w:t>
            </w:r>
          </w:p>
        </w:tc>
        <w:tc>
          <w:tcPr>
            <w:tcW w:w="1120" w:type="dxa"/>
            <w:vAlign w:val="bottom"/>
            <w:shd w:val="clear" w:color="auto" w:fill="508BC7"/>
          </w:tcPr>
          <w:p>
            <w:pPr>
              <w:jc w:val="right"/>
              <w:ind w:right="208"/>
              <w:spacing w:after="0"/>
              <w:rPr>
                <w:sz w:val="20"/>
                <w:szCs w:val="20"/>
                <w:color w:val="auto"/>
              </w:rPr>
            </w:pPr>
            <w:r>
              <w:rPr>
                <w:rFonts w:ascii="Arial" w:cs="Arial" w:eastAsia="Arial" w:hAnsi="Arial"/>
                <w:sz w:val="14"/>
                <w:szCs w:val="14"/>
                <w:b w:val="1"/>
                <w:bCs w:val="1"/>
                <w:color w:val="FFFFFF"/>
              </w:rPr>
              <w:t>Exercise</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Expiration</w:t>
            </w:r>
          </w:p>
        </w:tc>
        <w:tc>
          <w:tcPr>
            <w:tcW w:w="1140" w:type="dxa"/>
            <w:vAlign w:val="bottom"/>
            <w:shd w:val="clear" w:color="auto" w:fill="508BC7"/>
          </w:tcPr>
          <w:p>
            <w:pPr>
              <w:jc w:val="right"/>
              <w:ind w:right="271"/>
              <w:spacing w:after="0"/>
              <w:rPr>
                <w:sz w:val="20"/>
                <w:szCs w:val="20"/>
                <w:color w:val="auto"/>
              </w:rPr>
            </w:pPr>
            <w:r>
              <w:rPr>
                <w:rFonts w:ascii="Arial" w:cs="Arial" w:eastAsia="Arial" w:hAnsi="Arial"/>
                <w:sz w:val="14"/>
                <w:szCs w:val="14"/>
                <w:b w:val="1"/>
                <w:bCs w:val="1"/>
                <w:color w:val="FFFFFF"/>
              </w:rPr>
              <w:t>Vested</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Vested</w:t>
            </w:r>
          </w:p>
        </w:tc>
        <w:tc>
          <w:tcPr>
            <w:tcW w:w="112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Vested</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Vested</w:t>
            </w:r>
          </w:p>
        </w:tc>
        <w:tc>
          <w:tcPr>
            <w:tcW w:w="0" w:type="dxa"/>
            <w:vAlign w:val="bottom"/>
          </w:tcPr>
          <w:p>
            <w:pPr>
              <w:spacing w:after="0"/>
              <w:rPr>
                <w:sz w:val="1"/>
                <w:szCs w:val="1"/>
                <w:color w:val="auto"/>
              </w:rPr>
            </w:pPr>
          </w:p>
        </w:tc>
      </w:tr>
      <w:tr>
        <w:trPr>
          <w:trHeight w:val="216"/>
        </w:trPr>
        <w:tc>
          <w:tcPr>
            <w:tcW w:w="1040" w:type="dxa"/>
            <w:vAlign w:val="bottom"/>
            <w:shd w:val="clear" w:color="auto" w:fill="508BC7"/>
          </w:tcPr>
          <w:p>
            <w:pPr>
              <w:ind w:left="340"/>
              <w:spacing w:after="0"/>
              <w:rPr>
                <w:sz w:val="20"/>
                <w:szCs w:val="20"/>
                <w:color w:val="auto"/>
              </w:rPr>
            </w:pPr>
            <w:r>
              <w:rPr>
                <w:rFonts w:ascii="Arial" w:cs="Arial" w:eastAsia="Arial" w:hAnsi="Arial"/>
                <w:sz w:val="14"/>
                <w:szCs w:val="14"/>
                <w:b w:val="1"/>
                <w:bCs w:val="1"/>
                <w:color w:val="FFFFFF"/>
              </w:rPr>
              <w:t>Name</w:t>
            </w:r>
          </w:p>
        </w:tc>
        <w:tc>
          <w:tcPr>
            <w:tcW w:w="1040" w:type="dxa"/>
            <w:vAlign w:val="bottom"/>
            <w:shd w:val="clear" w:color="auto" w:fill="508BC7"/>
          </w:tcPr>
          <w:p>
            <w:pPr>
              <w:jc w:val="right"/>
              <w:ind w:right="288"/>
              <w:spacing w:after="0"/>
              <w:rPr>
                <w:sz w:val="20"/>
                <w:szCs w:val="20"/>
                <w:color w:val="auto"/>
              </w:rPr>
            </w:pPr>
            <w:r>
              <w:rPr>
                <w:rFonts w:ascii="Arial" w:cs="Arial" w:eastAsia="Arial" w:hAnsi="Arial"/>
                <w:sz w:val="14"/>
                <w:szCs w:val="14"/>
                <w:b w:val="1"/>
                <w:bCs w:val="1"/>
                <w:color w:val="FFFFFF"/>
              </w:rPr>
              <w:t>Date</w:t>
            </w:r>
          </w:p>
        </w:tc>
        <w:tc>
          <w:tcPr>
            <w:tcW w:w="1380" w:type="dxa"/>
            <w:vAlign w:val="bottom"/>
            <w:shd w:val="clear" w:color="auto" w:fill="508BC7"/>
          </w:tcPr>
          <w:p>
            <w:pPr>
              <w:jc w:val="center"/>
              <w:spacing w:after="0" w:line="216" w:lineRule="exact"/>
              <w:rPr>
                <w:sz w:val="20"/>
                <w:szCs w:val="20"/>
                <w:color w:val="auto"/>
              </w:rPr>
            </w:pPr>
            <w:r>
              <w:rPr>
                <w:rFonts w:ascii="Arial" w:cs="Arial" w:eastAsia="Arial" w:hAnsi="Arial"/>
                <w:sz w:val="14"/>
                <w:szCs w:val="14"/>
                <w:b w:val="1"/>
                <w:bCs w:val="1"/>
                <w:color w:val="FFFFFF"/>
                <w:w w:val="97"/>
              </w:rPr>
              <w:t>Exercisable</w:t>
            </w:r>
            <w:r>
              <w:rPr>
                <w:rFonts w:ascii="Arial" w:cs="Arial" w:eastAsia="Arial" w:hAnsi="Arial"/>
                <w:sz w:val="23"/>
                <w:szCs w:val="23"/>
                <w:b w:val="1"/>
                <w:bCs w:val="1"/>
                <w:color w:val="FFFFFF"/>
                <w:w w:val="97"/>
                <w:vertAlign w:val="superscript"/>
              </w:rPr>
              <w:t>(1)</w:t>
            </w: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Unexercisable</w:t>
            </w:r>
          </w:p>
        </w:tc>
        <w:tc>
          <w:tcPr>
            <w:tcW w:w="1120" w:type="dxa"/>
            <w:vAlign w:val="bottom"/>
            <w:shd w:val="clear" w:color="auto" w:fill="508BC7"/>
          </w:tcPr>
          <w:p>
            <w:pPr>
              <w:jc w:val="right"/>
              <w:ind w:right="208"/>
              <w:spacing w:after="0"/>
              <w:rPr>
                <w:sz w:val="20"/>
                <w:szCs w:val="20"/>
                <w:color w:val="auto"/>
              </w:rPr>
            </w:pPr>
            <w:r>
              <w:rPr>
                <w:rFonts w:ascii="Arial" w:cs="Arial" w:eastAsia="Arial" w:hAnsi="Arial"/>
                <w:sz w:val="14"/>
                <w:szCs w:val="14"/>
                <w:b w:val="1"/>
                <w:bCs w:val="1"/>
                <w:color w:val="FFFFFF"/>
              </w:rPr>
              <w:t>Price ($)</w:t>
            </w:r>
          </w:p>
        </w:tc>
        <w:tc>
          <w:tcPr>
            <w:tcW w:w="11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Date</w:t>
            </w:r>
          </w:p>
        </w:tc>
        <w:tc>
          <w:tcPr>
            <w:tcW w:w="1140" w:type="dxa"/>
            <w:vAlign w:val="bottom"/>
            <w:shd w:val="clear" w:color="auto" w:fill="508BC7"/>
          </w:tcPr>
          <w:p>
            <w:pPr>
              <w:jc w:val="right"/>
              <w:ind w:right="331"/>
              <w:spacing w:after="0" w:line="216"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(2)</w:t>
            </w:r>
          </w:p>
        </w:tc>
        <w:tc>
          <w:tcPr>
            <w:tcW w:w="1140" w:type="dxa"/>
            <w:vAlign w:val="bottom"/>
            <w:shd w:val="clear" w:color="auto" w:fill="508BC7"/>
          </w:tcPr>
          <w:p>
            <w:pPr>
              <w:jc w:val="right"/>
              <w:ind w:right="348"/>
              <w:spacing w:after="0" w:line="216"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(4)</w:t>
            </w:r>
          </w:p>
        </w:tc>
        <w:tc>
          <w:tcPr>
            <w:tcW w:w="1120" w:type="dxa"/>
            <w:vAlign w:val="bottom"/>
            <w:shd w:val="clear" w:color="auto" w:fill="508BC7"/>
          </w:tcPr>
          <w:p>
            <w:pPr>
              <w:jc w:val="right"/>
              <w:ind w:right="329"/>
              <w:spacing w:after="0" w:line="216"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(3)</w:t>
            </w:r>
          </w:p>
        </w:tc>
        <w:tc>
          <w:tcPr>
            <w:tcW w:w="1140" w:type="dxa"/>
            <w:vAlign w:val="bottom"/>
            <w:shd w:val="clear" w:color="auto" w:fill="508BC7"/>
          </w:tcPr>
          <w:p>
            <w:pPr>
              <w:jc w:val="center"/>
              <w:spacing w:after="0" w:line="216"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(4)</w:t>
            </w:r>
          </w:p>
        </w:tc>
        <w:tc>
          <w:tcPr>
            <w:tcW w:w="0" w:type="dxa"/>
            <w:vAlign w:val="bottom"/>
          </w:tcPr>
          <w:p>
            <w:pPr>
              <w:spacing w:after="0"/>
              <w:rPr>
                <w:sz w:val="1"/>
                <w:szCs w:val="1"/>
                <w:color w:val="auto"/>
              </w:rPr>
            </w:pPr>
          </w:p>
        </w:tc>
      </w:tr>
      <w:tr>
        <w:trPr>
          <w:trHeight w:val="162"/>
        </w:trPr>
        <w:tc>
          <w:tcPr>
            <w:tcW w:w="1040" w:type="dxa"/>
            <w:vAlign w:val="bottom"/>
            <w:shd w:val="clear" w:color="auto" w:fill="D0E0F0"/>
          </w:tcPr>
          <w:p>
            <w:pPr>
              <w:spacing w:after="0"/>
              <w:rPr>
                <w:sz w:val="20"/>
                <w:szCs w:val="20"/>
                <w:color w:val="auto"/>
              </w:rPr>
            </w:pPr>
            <w:r>
              <w:rPr>
                <w:rFonts w:ascii="Arial" w:cs="Arial" w:eastAsia="Arial" w:hAnsi="Arial"/>
                <w:sz w:val="14"/>
                <w:szCs w:val="14"/>
                <w:color w:val="auto"/>
              </w:rPr>
              <w:t>Rohit</w:t>
            </w: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1/23/2008</w:t>
            </w:r>
          </w:p>
        </w:tc>
        <w:tc>
          <w:tcPr>
            <w:tcW w:w="1380" w:type="dxa"/>
            <w:vAlign w:val="bottom"/>
            <w:shd w:val="clear" w:color="auto" w:fill="D0E0F0"/>
          </w:tcPr>
          <w:p>
            <w:pPr>
              <w:jc w:val="right"/>
              <w:spacing w:after="0"/>
              <w:rPr>
                <w:sz w:val="20"/>
                <w:szCs w:val="20"/>
                <w:color w:val="auto"/>
              </w:rPr>
            </w:pPr>
            <w:r>
              <w:rPr>
                <w:rFonts w:ascii="Arial" w:cs="Arial" w:eastAsia="Arial" w:hAnsi="Arial"/>
                <w:sz w:val="14"/>
                <w:szCs w:val="14"/>
                <w:color w:val="auto"/>
              </w:rPr>
              <w:t>50,000</w:t>
            </w:r>
          </w:p>
        </w:tc>
        <w:tc>
          <w:tcPr>
            <w:tcW w:w="116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w:t>
            </w:r>
          </w:p>
        </w:tc>
        <w:tc>
          <w:tcPr>
            <w:tcW w:w="1120" w:type="dxa"/>
            <w:vAlign w:val="bottom"/>
            <w:shd w:val="clear" w:color="auto" w:fill="D0E0F0"/>
          </w:tcPr>
          <w:p>
            <w:pPr>
              <w:jc w:val="right"/>
              <w:spacing w:after="0"/>
              <w:rPr>
                <w:sz w:val="20"/>
                <w:szCs w:val="20"/>
                <w:color w:val="auto"/>
              </w:rPr>
            </w:pPr>
            <w:r>
              <w:rPr>
                <w:rFonts w:ascii="Arial" w:cs="Arial" w:eastAsia="Arial" w:hAnsi="Arial"/>
                <w:sz w:val="14"/>
                <w:szCs w:val="14"/>
                <w:color w:val="auto"/>
              </w:rPr>
              <w:t>16.96</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1/23/2018</w:t>
            </w:r>
          </w:p>
        </w:tc>
        <w:tc>
          <w:tcPr>
            <w:tcW w:w="1140" w:type="dxa"/>
            <w:vAlign w:val="bottom"/>
            <w:shd w:val="clear" w:color="auto" w:fill="D0E0F0"/>
          </w:tcPr>
          <w:p>
            <w:pPr>
              <w:spacing w:after="0"/>
              <w:rPr>
                <w:sz w:val="14"/>
                <w:szCs w:val="14"/>
                <w:color w:val="auto"/>
              </w:rPr>
            </w:pPr>
          </w:p>
        </w:tc>
        <w:tc>
          <w:tcPr>
            <w:tcW w:w="1140" w:type="dxa"/>
            <w:vAlign w:val="bottom"/>
            <w:shd w:val="clear" w:color="auto" w:fill="D0E0F0"/>
          </w:tcPr>
          <w:p>
            <w:pPr>
              <w:spacing w:after="0"/>
              <w:rPr>
                <w:sz w:val="14"/>
                <w:szCs w:val="14"/>
                <w:color w:val="auto"/>
              </w:rPr>
            </w:pPr>
          </w:p>
        </w:tc>
        <w:tc>
          <w:tcPr>
            <w:tcW w:w="1120" w:type="dxa"/>
            <w:vAlign w:val="bottom"/>
            <w:shd w:val="clear" w:color="auto" w:fill="D0E0F0"/>
          </w:tcPr>
          <w:p>
            <w:pPr>
              <w:spacing w:after="0"/>
              <w:rPr>
                <w:sz w:val="14"/>
                <w:szCs w:val="14"/>
                <w:color w:val="auto"/>
              </w:rPr>
            </w:pPr>
          </w:p>
        </w:tc>
        <w:tc>
          <w:tcPr>
            <w:tcW w:w="1140" w:type="dxa"/>
            <w:vAlign w:val="bottom"/>
            <w:shd w:val="clear" w:color="auto" w:fill="D0E0F0"/>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D0E0F0"/>
          </w:tcPr>
          <w:p>
            <w:pPr>
              <w:spacing w:after="0"/>
              <w:rPr>
                <w:sz w:val="20"/>
                <w:szCs w:val="20"/>
                <w:color w:val="auto"/>
              </w:rPr>
            </w:pPr>
            <w:r>
              <w:rPr>
                <w:rFonts w:ascii="Arial" w:cs="Arial" w:eastAsia="Arial" w:hAnsi="Arial"/>
                <w:sz w:val="14"/>
                <w:szCs w:val="14"/>
                <w:color w:val="auto"/>
              </w:rPr>
              <w:t>Kapoor</w:t>
            </w: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2/10/2009</w:t>
            </w:r>
          </w:p>
        </w:tc>
        <w:tc>
          <w:tcPr>
            <w:tcW w:w="1380" w:type="dxa"/>
            <w:vAlign w:val="bottom"/>
            <w:shd w:val="clear" w:color="auto" w:fill="D0E0F0"/>
          </w:tcPr>
          <w:p>
            <w:pPr>
              <w:jc w:val="right"/>
              <w:spacing w:after="0"/>
              <w:rPr>
                <w:sz w:val="20"/>
                <w:szCs w:val="20"/>
                <w:color w:val="auto"/>
              </w:rPr>
            </w:pPr>
            <w:r>
              <w:rPr>
                <w:rFonts w:ascii="Arial" w:cs="Arial" w:eastAsia="Arial" w:hAnsi="Arial"/>
                <w:sz w:val="14"/>
                <w:szCs w:val="14"/>
                <w:color w:val="auto"/>
              </w:rPr>
              <w:t>196,400</w:t>
            </w:r>
          </w:p>
        </w:tc>
        <w:tc>
          <w:tcPr>
            <w:tcW w:w="116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w:t>
            </w:r>
          </w:p>
        </w:tc>
        <w:tc>
          <w:tcPr>
            <w:tcW w:w="1120" w:type="dxa"/>
            <w:vAlign w:val="bottom"/>
            <w:shd w:val="clear" w:color="auto" w:fill="D0E0F0"/>
          </w:tcPr>
          <w:p>
            <w:pPr>
              <w:jc w:val="right"/>
              <w:spacing w:after="0"/>
              <w:rPr>
                <w:sz w:val="20"/>
                <w:szCs w:val="20"/>
                <w:color w:val="auto"/>
              </w:rPr>
            </w:pPr>
            <w:r>
              <w:rPr>
                <w:rFonts w:ascii="Arial" w:cs="Arial" w:eastAsia="Arial" w:hAnsi="Arial"/>
                <w:sz w:val="14"/>
                <w:szCs w:val="14"/>
                <w:color w:val="auto"/>
              </w:rPr>
              <w:t>8.75</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2/10/2019</w:t>
            </w:r>
          </w:p>
        </w:tc>
        <w:tc>
          <w:tcPr>
            <w:tcW w:w="1140" w:type="dxa"/>
            <w:vAlign w:val="bottom"/>
            <w:shd w:val="clear" w:color="auto" w:fill="D0E0F0"/>
          </w:tcPr>
          <w:p>
            <w:pPr>
              <w:spacing w:after="0"/>
              <w:rPr>
                <w:sz w:val="14"/>
                <w:szCs w:val="14"/>
                <w:color w:val="auto"/>
              </w:rPr>
            </w:pPr>
          </w:p>
        </w:tc>
        <w:tc>
          <w:tcPr>
            <w:tcW w:w="1140" w:type="dxa"/>
            <w:vAlign w:val="bottom"/>
            <w:shd w:val="clear" w:color="auto" w:fill="D0E0F0"/>
          </w:tcPr>
          <w:p>
            <w:pPr>
              <w:spacing w:after="0"/>
              <w:rPr>
                <w:sz w:val="14"/>
                <w:szCs w:val="14"/>
                <w:color w:val="auto"/>
              </w:rPr>
            </w:pPr>
          </w:p>
        </w:tc>
        <w:tc>
          <w:tcPr>
            <w:tcW w:w="1120" w:type="dxa"/>
            <w:vAlign w:val="bottom"/>
            <w:shd w:val="clear" w:color="auto" w:fill="D0E0F0"/>
          </w:tcPr>
          <w:p>
            <w:pPr>
              <w:spacing w:after="0"/>
              <w:rPr>
                <w:sz w:val="14"/>
                <w:szCs w:val="14"/>
                <w:color w:val="auto"/>
              </w:rPr>
            </w:pPr>
          </w:p>
        </w:tc>
        <w:tc>
          <w:tcPr>
            <w:tcW w:w="1140" w:type="dxa"/>
            <w:vAlign w:val="bottom"/>
            <w:shd w:val="clear" w:color="auto" w:fill="D0E0F0"/>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D0E0F0"/>
          </w:tcPr>
          <w:p>
            <w:pPr>
              <w:spacing w:after="0"/>
              <w:rPr>
                <w:sz w:val="14"/>
                <w:szCs w:val="14"/>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2/3/2011</w:t>
            </w:r>
          </w:p>
        </w:tc>
        <w:tc>
          <w:tcPr>
            <w:tcW w:w="1380" w:type="dxa"/>
            <w:vAlign w:val="bottom"/>
            <w:shd w:val="clear" w:color="auto" w:fill="D0E0F0"/>
          </w:tcPr>
          <w:p>
            <w:pPr>
              <w:jc w:val="right"/>
              <w:spacing w:after="0"/>
              <w:rPr>
                <w:sz w:val="20"/>
                <w:szCs w:val="20"/>
                <w:color w:val="auto"/>
              </w:rPr>
            </w:pPr>
            <w:r>
              <w:rPr>
                <w:rFonts w:ascii="Arial" w:cs="Arial" w:eastAsia="Arial" w:hAnsi="Arial"/>
                <w:sz w:val="14"/>
                <w:szCs w:val="14"/>
                <w:color w:val="auto"/>
              </w:rPr>
              <w:t>97,500</w:t>
            </w:r>
          </w:p>
        </w:tc>
        <w:tc>
          <w:tcPr>
            <w:tcW w:w="116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w:t>
            </w:r>
          </w:p>
        </w:tc>
        <w:tc>
          <w:tcPr>
            <w:tcW w:w="1120" w:type="dxa"/>
            <w:vAlign w:val="bottom"/>
            <w:shd w:val="clear" w:color="auto" w:fill="D0E0F0"/>
          </w:tcPr>
          <w:p>
            <w:pPr>
              <w:jc w:val="right"/>
              <w:spacing w:after="0"/>
              <w:rPr>
                <w:sz w:val="20"/>
                <w:szCs w:val="20"/>
                <w:color w:val="auto"/>
              </w:rPr>
            </w:pPr>
            <w:r>
              <w:rPr>
                <w:rFonts w:ascii="Arial" w:cs="Arial" w:eastAsia="Arial" w:hAnsi="Arial"/>
                <w:sz w:val="14"/>
                <w:szCs w:val="14"/>
                <w:color w:val="auto"/>
              </w:rPr>
              <w:t>19.76</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2/3/2021</w:t>
            </w:r>
          </w:p>
        </w:tc>
        <w:tc>
          <w:tcPr>
            <w:tcW w:w="1140" w:type="dxa"/>
            <w:vAlign w:val="bottom"/>
            <w:shd w:val="clear" w:color="auto" w:fill="D0E0F0"/>
          </w:tcPr>
          <w:p>
            <w:pPr>
              <w:spacing w:after="0"/>
              <w:rPr>
                <w:sz w:val="14"/>
                <w:szCs w:val="14"/>
                <w:color w:val="auto"/>
              </w:rPr>
            </w:pPr>
          </w:p>
        </w:tc>
        <w:tc>
          <w:tcPr>
            <w:tcW w:w="1140" w:type="dxa"/>
            <w:vAlign w:val="bottom"/>
            <w:shd w:val="clear" w:color="auto" w:fill="D0E0F0"/>
          </w:tcPr>
          <w:p>
            <w:pPr>
              <w:spacing w:after="0"/>
              <w:rPr>
                <w:sz w:val="14"/>
                <w:szCs w:val="14"/>
                <w:color w:val="auto"/>
              </w:rPr>
            </w:pPr>
          </w:p>
        </w:tc>
        <w:tc>
          <w:tcPr>
            <w:tcW w:w="1120" w:type="dxa"/>
            <w:vAlign w:val="bottom"/>
            <w:shd w:val="clear" w:color="auto" w:fill="D0E0F0"/>
          </w:tcPr>
          <w:p>
            <w:pPr>
              <w:spacing w:after="0"/>
              <w:rPr>
                <w:sz w:val="14"/>
                <w:szCs w:val="14"/>
                <w:color w:val="auto"/>
              </w:rPr>
            </w:pPr>
          </w:p>
        </w:tc>
        <w:tc>
          <w:tcPr>
            <w:tcW w:w="1140" w:type="dxa"/>
            <w:vAlign w:val="bottom"/>
            <w:shd w:val="clear" w:color="auto" w:fill="D0E0F0"/>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D0E0F0"/>
          </w:tcPr>
          <w:p>
            <w:pPr>
              <w:spacing w:after="0"/>
              <w:rPr>
                <w:sz w:val="14"/>
                <w:szCs w:val="14"/>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2/7/2012</w:t>
            </w:r>
          </w:p>
        </w:tc>
        <w:tc>
          <w:tcPr>
            <w:tcW w:w="1380" w:type="dxa"/>
            <w:vAlign w:val="bottom"/>
            <w:shd w:val="clear" w:color="auto" w:fill="D0E0F0"/>
          </w:tcPr>
          <w:p>
            <w:pPr>
              <w:jc w:val="right"/>
              <w:spacing w:after="0"/>
              <w:rPr>
                <w:sz w:val="20"/>
                <w:szCs w:val="20"/>
                <w:color w:val="auto"/>
              </w:rPr>
            </w:pPr>
            <w:r>
              <w:rPr>
                <w:rFonts w:ascii="Arial" w:cs="Arial" w:eastAsia="Arial" w:hAnsi="Arial"/>
                <w:sz w:val="14"/>
                <w:szCs w:val="14"/>
                <w:color w:val="auto"/>
              </w:rPr>
              <w:t>97,500</w:t>
            </w:r>
          </w:p>
        </w:tc>
        <w:tc>
          <w:tcPr>
            <w:tcW w:w="116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w:t>
            </w:r>
          </w:p>
        </w:tc>
        <w:tc>
          <w:tcPr>
            <w:tcW w:w="112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24.77</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2/7/2022</w:t>
            </w:r>
          </w:p>
        </w:tc>
        <w:tc>
          <w:tcPr>
            <w:tcW w:w="1140" w:type="dxa"/>
            <w:vAlign w:val="bottom"/>
            <w:vMerge w:val="restart"/>
            <w:shd w:val="clear" w:color="auto" w:fill="D0E0F0"/>
          </w:tcPr>
          <w:p>
            <w:pPr>
              <w:jc w:val="right"/>
              <w:spacing w:after="0"/>
              <w:rPr>
                <w:sz w:val="20"/>
                <w:szCs w:val="20"/>
                <w:color w:val="auto"/>
              </w:rPr>
            </w:pPr>
            <w:r>
              <w:rPr>
                <w:rFonts w:ascii="Arial" w:cs="Arial" w:eastAsia="Arial" w:hAnsi="Arial"/>
                <w:sz w:val="14"/>
                <w:szCs w:val="14"/>
                <w:color w:val="auto"/>
              </w:rPr>
              <w:t>18,750</w:t>
            </w:r>
            <w:r>
              <w:rPr>
                <w:rFonts w:ascii="Arial" w:cs="Arial" w:eastAsia="Arial" w:hAnsi="Arial"/>
                <w:sz w:val="23"/>
                <w:szCs w:val="23"/>
                <w:b w:val="1"/>
                <w:bCs w:val="1"/>
                <w:color w:val="auto"/>
                <w:vertAlign w:val="superscript"/>
              </w:rPr>
              <w:t>(a)</w:t>
            </w:r>
          </w:p>
        </w:tc>
        <w:tc>
          <w:tcPr>
            <w:tcW w:w="1140" w:type="dxa"/>
            <w:vAlign w:val="bottom"/>
            <w:shd w:val="clear" w:color="auto" w:fill="D0E0F0"/>
          </w:tcPr>
          <w:p>
            <w:pPr>
              <w:spacing w:after="0"/>
              <w:rPr>
                <w:sz w:val="14"/>
                <w:szCs w:val="14"/>
                <w:color w:val="auto"/>
              </w:rPr>
            </w:pPr>
          </w:p>
        </w:tc>
        <w:tc>
          <w:tcPr>
            <w:tcW w:w="1120" w:type="dxa"/>
            <w:vAlign w:val="bottom"/>
            <w:shd w:val="clear" w:color="auto" w:fill="D0E0F0"/>
          </w:tcPr>
          <w:p>
            <w:pPr>
              <w:spacing w:after="0"/>
              <w:rPr>
                <w:sz w:val="14"/>
                <w:szCs w:val="14"/>
                <w:color w:val="auto"/>
              </w:rPr>
            </w:pPr>
          </w:p>
        </w:tc>
        <w:tc>
          <w:tcPr>
            <w:tcW w:w="1140" w:type="dxa"/>
            <w:vAlign w:val="bottom"/>
            <w:shd w:val="clear" w:color="auto" w:fill="D0E0F0"/>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D0E0F0"/>
          </w:tcPr>
          <w:p>
            <w:pPr>
              <w:spacing w:after="0"/>
              <w:rPr>
                <w:sz w:val="15"/>
                <w:szCs w:val="15"/>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2/8/2013</w:t>
            </w:r>
          </w:p>
        </w:tc>
        <w:tc>
          <w:tcPr>
            <w:tcW w:w="1380" w:type="dxa"/>
            <w:vAlign w:val="bottom"/>
            <w:shd w:val="clear" w:color="auto" w:fill="D0E0F0"/>
          </w:tcPr>
          <w:p>
            <w:pPr>
              <w:spacing w:after="0"/>
              <w:rPr>
                <w:sz w:val="15"/>
                <w:szCs w:val="15"/>
                <w:color w:val="auto"/>
              </w:rPr>
            </w:pPr>
          </w:p>
        </w:tc>
        <w:tc>
          <w:tcPr>
            <w:tcW w:w="1160" w:type="dxa"/>
            <w:vAlign w:val="bottom"/>
            <w:shd w:val="clear" w:color="auto" w:fill="D0E0F0"/>
          </w:tcPr>
          <w:p>
            <w:pPr>
              <w:spacing w:after="0"/>
              <w:rPr>
                <w:sz w:val="15"/>
                <w:szCs w:val="15"/>
                <w:color w:val="auto"/>
              </w:rPr>
            </w:pPr>
          </w:p>
        </w:tc>
        <w:tc>
          <w:tcPr>
            <w:tcW w:w="1120" w:type="dxa"/>
            <w:vAlign w:val="bottom"/>
            <w:shd w:val="clear" w:color="auto" w:fill="D0E0F0"/>
          </w:tcPr>
          <w:p>
            <w:pPr>
              <w:spacing w:after="0"/>
              <w:rPr>
                <w:sz w:val="15"/>
                <w:szCs w:val="15"/>
                <w:color w:val="auto"/>
              </w:rPr>
            </w:pPr>
          </w:p>
        </w:tc>
        <w:tc>
          <w:tcPr>
            <w:tcW w:w="1140" w:type="dxa"/>
            <w:vAlign w:val="bottom"/>
            <w:shd w:val="clear" w:color="auto" w:fill="D0E0F0"/>
          </w:tcPr>
          <w:p>
            <w:pPr>
              <w:spacing w:after="0"/>
              <w:rPr>
                <w:sz w:val="15"/>
                <w:szCs w:val="15"/>
                <w:color w:val="auto"/>
              </w:rPr>
            </w:pPr>
          </w:p>
        </w:tc>
        <w:tc>
          <w:tcPr>
            <w:tcW w:w="1140" w:type="dxa"/>
            <w:vAlign w:val="bottom"/>
            <w:vMerge w:val="continue"/>
            <w:shd w:val="clear" w:color="auto" w:fill="D0E0F0"/>
          </w:tcPr>
          <w:p>
            <w:pPr>
              <w:spacing w:after="0"/>
              <w:rPr>
                <w:sz w:val="15"/>
                <w:szCs w:val="15"/>
                <w:color w:val="auto"/>
              </w:rPr>
            </w:pP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945,750</w:t>
            </w:r>
          </w:p>
        </w:tc>
        <w:tc>
          <w:tcPr>
            <w:tcW w:w="1120" w:type="dxa"/>
            <w:vAlign w:val="bottom"/>
            <w:shd w:val="clear" w:color="auto" w:fill="D0E0F0"/>
          </w:tcPr>
          <w:p>
            <w:pPr>
              <w:spacing w:after="0"/>
              <w:rPr>
                <w:sz w:val="15"/>
                <w:szCs w:val="15"/>
                <w:color w:val="auto"/>
              </w:rPr>
            </w:pPr>
          </w:p>
        </w:tc>
        <w:tc>
          <w:tcPr>
            <w:tcW w:w="1140" w:type="dxa"/>
            <w:vAlign w:val="bottom"/>
            <w:shd w:val="clear" w:color="auto" w:fill="D0E0F0"/>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D0E0F0"/>
          </w:tcPr>
          <w:p>
            <w:pPr>
              <w:spacing w:after="0"/>
              <w:rPr>
                <w:sz w:val="16"/>
                <w:szCs w:val="16"/>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2/13/2014</w:t>
            </w:r>
          </w:p>
        </w:tc>
        <w:tc>
          <w:tcPr>
            <w:tcW w:w="1380" w:type="dxa"/>
            <w:vAlign w:val="bottom"/>
            <w:shd w:val="clear" w:color="auto" w:fill="D0E0F0"/>
          </w:tcPr>
          <w:p>
            <w:pPr>
              <w:spacing w:after="0"/>
              <w:rPr>
                <w:sz w:val="16"/>
                <w:szCs w:val="16"/>
                <w:color w:val="auto"/>
              </w:rPr>
            </w:pPr>
          </w:p>
        </w:tc>
        <w:tc>
          <w:tcPr>
            <w:tcW w:w="1160" w:type="dxa"/>
            <w:vAlign w:val="bottom"/>
            <w:shd w:val="clear" w:color="auto" w:fill="D0E0F0"/>
          </w:tcPr>
          <w:p>
            <w:pPr>
              <w:spacing w:after="0"/>
              <w:rPr>
                <w:sz w:val="16"/>
                <w:szCs w:val="16"/>
                <w:color w:val="auto"/>
              </w:rPr>
            </w:pPr>
          </w:p>
        </w:tc>
        <w:tc>
          <w:tcPr>
            <w:tcW w:w="112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1140" w:type="dxa"/>
            <w:vAlign w:val="bottom"/>
            <w:shd w:val="clear" w:color="auto" w:fill="D0E0F0"/>
          </w:tcPr>
          <w:p>
            <w:pPr>
              <w:jc w:val="right"/>
              <w:spacing w:after="0" w:line="189" w:lineRule="exact"/>
              <w:rPr>
                <w:sz w:val="20"/>
                <w:szCs w:val="20"/>
                <w:color w:val="auto"/>
              </w:rPr>
            </w:pPr>
            <w:r>
              <w:rPr>
                <w:rFonts w:ascii="Arial" w:cs="Arial" w:eastAsia="Arial" w:hAnsi="Arial"/>
                <w:sz w:val="13"/>
                <w:szCs w:val="13"/>
                <w:color w:val="auto"/>
              </w:rPr>
              <w:t>18,750</w:t>
            </w:r>
            <w:r>
              <w:rPr>
                <w:rFonts w:ascii="Arial" w:cs="Arial" w:eastAsia="Arial" w:hAnsi="Arial"/>
                <w:sz w:val="21"/>
                <w:szCs w:val="21"/>
                <w:b w:val="1"/>
                <w:bCs w:val="1"/>
                <w:color w:val="auto"/>
                <w:vertAlign w:val="superscript"/>
              </w:rPr>
              <w:t>(a)</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945,750</w:t>
            </w:r>
          </w:p>
        </w:tc>
        <w:tc>
          <w:tcPr>
            <w:tcW w:w="112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D0E0F0"/>
          </w:tcPr>
          <w:p>
            <w:pPr>
              <w:spacing w:after="0"/>
              <w:rPr>
                <w:sz w:val="16"/>
                <w:szCs w:val="16"/>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2/13/2014</w:t>
            </w:r>
          </w:p>
        </w:tc>
        <w:tc>
          <w:tcPr>
            <w:tcW w:w="1380" w:type="dxa"/>
            <w:vAlign w:val="bottom"/>
            <w:shd w:val="clear" w:color="auto" w:fill="D0E0F0"/>
          </w:tcPr>
          <w:p>
            <w:pPr>
              <w:spacing w:after="0"/>
              <w:rPr>
                <w:sz w:val="16"/>
                <w:szCs w:val="16"/>
                <w:color w:val="auto"/>
              </w:rPr>
            </w:pPr>
          </w:p>
        </w:tc>
        <w:tc>
          <w:tcPr>
            <w:tcW w:w="1160" w:type="dxa"/>
            <w:vAlign w:val="bottom"/>
            <w:shd w:val="clear" w:color="auto" w:fill="D0E0F0"/>
          </w:tcPr>
          <w:p>
            <w:pPr>
              <w:spacing w:after="0"/>
              <w:rPr>
                <w:sz w:val="16"/>
                <w:szCs w:val="16"/>
                <w:color w:val="auto"/>
              </w:rPr>
            </w:pPr>
          </w:p>
        </w:tc>
        <w:tc>
          <w:tcPr>
            <w:tcW w:w="112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1140" w:type="dxa"/>
            <w:vAlign w:val="bottom"/>
            <w:shd w:val="clear" w:color="auto" w:fill="D0E0F0"/>
          </w:tcPr>
          <w:p>
            <w:pPr>
              <w:jc w:val="right"/>
              <w:spacing w:after="0" w:line="189" w:lineRule="exact"/>
              <w:rPr>
                <w:sz w:val="20"/>
                <w:szCs w:val="20"/>
                <w:color w:val="auto"/>
              </w:rPr>
            </w:pPr>
            <w:r>
              <w:rPr>
                <w:rFonts w:ascii="Arial" w:cs="Arial" w:eastAsia="Arial" w:hAnsi="Arial"/>
                <w:sz w:val="13"/>
                <w:szCs w:val="13"/>
                <w:color w:val="auto"/>
              </w:rPr>
              <w:t>1,205</w:t>
            </w:r>
            <w:r>
              <w:rPr>
                <w:rFonts w:ascii="Arial" w:cs="Arial" w:eastAsia="Arial" w:hAnsi="Arial"/>
                <w:sz w:val="21"/>
                <w:szCs w:val="21"/>
                <w:b w:val="1"/>
                <w:bCs w:val="1"/>
                <w:color w:val="auto"/>
                <w:vertAlign w:val="superscript"/>
              </w:rPr>
              <w:t>(b)</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60,780</w:t>
            </w:r>
          </w:p>
        </w:tc>
        <w:tc>
          <w:tcPr>
            <w:tcW w:w="112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D0E0F0"/>
          </w:tcPr>
          <w:p>
            <w:pPr>
              <w:spacing w:after="0"/>
              <w:rPr>
                <w:sz w:val="16"/>
                <w:szCs w:val="16"/>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2/26/2015</w:t>
            </w:r>
          </w:p>
        </w:tc>
        <w:tc>
          <w:tcPr>
            <w:tcW w:w="1380" w:type="dxa"/>
            <w:vAlign w:val="bottom"/>
            <w:shd w:val="clear" w:color="auto" w:fill="D0E0F0"/>
          </w:tcPr>
          <w:p>
            <w:pPr>
              <w:spacing w:after="0"/>
              <w:rPr>
                <w:sz w:val="16"/>
                <w:szCs w:val="16"/>
                <w:color w:val="auto"/>
              </w:rPr>
            </w:pPr>
          </w:p>
        </w:tc>
        <w:tc>
          <w:tcPr>
            <w:tcW w:w="1160" w:type="dxa"/>
            <w:vAlign w:val="bottom"/>
            <w:shd w:val="clear" w:color="auto" w:fill="D0E0F0"/>
          </w:tcPr>
          <w:p>
            <w:pPr>
              <w:spacing w:after="0"/>
              <w:rPr>
                <w:sz w:val="16"/>
                <w:szCs w:val="16"/>
                <w:color w:val="auto"/>
              </w:rPr>
            </w:pPr>
          </w:p>
        </w:tc>
        <w:tc>
          <w:tcPr>
            <w:tcW w:w="112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1140" w:type="dxa"/>
            <w:vAlign w:val="bottom"/>
            <w:shd w:val="clear" w:color="auto" w:fill="D0E0F0"/>
          </w:tcPr>
          <w:p>
            <w:pPr>
              <w:jc w:val="right"/>
              <w:spacing w:after="0" w:line="189" w:lineRule="exact"/>
              <w:rPr>
                <w:sz w:val="20"/>
                <w:szCs w:val="20"/>
                <w:color w:val="auto"/>
              </w:rPr>
            </w:pPr>
            <w:r>
              <w:rPr>
                <w:rFonts w:ascii="Arial" w:cs="Arial" w:eastAsia="Arial" w:hAnsi="Arial"/>
                <w:sz w:val="13"/>
                <w:szCs w:val="13"/>
                <w:color w:val="auto"/>
              </w:rPr>
              <w:t>28,125</w:t>
            </w:r>
            <w:r>
              <w:rPr>
                <w:rFonts w:ascii="Arial" w:cs="Arial" w:eastAsia="Arial" w:hAnsi="Arial"/>
                <w:sz w:val="21"/>
                <w:szCs w:val="21"/>
                <w:b w:val="1"/>
                <w:bCs w:val="1"/>
                <w:color w:val="auto"/>
                <w:vertAlign w:val="superscript"/>
              </w:rPr>
              <w:t>(a)</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1,418,625</w:t>
            </w:r>
          </w:p>
        </w:tc>
        <w:tc>
          <w:tcPr>
            <w:tcW w:w="112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D0E0F0"/>
          </w:tcPr>
          <w:p>
            <w:pPr>
              <w:spacing w:after="0"/>
              <w:rPr>
                <w:sz w:val="16"/>
                <w:szCs w:val="16"/>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2/26/2015</w:t>
            </w:r>
          </w:p>
        </w:tc>
        <w:tc>
          <w:tcPr>
            <w:tcW w:w="1380" w:type="dxa"/>
            <w:vAlign w:val="bottom"/>
            <w:shd w:val="clear" w:color="auto" w:fill="D0E0F0"/>
          </w:tcPr>
          <w:p>
            <w:pPr>
              <w:spacing w:after="0"/>
              <w:rPr>
                <w:sz w:val="16"/>
                <w:szCs w:val="16"/>
                <w:color w:val="auto"/>
              </w:rPr>
            </w:pPr>
          </w:p>
        </w:tc>
        <w:tc>
          <w:tcPr>
            <w:tcW w:w="1160" w:type="dxa"/>
            <w:vAlign w:val="bottom"/>
            <w:shd w:val="clear" w:color="auto" w:fill="D0E0F0"/>
          </w:tcPr>
          <w:p>
            <w:pPr>
              <w:spacing w:after="0"/>
              <w:rPr>
                <w:sz w:val="16"/>
                <w:szCs w:val="16"/>
                <w:color w:val="auto"/>
              </w:rPr>
            </w:pPr>
          </w:p>
        </w:tc>
        <w:tc>
          <w:tcPr>
            <w:tcW w:w="112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1140" w:type="dxa"/>
            <w:vAlign w:val="bottom"/>
            <w:shd w:val="clear" w:color="auto" w:fill="D0E0F0"/>
          </w:tcPr>
          <w:p>
            <w:pPr>
              <w:jc w:val="right"/>
              <w:spacing w:after="0" w:line="189" w:lineRule="exact"/>
              <w:rPr>
                <w:sz w:val="20"/>
                <w:szCs w:val="20"/>
                <w:color w:val="auto"/>
              </w:rPr>
            </w:pPr>
            <w:r>
              <w:rPr>
                <w:rFonts w:ascii="Arial" w:cs="Arial" w:eastAsia="Arial" w:hAnsi="Arial"/>
                <w:sz w:val="13"/>
                <w:szCs w:val="13"/>
                <w:color w:val="auto"/>
              </w:rPr>
              <w:t>12,499</w:t>
            </w:r>
            <w:r>
              <w:rPr>
                <w:rFonts w:ascii="Arial" w:cs="Arial" w:eastAsia="Arial" w:hAnsi="Arial"/>
                <w:sz w:val="21"/>
                <w:szCs w:val="21"/>
                <w:b w:val="1"/>
                <w:bCs w:val="1"/>
                <w:color w:val="auto"/>
                <w:vertAlign w:val="superscript"/>
              </w:rPr>
              <w:t>(c)</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630,450</w:t>
            </w:r>
          </w:p>
        </w:tc>
        <w:tc>
          <w:tcPr>
            <w:tcW w:w="1120" w:type="dxa"/>
            <w:vAlign w:val="bottom"/>
            <w:shd w:val="clear" w:color="auto" w:fill="D0E0F0"/>
          </w:tcPr>
          <w:p>
            <w:pPr>
              <w:jc w:val="right"/>
              <w:spacing w:after="0" w:line="189" w:lineRule="exact"/>
              <w:rPr>
                <w:sz w:val="20"/>
                <w:szCs w:val="20"/>
                <w:color w:val="auto"/>
              </w:rPr>
            </w:pPr>
            <w:r>
              <w:rPr>
                <w:rFonts w:ascii="Arial" w:cs="Arial" w:eastAsia="Arial" w:hAnsi="Arial"/>
                <w:sz w:val="13"/>
                <w:szCs w:val="13"/>
                <w:color w:val="auto"/>
              </w:rPr>
              <w:t>12,502</w:t>
            </w:r>
            <w:r>
              <w:rPr>
                <w:rFonts w:ascii="Arial" w:cs="Arial" w:eastAsia="Arial" w:hAnsi="Arial"/>
                <w:sz w:val="21"/>
                <w:szCs w:val="21"/>
                <w:b w:val="1"/>
                <w:bCs w:val="1"/>
                <w:color w:val="auto"/>
                <w:vertAlign w:val="superscript"/>
              </w:rPr>
              <w:t>(e)</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630,601</w:t>
            </w:r>
          </w:p>
        </w:tc>
        <w:tc>
          <w:tcPr>
            <w:tcW w:w="0" w:type="dxa"/>
            <w:vAlign w:val="bottom"/>
          </w:tcPr>
          <w:p>
            <w:pPr>
              <w:spacing w:after="0"/>
              <w:rPr>
                <w:sz w:val="1"/>
                <w:szCs w:val="1"/>
                <w:color w:val="auto"/>
              </w:rPr>
            </w:pPr>
          </w:p>
        </w:tc>
      </w:tr>
      <w:tr>
        <w:trPr>
          <w:trHeight w:val="189"/>
        </w:trPr>
        <w:tc>
          <w:tcPr>
            <w:tcW w:w="1040" w:type="dxa"/>
            <w:vAlign w:val="bottom"/>
            <w:shd w:val="clear" w:color="auto" w:fill="D0E0F0"/>
          </w:tcPr>
          <w:p>
            <w:pPr>
              <w:spacing w:after="0"/>
              <w:rPr>
                <w:sz w:val="16"/>
                <w:szCs w:val="16"/>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2/26/2015</w:t>
            </w:r>
          </w:p>
        </w:tc>
        <w:tc>
          <w:tcPr>
            <w:tcW w:w="1380" w:type="dxa"/>
            <w:vAlign w:val="bottom"/>
            <w:shd w:val="clear" w:color="auto" w:fill="D0E0F0"/>
          </w:tcPr>
          <w:p>
            <w:pPr>
              <w:spacing w:after="0"/>
              <w:rPr>
                <w:sz w:val="16"/>
                <w:szCs w:val="16"/>
                <w:color w:val="auto"/>
              </w:rPr>
            </w:pPr>
          </w:p>
        </w:tc>
        <w:tc>
          <w:tcPr>
            <w:tcW w:w="1160" w:type="dxa"/>
            <w:vAlign w:val="bottom"/>
            <w:shd w:val="clear" w:color="auto" w:fill="D0E0F0"/>
          </w:tcPr>
          <w:p>
            <w:pPr>
              <w:spacing w:after="0"/>
              <w:rPr>
                <w:sz w:val="16"/>
                <w:szCs w:val="16"/>
                <w:color w:val="auto"/>
              </w:rPr>
            </w:pPr>
          </w:p>
        </w:tc>
        <w:tc>
          <w:tcPr>
            <w:tcW w:w="112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1120" w:type="dxa"/>
            <w:vAlign w:val="bottom"/>
            <w:shd w:val="clear" w:color="auto" w:fill="D0E0F0"/>
          </w:tcPr>
          <w:p>
            <w:pPr>
              <w:jc w:val="right"/>
              <w:spacing w:after="0" w:line="189" w:lineRule="exact"/>
              <w:rPr>
                <w:sz w:val="20"/>
                <w:szCs w:val="20"/>
                <w:color w:val="auto"/>
              </w:rPr>
            </w:pPr>
            <w:r>
              <w:rPr>
                <w:rFonts w:ascii="Arial" w:cs="Arial" w:eastAsia="Arial" w:hAnsi="Arial"/>
                <w:sz w:val="13"/>
                <w:szCs w:val="13"/>
                <w:color w:val="auto"/>
              </w:rPr>
              <w:t>37,500</w:t>
            </w:r>
            <w:r>
              <w:rPr>
                <w:rFonts w:ascii="Arial" w:cs="Arial" w:eastAsia="Arial" w:hAnsi="Arial"/>
                <w:sz w:val="21"/>
                <w:szCs w:val="21"/>
                <w:b w:val="1"/>
                <w:bCs w:val="1"/>
                <w:color w:val="auto"/>
                <w:vertAlign w:val="superscript"/>
              </w:rPr>
              <w:t>(f)</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1,891,500</w:t>
            </w:r>
          </w:p>
        </w:tc>
        <w:tc>
          <w:tcPr>
            <w:tcW w:w="0" w:type="dxa"/>
            <w:vAlign w:val="bottom"/>
          </w:tcPr>
          <w:p>
            <w:pPr>
              <w:spacing w:after="0"/>
              <w:rPr>
                <w:sz w:val="1"/>
                <w:szCs w:val="1"/>
                <w:color w:val="auto"/>
              </w:rPr>
            </w:pPr>
          </w:p>
        </w:tc>
      </w:tr>
      <w:tr>
        <w:trPr>
          <w:trHeight w:val="204"/>
        </w:trPr>
        <w:tc>
          <w:tcPr>
            <w:tcW w:w="1040" w:type="dxa"/>
            <w:vAlign w:val="bottom"/>
            <w:shd w:val="clear" w:color="auto" w:fill="D0E0F0"/>
          </w:tcPr>
          <w:p>
            <w:pPr>
              <w:spacing w:after="0"/>
              <w:rPr>
                <w:sz w:val="17"/>
                <w:szCs w:val="17"/>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4/29/2015</w:t>
            </w:r>
          </w:p>
        </w:tc>
        <w:tc>
          <w:tcPr>
            <w:tcW w:w="1380" w:type="dxa"/>
            <w:vAlign w:val="bottom"/>
            <w:shd w:val="clear" w:color="auto" w:fill="D0E0F0"/>
          </w:tcPr>
          <w:p>
            <w:pPr>
              <w:spacing w:after="0"/>
              <w:rPr>
                <w:sz w:val="17"/>
                <w:szCs w:val="17"/>
                <w:color w:val="auto"/>
              </w:rPr>
            </w:pPr>
          </w:p>
        </w:tc>
        <w:tc>
          <w:tcPr>
            <w:tcW w:w="1160" w:type="dxa"/>
            <w:vAlign w:val="bottom"/>
            <w:shd w:val="clear" w:color="auto" w:fill="D0E0F0"/>
          </w:tcPr>
          <w:p>
            <w:pPr>
              <w:spacing w:after="0"/>
              <w:rPr>
                <w:sz w:val="17"/>
                <w:szCs w:val="17"/>
                <w:color w:val="auto"/>
              </w:rPr>
            </w:pPr>
          </w:p>
        </w:tc>
        <w:tc>
          <w:tcPr>
            <w:tcW w:w="1120" w:type="dxa"/>
            <w:vAlign w:val="bottom"/>
            <w:shd w:val="clear" w:color="auto" w:fill="D0E0F0"/>
          </w:tcPr>
          <w:p>
            <w:pPr>
              <w:spacing w:after="0"/>
              <w:rPr>
                <w:sz w:val="17"/>
                <w:szCs w:val="17"/>
                <w:color w:val="auto"/>
              </w:rPr>
            </w:pPr>
          </w:p>
        </w:tc>
        <w:tc>
          <w:tcPr>
            <w:tcW w:w="1140" w:type="dxa"/>
            <w:vAlign w:val="bottom"/>
            <w:shd w:val="clear" w:color="auto" w:fill="D0E0F0"/>
          </w:tcPr>
          <w:p>
            <w:pPr>
              <w:spacing w:after="0"/>
              <w:rPr>
                <w:sz w:val="17"/>
                <w:szCs w:val="17"/>
                <w:color w:val="auto"/>
              </w:rPr>
            </w:pPr>
          </w:p>
        </w:tc>
        <w:tc>
          <w:tcPr>
            <w:tcW w:w="1140" w:type="dxa"/>
            <w:vAlign w:val="bottom"/>
            <w:vMerge w:val="restart"/>
            <w:shd w:val="clear" w:color="auto" w:fill="D0E0F0"/>
          </w:tcPr>
          <w:p>
            <w:pPr>
              <w:jc w:val="right"/>
              <w:spacing w:after="0"/>
              <w:rPr>
                <w:sz w:val="20"/>
                <w:szCs w:val="20"/>
                <w:color w:val="auto"/>
              </w:rPr>
            </w:pPr>
            <w:r>
              <w:rPr>
                <w:rFonts w:ascii="Arial" w:cs="Arial" w:eastAsia="Arial" w:hAnsi="Arial"/>
                <w:sz w:val="14"/>
                <w:szCs w:val="14"/>
                <w:color w:val="auto"/>
              </w:rPr>
              <w:t>37,500</w:t>
            </w:r>
            <w:r>
              <w:rPr>
                <w:rFonts w:ascii="Arial" w:cs="Arial" w:eastAsia="Arial" w:hAnsi="Arial"/>
                <w:sz w:val="23"/>
                <w:szCs w:val="23"/>
                <w:b w:val="1"/>
                <w:bCs w:val="1"/>
                <w:color w:val="auto"/>
                <w:vertAlign w:val="superscript"/>
              </w:rPr>
              <w:t>(a)</w:t>
            </w:r>
          </w:p>
        </w:tc>
        <w:tc>
          <w:tcPr>
            <w:tcW w:w="1140" w:type="dxa"/>
            <w:vAlign w:val="bottom"/>
            <w:shd w:val="clear" w:color="auto" w:fill="D0E0F0"/>
          </w:tcPr>
          <w:p>
            <w:pPr>
              <w:spacing w:after="0"/>
              <w:rPr>
                <w:sz w:val="17"/>
                <w:szCs w:val="17"/>
                <w:color w:val="auto"/>
              </w:rPr>
            </w:pPr>
          </w:p>
        </w:tc>
        <w:tc>
          <w:tcPr>
            <w:tcW w:w="1120" w:type="dxa"/>
            <w:vAlign w:val="bottom"/>
            <w:shd w:val="clear" w:color="auto" w:fill="D0E0F0"/>
          </w:tcPr>
          <w:p>
            <w:pPr>
              <w:jc w:val="right"/>
              <w:spacing w:after="0" w:line="203" w:lineRule="exact"/>
              <w:rPr>
                <w:sz w:val="20"/>
                <w:szCs w:val="20"/>
                <w:color w:val="auto"/>
              </w:rPr>
            </w:pPr>
            <w:r>
              <w:rPr>
                <w:rFonts w:ascii="Arial" w:cs="Arial" w:eastAsia="Arial" w:hAnsi="Arial"/>
                <w:sz w:val="14"/>
                <w:szCs w:val="14"/>
                <w:color w:val="auto"/>
              </w:rPr>
              <w:t>200,000</w:t>
            </w:r>
            <w:r>
              <w:rPr>
                <w:rFonts w:ascii="Arial" w:cs="Arial" w:eastAsia="Arial" w:hAnsi="Arial"/>
                <w:sz w:val="23"/>
                <w:szCs w:val="23"/>
                <w:b w:val="1"/>
                <w:bCs w:val="1"/>
                <w:color w:val="auto"/>
                <w:vertAlign w:val="superscript"/>
              </w:rPr>
              <w:t>(g)</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10,088,000</w:t>
            </w:r>
          </w:p>
        </w:tc>
        <w:tc>
          <w:tcPr>
            <w:tcW w:w="0" w:type="dxa"/>
            <w:vAlign w:val="bottom"/>
          </w:tcPr>
          <w:p>
            <w:pPr>
              <w:spacing w:after="0"/>
              <w:rPr>
                <w:sz w:val="1"/>
                <w:szCs w:val="1"/>
                <w:color w:val="auto"/>
              </w:rPr>
            </w:pPr>
          </w:p>
        </w:tc>
      </w:tr>
      <w:tr>
        <w:trPr>
          <w:trHeight w:val="189"/>
        </w:trPr>
        <w:tc>
          <w:tcPr>
            <w:tcW w:w="1040" w:type="dxa"/>
            <w:vAlign w:val="bottom"/>
            <w:shd w:val="clear" w:color="auto" w:fill="D0E0F0"/>
          </w:tcPr>
          <w:p>
            <w:pPr>
              <w:spacing w:after="0"/>
              <w:rPr>
                <w:sz w:val="16"/>
                <w:szCs w:val="16"/>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1380" w:type="dxa"/>
            <w:vAlign w:val="bottom"/>
            <w:shd w:val="clear" w:color="auto" w:fill="D0E0F0"/>
          </w:tcPr>
          <w:p>
            <w:pPr>
              <w:spacing w:after="0"/>
              <w:rPr>
                <w:sz w:val="16"/>
                <w:szCs w:val="16"/>
                <w:color w:val="auto"/>
              </w:rPr>
            </w:pPr>
          </w:p>
        </w:tc>
        <w:tc>
          <w:tcPr>
            <w:tcW w:w="1160" w:type="dxa"/>
            <w:vAlign w:val="bottom"/>
            <w:shd w:val="clear" w:color="auto" w:fill="D0E0F0"/>
          </w:tcPr>
          <w:p>
            <w:pPr>
              <w:spacing w:after="0"/>
              <w:rPr>
                <w:sz w:val="16"/>
                <w:szCs w:val="16"/>
                <w:color w:val="auto"/>
              </w:rPr>
            </w:pPr>
          </w:p>
        </w:tc>
        <w:tc>
          <w:tcPr>
            <w:tcW w:w="112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1140" w:type="dxa"/>
            <w:vAlign w:val="bottom"/>
            <w:vMerge w:val="continue"/>
            <w:shd w:val="clear" w:color="auto" w:fill="D0E0F0"/>
          </w:tcPr>
          <w:p>
            <w:pPr>
              <w:spacing w:after="0"/>
              <w:rPr>
                <w:sz w:val="16"/>
                <w:szCs w:val="16"/>
                <w:color w:val="auto"/>
              </w:rPr>
            </w:pP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1,891,500</w:t>
            </w:r>
          </w:p>
        </w:tc>
        <w:tc>
          <w:tcPr>
            <w:tcW w:w="1120" w:type="dxa"/>
            <w:vAlign w:val="bottom"/>
            <w:vMerge w:val="restart"/>
            <w:shd w:val="clear" w:color="auto" w:fill="D0E0F0"/>
          </w:tcPr>
          <w:p>
            <w:pPr>
              <w:jc w:val="right"/>
              <w:spacing w:after="0"/>
              <w:rPr>
                <w:sz w:val="20"/>
                <w:szCs w:val="20"/>
                <w:color w:val="auto"/>
              </w:rPr>
            </w:pPr>
            <w:r>
              <w:rPr>
                <w:rFonts w:ascii="Arial" w:cs="Arial" w:eastAsia="Arial" w:hAnsi="Arial"/>
                <w:sz w:val="14"/>
                <w:szCs w:val="14"/>
                <w:color w:val="auto"/>
              </w:rPr>
              <w:t>18,750</w:t>
            </w:r>
            <w:r>
              <w:rPr>
                <w:rFonts w:ascii="Arial" w:cs="Arial" w:eastAsia="Arial" w:hAnsi="Arial"/>
                <w:sz w:val="23"/>
                <w:szCs w:val="23"/>
                <w:b w:val="1"/>
                <w:bCs w:val="1"/>
                <w:color w:val="auto"/>
                <w:vertAlign w:val="superscript"/>
              </w:rPr>
              <w:t>(h)</w:t>
            </w:r>
          </w:p>
        </w:tc>
        <w:tc>
          <w:tcPr>
            <w:tcW w:w="1140" w:type="dxa"/>
            <w:vAlign w:val="bottom"/>
            <w:shd w:val="clear" w:color="auto" w:fill="D0E0F0"/>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D0E0F0"/>
          </w:tcPr>
          <w:p>
            <w:pPr>
              <w:spacing w:after="0"/>
              <w:rPr>
                <w:sz w:val="15"/>
                <w:szCs w:val="15"/>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1380" w:type="dxa"/>
            <w:vAlign w:val="bottom"/>
            <w:shd w:val="clear" w:color="auto" w:fill="D0E0F0"/>
          </w:tcPr>
          <w:p>
            <w:pPr>
              <w:spacing w:after="0"/>
              <w:rPr>
                <w:sz w:val="15"/>
                <w:szCs w:val="15"/>
                <w:color w:val="auto"/>
              </w:rPr>
            </w:pPr>
          </w:p>
        </w:tc>
        <w:tc>
          <w:tcPr>
            <w:tcW w:w="1160" w:type="dxa"/>
            <w:vAlign w:val="bottom"/>
            <w:shd w:val="clear" w:color="auto" w:fill="D0E0F0"/>
          </w:tcPr>
          <w:p>
            <w:pPr>
              <w:spacing w:after="0"/>
              <w:rPr>
                <w:sz w:val="15"/>
                <w:szCs w:val="15"/>
                <w:color w:val="auto"/>
              </w:rPr>
            </w:pPr>
          </w:p>
        </w:tc>
        <w:tc>
          <w:tcPr>
            <w:tcW w:w="1120" w:type="dxa"/>
            <w:vAlign w:val="bottom"/>
            <w:shd w:val="clear" w:color="auto" w:fill="D0E0F0"/>
          </w:tcPr>
          <w:p>
            <w:pPr>
              <w:spacing w:after="0"/>
              <w:rPr>
                <w:sz w:val="15"/>
                <w:szCs w:val="15"/>
                <w:color w:val="auto"/>
              </w:rPr>
            </w:pPr>
          </w:p>
        </w:tc>
        <w:tc>
          <w:tcPr>
            <w:tcW w:w="1140" w:type="dxa"/>
            <w:vAlign w:val="bottom"/>
            <w:shd w:val="clear" w:color="auto" w:fill="D0E0F0"/>
          </w:tcPr>
          <w:p>
            <w:pPr>
              <w:spacing w:after="0"/>
              <w:rPr>
                <w:sz w:val="15"/>
                <w:szCs w:val="15"/>
                <w:color w:val="auto"/>
              </w:rPr>
            </w:pPr>
          </w:p>
        </w:tc>
        <w:tc>
          <w:tcPr>
            <w:tcW w:w="1140" w:type="dxa"/>
            <w:vAlign w:val="bottom"/>
            <w:shd w:val="clear" w:color="auto" w:fill="D0E0F0"/>
          </w:tcPr>
          <w:p>
            <w:pPr>
              <w:spacing w:after="0"/>
              <w:rPr>
                <w:sz w:val="15"/>
                <w:szCs w:val="15"/>
                <w:color w:val="auto"/>
              </w:rPr>
            </w:pPr>
          </w:p>
        </w:tc>
        <w:tc>
          <w:tcPr>
            <w:tcW w:w="1140" w:type="dxa"/>
            <w:vAlign w:val="bottom"/>
            <w:shd w:val="clear" w:color="auto" w:fill="D0E0F0"/>
          </w:tcPr>
          <w:p>
            <w:pPr>
              <w:spacing w:after="0"/>
              <w:rPr>
                <w:sz w:val="15"/>
                <w:szCs w:val="15"/>
                <w:color w:val="auto"/>
              </w:rPr>
            </w:pPr>
          </w:p>
        </w:tc>
        <w:tc>
          <w:tcPr>
            <w:tcW w:w="1120" w:type="dxa"/>
            <w:vAlign w:val="bottom"/>
            <w:vMerge w:val="continue"/>
            <w:shd w:val="clear" w:color="auto" w:fill="D0E0F0"/>
          </w:tcPr>
          <w:p>
            <w:pPr>
              <w:spacing w:after="0"/>
              <w:rPr>
                <w:sz w:val="15"/>
                <w:szCs w:val="15"/>
                <w:color w:val="auto"/>
              </w:rPr>
            </w:pP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945,750</w:t>
            </w:r>
          </w:p>
        </w:tc>
        <w:tc>
          <w:tcPr>
            <w:tcW w:w="0" w:type="dxa"/>
            <w:vAlign w:val="bottom"/>
          </w:tcPr>
          <w:p>
            <w:pPr>
              <w:spacing w:after="0"/>
              <w:rPr>
                <w:sz w:val="1"/>
                <w:szCs w:val="1"/>
                <w:color w:val="auto"/>
              </w:rPr>
            </w:pPr>
          </w:p>
        </w:tc>
      </w:tr>
      <w:tr>
        <w:trPr>
          <w:trHeight w:val="204"/>
        </w:trPr>
        <w:tc>
          <w:tcPr>
            <w:tcW w:w="1040" w:type="dxa"/>
            <w:vAlign w:val="bottom"/>
            <w:shd w:val="clear" w:color="auto" w:fill="D0E0F0"/>
          </w:tcPr>
          <w:p>
            <w:pPr>
              <w:spacing w:after="0"/>
              <w:rPr>
                <w:sz w:val="17"/>
                <w:szCs w:val="17"/>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1380" w:type="dxa"/>
            <w:vAlign w:val="bottom"/>
            <w:shd w:val="clear" w:color="auto" w:fill="D0E0F0"/>
          </w:tcPr>
          <w:p>
            <w:pPr>
              <w:spacing w:after="0"/>
              <w:rPr>
                <w:sz w:val="17"/>
                <w:szCs w:val="17"/>
                <w:color w:val="auto"/>
              </w:rPr>
            </w:pPr>
          </w:p>
        </w:tc>
        <w:tc>
          <w:tcPr>
            <w:tcW w:w="1160" w:type="dxa"/>
            <w:vAlign w:val="bottom"/>
            <w:shd w:val="clear" w:color="auto" w:fill="D0E0F0"/>
          </w:tcPr>
          <w:p>
            <w:pPr>
              <w:spacing w:after="0"/>
              <w:rPr>
                <w:sz w:val="17"/>
                <w:szCs w:val="17"/>
                <w:color w:val="auto"/>
              </w:rPr>
            </w:pPr>
          </w:p>
        </w:tc>
        <w:tc>
          <w:tcPr>
            <w:tcW w:w="1120" w:type="dxa"/>
            <w:vAlign w:val="bottom"/>
            <w:shd w:val="clear" w:color="auto" w:fill="D0E0F0"/>
          </w:tcPr>
          <w:p>
            <w:pPr>
              <w:spacing w:after="0"/>
              <w:rPr>
                <w:sz w:val="17"/>
                <w:szCs w:val="17"/>
                <w:color w:val="auto"/>
              </w:rPr>
            </w:pPr>
          </w:p>
        </w:tc>
        <w:tc>
          <w:tcPr>
            <w:tcW w:w="1140" w:type="dxa"/>
            <w:vAlign w:val="bottom"/>
            <w:shd w:val="clear" w:color="auto" w:fill="D0E0F0"/>
          </w:tcPr>
          <w:p>
            <w:pPr>
              <w:spacing w:after="0"/>
              <w:rPr>
                <w:sz w:val="17"/>
                <w:szCs w:val="17"/>
                <w:color w:val="auto"/>
              </w:rPr>
            </w:pPr>
          </w:p>
        </w:tc>
        <w:tc>
          <w:tcPr>
            <w:tcW w:w="1140" w:type="dxa"/>
            <w:vAlign w:val="bottom"/>
            <w:shd w:val="clear" w:color="auto" w:fill="D0E0F0"/>
          </w:tcPr>
          <w:p>
            <w:pPr>
              <w:spacing w:after="0"/>
              <w:rPr>
                <w:sz w:val="17"/>
                <w:szCs w:val="17"/>
                <w:color w:val="auto"/>
              </w:rPr>
            </w:pPr>
          </w:p>
        </w:tc>
        <w:tc>
          <w:tcPr>
            <w:tcW w:w="1140" w:type="dxa"/>
            <w:vAlign w:val="bottom"/>
            <w:shd w:val="clear" w:color="auto" w:fill="D0E0F0"/>
          </w:tcPr>
          <w:p>
            <w:pPr>
              <w:spacing w:after="0"/>
              <w:rPr>
                <w:sz w:val="17"/>
                <w:szCs w:val="17"/>
                <w:color w:val="auto"/>
              </w:rPr>
            </w:pPr>
          </w:p>
        </w:tc>
        <w:tc>
          <w:tcPr>
            <w:tcW w:w="1120" w:type="dxa"/>
            <w:vAlign w:val="bottom"/>
            <w:shd w:val="clear" w:color="auto" w:fill="D0E0F0"/>
          </w:tcPr>
          <w:p>
            <w:pPr>
              <w:jc w:val="right"/>
              <w:spacing w:after="0" w:line="203" w:lineRule="exact"/>
              <w:rPr>
                <w:sz w:val="20"/>
                <w:szCs w:val="20"/>
                <w:color w:val="auto"/>
              </w:rPr>
            </w:pPr>
            <w:r>
              <w:rPr>
                <w:rFonts w:ascii="Arial" w:cs="Arial" w:eastAsia="Arial" w:hAnsi="Arial"/>
                <w:sz w:val="14"/>
                <w:szCs w:val="14"/>
                <w:color w:val="auto"/>
              </w:rPr>
              <w:t>18,750</w:t>
            </w:r>
            <w:r>
              <w:rPr>
                <w:rFonts w:ascii="Arial" w:cs="Arial" w:eastAsia="Arial" w:hAnsi="Arial"/>
                <w:sz w:val="23"/>
                <w:szCs w:val="23"/>
                <w:b w:val="1"/>
                <w:bCs w:val="1"/>
                <w:color w:val="auto"/>
                <w:vertAlign w:val="superscript"/>
              </w:rPr>
              <w:t>(h)</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945,750</w:t>
            </w:r>
          </w:p>
        </w:tc>
        <w:tc>
          <w:tcPr>
            <w:tcW w:w="0" w:type="dxa"/>
            <w:vAlign w:val="bottom"/>
          </w:tcPr>
          <w:p>
            <w:pPr>
              <w:spacing w:after="0"/>
              <w:rPr>
                <w:sz w:val="1"/>
                <w:szCs w:val="1"/>
                <w:color w:val="auto"/>
              </w:rPr>
            </w:pPr>
          </w:p>
        </w:tc>
      </w:tr>
      <w:tr>
        <w:trPr>
          <w:trHeight w:val="167"/>
        </w:trPr>
        <w:tc>
          <w:tcPr>
            <w:tcW w:w="1040" w:type="dxa"/>
            <w:vAlign w:val="bottom"/>
          </w:tcPr>
          <w:p>
            <w:pPr>
              <w:spacing w:after="0"/>
              <w:rPr>
                <w:sz w:val="20"/>
                <w:szCs w:val="20"/>
                <w:color w:val="auto"/>
              </w:rPr>
            </w:pPr>
            <w:r>
              <w:rPr>
                <w:rFonts w:ascii="Arial" w:cs="Arial" w:eastAsia="Arial" w:hAnsi="Arial"/>
                <w:sz w:val="14"/>
                <w:szCs w:val="14"/>
                <w:color w:val="auto"/>
              </w:rPr>
              <w:t>Vishal</w:t>
            </w:r>
          </w:p>
        </w:tc>
        <w:tc>
          <w:tcPr>
            <w:tcW w:w="1040" w:type="dxa"/>
            <w:vAlign w:val="bottom"/>
          </w:tcPr>
          <w:p>
            <w:pPr>
              <w:jc w:val="right"/>
              <w:spacing w:after="0"/>
              <w:rPr>
                <w:sz w:val="20"/>
                <w:szCs w:val="20"/>
                <w:color w:val="auto"/>
              </w:rPr>
            </w:pPr>
            <w:r>
              <w:rPr>
                <w:rFonts w:ascii="Arial" w:cs="Arial" w:eastAsia="Arial" w:hAnsi="Arial"/>
                <w:sz w:val="14"/>
                <w:szCs w:val="14"/>
                <w:color w:val="auto"/>
              </w:rPr>
              <w:t>6/1/2009</w:t>
            </w:r>
          </w:p>
        </w:tc>
        <w:tc>
          <w:tcPr>
            <w:tcW w:w="1380" w:type="dxa"/>
            <w:vAlign w:val="bottom"/>
          </w:tcPr>
          <w:p>
            <w:pPr>
              <w:jc w:val="right"/>
              <w:spacing w:after="0"/>
              <w:rPr>
                <w:sz w:val="20"/>
                <w:szCs w:val="20"/>
                <w:color w:val="auto"/>
              </w:rPr>
            </w:pPr>
            <w:r>
              <w:rPr>
                <w:rFonts w:ascii="Arial" w:cs="Arial" w:eastAsia="Arial" w:hAnsi="Arial"/>
                <w:sz w:val="14"/>
                <w:szCs w:val="14"/>
                <w:color w:val="auto"/>
              </w:rPr>
              <w:t>48,000</w:t>
            </w:r>
          </w:p>
        </w:tc>
        <w:tc>
          <w:tcPr>
            <w:tcW w:w="1160" w:type="dxa"/>
            <w:vAlign w:val="bottom"/>
          </w:tcPr>
          <w:p>
            <w:pPr>
              <w:jc w:val="center"/>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9.59</w:t>
            </w:r>
          </w:p>
        </w:tc>
        <w:tc>
          <w:tcPr>
            <w:tcW w:w="1140" w:type="dxa"/>
            <w:vAlign w:val="bottom"/>
          </w:tcPr>
          <w:p>
            <w:pPr>
              <w:jc w:val="right"/>
              <w:spacing w:after="0"/>
              <w:rPr>
                <w:sz w:val="20"/>
                <w:szCs w:val="20"/>
                <w:color w:val="auto"/>
              </w:rPr>
            </w:pPr>
            <w:r>
              <w:rPr>
                <w:rFonts w:ascii="Arial" w:cs="Arial" w:eastAsia="Arial" w:hAnsi="Arial"/>
                <w:sz w:val="14"/>
                <w:szCs w:val="14"/>
                <w:color w:val="auto"/>
              </w:rPr>
              <w:t>6/1/2019</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20"/>
                <w:szCs w:val="20"/>
                <w:color w:val="auto"/>
              </w:rPr>
            </w:pPr>
            <w:r>
              <w:rPr>
                <w:rFonts w:ascii="Arial" w:cs="Arial" w:eastAsia="Arial" w:hAnsi="Arial"/>
                <w:sz w:val="14"/>
                <w:szCs w:val="14"/>
                <w:color w:val="auto"/>
              </w:rPr>
              <w:t>Chhibbar</w:t>
            </w:r>
          </w:p>
        </w:tc>
        <w:tc>
          <w:tcPr>
            <w:tcW w:w="1040" w:type="dxa"/>
            <w:vAlign w:val="bottom"/>
          </w:tcPr>
          <w:p>
            <w:pPr>
              <w:jc w:val="right"/>
              <w:spacing w:after="0"/>
              <w:rPr>
                <w:sz w:val="20"/>
                <w:szCs w:val="20"/>
                <w:color w:val="auto"/>
              </w:rPr>
            </w:pPr>
            <w:r>
              <w:rPr>
                <w:rFonts w:ascii="Arial" w:cs="Arial" w:eastAsia="Arial" w:hAnsi="Arial"/>
                <w:sz w:val="14"/>
                <w:szCs w:val="14"/>
                <w:color w:val="auto"/>
              </w:rPr>
              <w:t>2/7/2012</w:t>
            </w:r>
          </w:p>
        </w:tc>
        <w:tc>
          <w:tcPr>
            <w:tcW w:w="1380" w:type="dxa"/>
            <w:vAlign w:val="bottom"/>
          </w:tcPr>
          <w:p>
            <w:pPr>
              <w:jc w:val="right"/>
              <w:spacing w:after="0"/>
              <w:rPr>
                <w:sz w:val="20"/>
                <w:szCs w:val="20"/>
                <w:color w:val="auto"/>
              </w:rPr>
            </w:pPr>
            <w:r>
              <w:rPr>
                <w:rFonts w:ascii="Arial" w:cs="Arial" w:eastAsia="Arial" w:hAnsi="Arial"/>
                <w:sz w:val="14"/>
                <w:szCs w:val="14"/>
                <w:color w:val="auto"/>
              </w:rPr>
              <w:t>2,050</w:t>
            </w:r>
          </w:p>
        </w:tc>
        <w:tc>
          <w:tcPr>
            <w:tcW w:w="1160" w:type="dxa"/>
            <w:vAlign w:val="bottom"/>
          </w:tcPr>
          <w:p>
            <w:pPr>
              <w:jc w:val="center"/>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24.77</w:t>
            </w:r>
          </w:p>
        </w:tc>
        <w:tc>
          <w:tcPr>
            <w:tcW w:w="1140" w:type="dxa"/>
            <w:vAlign w:val="bottom"/>
          </w:tcPr>
          <w:p>
            <w:pPr>
              <w:jc w:val="right"/>
              <w:spacing w:after="0"/>
              <w:rPr>
                <w:sz w:val="20"/>
                <w:szCs w:val="20"/>
                <w:color w:val="auto"/>
              </w:rPr>
            </w:pPr>
            <w:r>
              <w:rPr>
                <w:rFonts w:ascii="Arial" w:cs="Arial" w:eastAsia="Arial" w:hAnsi="Arial"/>
                <w:sz w:val="14"/>
                <w:szCs w:val="14"/>
                <w:color w:val="auto"/>
              </w:rPr>
              <w:t>2/7/2022</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4,800</w:t>
            </w:r>
            <w:r>
              <w:rPr>
                <w:rFonts w:ascii="Arial" w:cs="Arial" w:eastAsia="Arial" w:hAnsi="Arial"/>
                <w:sz w:val="23"/>
                <w:szCs w:val="23"/>
                <w:b w:val="1"/>
                <w:bCs w:val="1"/>
                <w:color w:val="auto"/>
                <w:vertAlign w:val="superscript"/>
              </w:rPr>
              <w:t>(d)</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2/8/2013</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242,112</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2/13/2014</w:t>
            </w: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3"/>
                <w:szCs w:val="13"/>
                <w:color w:val="auto"/>
              </w:rPr>
              <w:t>4,900</w:t>
            </w:r>
            <w:r>
              <w:rPr>
                <w:rFonts w:ascii="Arial" w:cs="Arial" w:eastAsia="Arial" w:hAnsi="Arial"/>
                <w:sz w:val="21"/>
                <w:szCs w:val="21"/>
                <w:b w:val="1"/>
                <w:bCs w:val="1"/>
                <w:color w:val="auto"/>
                <w:vertAlign w:val="superscript"/>
              </w:rPr>
              <w:t>(d)</w:t>
            </w:r>
          </w:p>
        </w:tc>
        <w:tc>
          <w:tcPr>
            <w:tcW w:w="1140" w:type="dxa"/>
            <w:vAlign w:val="bottom"/>
          </w:tcPr>
          <w:p>
            <w:pPr>
              <w:jc w:val="right"/>
              <w:spacing w:after="0"/>
              <w:rPr>
                <w:sz w:val="20"/>
                <w:szCs w:val="20"/>
                <w:color w:val="auto"/>
              </w:rPr>
            </w:pPr>
            <w:r>
              <w:rPr>
                <w:rFonts w:ascii="Arial" w:cs="Arial" w:eastAsia="Arial" w:hAnsi="Arial"/>
                <w:sz w:val="14"/>
                <w:szCs w:val="14"/>
                <w:color w:val="auto"/>
              </w:rPr>
              <w:t>247,156</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2/13/2014</w:t>
            </w: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3"/>
                <w:szCs w:val="13"/>
                <w:color w:val="auto"/>
              </w:rPr>
              <w:t>376</w:t>
            </w:r>
            <w:r>
              <w:rPr>
                <w:rFonts w:ascii="Arial" w:cs="Arial" w:eastAsia="Arial" w:hAnsi="Arial"/>
                <w:sz w:val="21"/>
                <w:szCs w:val="21"/>
                <w:b w:val="1"/>
                <w:bCs w:val="1"/>
                <w:color w:val="auto"/>
                <w:vertAlign w:val="superscript"/>
              </w:rPr>
              <w:t>(b)</w:t>
            </w:r>
          </w:p>
        </w:tc>
        <w:tc>
          <w:tcPr>
            <w:tcW w:w="1140" w:type="dxa"/>
            <w:vAlign w:val="bottom"/>
          </w:tcPr>
          <w:p>
            <w:pPr>
              <w:jc w:val="right"/>
              <w:spacing w:after="0"/>
              <w:rPr>
                <w:sz w:val="20"/>
                <w:szCs w:val="20"/>
                <w:color w:val="auto"/>
              </w:rPr>
            </w:pPr>
            <w:r>
              <w:rPr>
                <w:rFonts w:ascii="Arial" w:cs="Arial" w:eastAsia="Arial" w:hAnsi="Arial"/>
                <w:sz w:val="14"/>
                <w:szCs w:val="14"/>
                <w:color w:val="auto"/>
              </w:rPr>
              <w:t>18,965</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2/26/2015</w:t>
            </w: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3"/>
                <w:szCs w:val="13"/>
                <w:color w:val="auto"/>
              </w:rPr>
              <w:t>6,750</w:t>
            </w:r>
            <w:r>
              <w:rPr>
                <w:rFonts w:ascii="Arial" w:cs="Arial" w:eastAsia="Arial" w:hAnsi="Arial"/>
                <w:sz w:val="21"/>
                <w:szCs w:val="21"/>
                <w:b w:val="1"/>
                <w:bCs w:val="1"/>
                <w:color w:val="auto"/>
                <w:vertAlign w:val="superscript"/>
              </w:rPr>
              <w:t>(d)</w:t>
            </w:r>
          </w:p>
        </w:tc>
        <w:tc>
          <w:tcPr>
            <w:tcW w:w="1140" w:type="dxa"/>
            <w:vAlign w:val="bottom"/>
          </w:tcPr>
          <w:p>
            <w:pPr>
              <w:jc w:val="right"/>
              <w:spacing w:after="0"/>
              <w:rPr>
                <w:sz w:val="20"/>
                <w:szCs w:val="20"/>
                <w:color w:val="auto"/>
              </w:rPr>
            </w:pPr>
            <w:r>
              <w:rPr>
                <w:rFonts w:ascii="Arial" w:cs="Arial" w:eastAsia="Arial" w:hAnsi="Arial"/>
                <w:sz w:val="14"/>
                <w:szCs w:val="14"/>
                <w:color w:val="auto"/>
              </w:rPr>
              <w:t>340,470</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2/26/2015</w:t>
            </w: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3"/>
                <w:szCs w:val="13"/>
                <w:color w:val="auto"/>
              </w:rPr>
              <w:t>2,499</w:t>
            </w:r>
            <w:r>
              <w:rPr>
                <w:rFonts w:ascii="Arial" w:cs="Arial" w:eastAsia="Arial" w:hAnsi="Arial"/>
                <w:sz w:val="21"/>
                <w:szCs w:val="21"/>
                <w:b w:val="1"/>
                <w:bCs w:val="1"/>
                <w:color w:val="auto"/>
                <w:vertAlign w:val="superscript"/>
              </w:rPr>
              <w:t>(c)</w:t>
            </w:r>
          </w:p>
        </w:tc>
        <w:tc>
          <w:tcPr>
            <w:tcW w:w="1140" w:type="dxa"/>
            <w:vAlign w:val="bottom"/>
          </w:tcPr>
          <w:p>
            <w:pPr>
              <w:jc w:val="right"/>
              <w:spacing w:after="0"/>
              <w:rPr>
                <w:sz w:val="20"/>
                <w:szCs w:val="20"/>
                <w:color w:val="auto"/>
              </w:rPr>
            </w:pPr>
            <w:r>
              <w:rPr>
                <w:rFonts w:ascii="Arial" w:cs="Arial" w:eastAsia="Arial" w:hAnsi="Arial"/>
                <w:sz w:val="14"/>
                <w:szCs w:val="14"/>
                <w:color w:val="auto"/>
              </w:rPr>
              <w:t>126,050</w:t>
            </w:r>
          </w:p>
        </w:tc>
        <w:tc>
          <w:tcPr>
            <w:tcW w:w="1120" w:type="dxa"/>
            <w:vAlign w:val="bottom"/>
          </w:tcPr>
          <w:p>
            <w:pPr>
              <w:jc w:val="right"/>
              <w:spacing w:after="0" w:line="189" w:lineRule="exact"/>
              <w:rPr>
                <w:sz w:val="20"/>
                <w:szCs w:val="20"/>
                <w:color w:val="auto"/>
              </w:rPr>
            </w:pPr>
            <w:r>
              <w:rPr>
                <w:rFonts w:ascii="Arial" w:cs="Arial" w:eastAsia="Arial" w:hAnsi="Arial"/>
                <w:sz w:val="13"/>
                <w:szCs w:val="13"/>
                <w:color w:val="auto"/>
              </w:rPr>
              <w:t>2,502</w:t>
            </w:r>
            <w:r>
              <w:rPr>
                <w:rFonts w:ascii="Arial" w:cs="Arial" w:eastAsia="Arial" w:hAnsi="Arial"/>
                <w:sz w:val="21"/>
                <w:szCs w:val="21"/>
                <w:b w:val="1"/>
                <w:bCs w:val="1"/>
                <w:color w:val="auto"/>
                <w:vertAlign w:val="superscript"/>
              </w:rPr>
              <w:t>(e)</w:t>
            </w:r>
          </w:p>
        </w:tc>
        <w:tc>
          <w:tcPr>
            <w:tcW w:w="1140" w:type="dxa"/>
            <w:vAlign w:val="bottom"/>
          </w:tcPr>
          <w:p>
            <w:pPr>
              <w:jc w:val="right"/>
              <w:spacing w:after="0"/>
              <w:rPr>
                <w:sz w:val="20"/>
                <w:szCs w:val="20"/>
                <w:color w:val="auto"/>
              </w:rPr>
            </w:pPr>
            <w:r>
              <w:rPr>
                <w:rFonts w:ascii="Arial" w:cs="Arial" w:eastAsia="Arial" w:hAnsi="Arial"/>
                <w:sz w:val="14"/>
                <w:szCs w:val="14"/>
                <w:color w:val="auto"/>
              </w:rPr>
              <w:t>126,201</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2/26/2015</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7,000</w:t>
            </w:r>
            <w:r>
              <w:rPr>
                <w:rFonts w:ascii="Arial" w:cs="Arial" w:eastAsia="Arial" w:hAnsi="Arial"/>
                <w:sz w:val="23"/>
                <w:szCs w:val="23"/>
                <w:b w:val="1"/>
                <w:bCs w:val="1"/>
                <w:color w:val="auto"/>
                <w:vertAlign w:val="superscript"/>
              </w:rPr>
              <w:t>(a)</w:t>
            </w:r>
          </w:p>
        </w:tc>
        <w:tc>
          <w:tcPr>
            <w:tcW w:w="1140" w:type="dxa"/>
            <w:vAlign w:val="bottom"/>
          </w:tcPr>
          <w:p>
            <w:pPr>
              <w:spacing w:after="0"/>
              <w:rPr>
                <w:sz w:val="18"/>
                <w:szCs w:val="18"/>
                <w:color w:val="auto"/>
              </w:rPr>
            </w:pPr>
          </w:p>
        </w:tc>
        <w:tc>
          <w:tcPr>
            <w:tcW w:w="1120" w:type="dxa"/>
            <w:vAlign w:val="bottom"/>
          </w:tcPr>
          <w:p>
            <w:pPr>
              <w:jc w:val="right"/>
              <w:spacing w:after="0" w:line="209" w:lineRule="exact"/>
              <w:rPr>
                <w:sz w:val="20"/>
                <w:szCs w:val="20"/>
                <w:color w:val="auto"/>
              </w:rPr>
            </w:pPr>
            <w:r>
              <w:rPr>
                <w:rFonts w:ascii="Arial" w:cs="Arial" w:eastAsia="Arial" w:hAnsi="Arial"/>
                <w:sz w:val="14"/>
                <w:szCs w:val="14"/>
                <w:color w:val="auto"/>
              </w:rPr>
              <w:t>7,500</w:t>
            </w:r>
            <w:r>
              <w:rPr>
                <w:rFonts w:ascii="Arial" w:cs="Arial" w:eastAsia="Arial" w:hAnsi="Arial"/>
                <w:sz w:val="23"/>
                <w:szCs w:val="23"/>
                <w:b w:val="1"/>
                <w:bCs w:val="1"/>
                <w:color w:val="auto"/>
                <w:vertAlign w:val="superscript"/>
              </w:rPr>
              <w:t>(f)</w:t>
            </w:r>
          </w:p>
        </w:tc>
        <w:tc>
          <w:tcPr>
            <w:tcW w:w="1140" w:type="dxa"/>
            <w:vAlign w:val="bottom"/>
          </w:tcPr>
          <w:p>
            <w:pPr>
              <w:jc w:val="right"/>
              <w:spacing w:after="0"/>
              <w:rPr>
                <w:sz w:val="20"/>
                <w:szCs w:val="20"/>
                <w:color w:val="auto"/>
              </w:rPr>
            </w:pPr>
            <w:r>
              <w:rPr>
                <w:rFonts w:ascii="Arial" w:cs="Arial" w:eastAsia="Arial" w:hAnsi="Arial"/>
                <w:sz w:val="14"/>
                <w:szCs w:val="14"/>
                <w:color w:val="auto"/>
              </w:rPr>
              <w:t>378,300</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2/24/2016</w:t>
            </w: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353,080</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3,500</w:t>
            </w:r>
            <w:r>
              <w:rPr>
                <w:rFonts w:ascii="Arial" w:cs="Arial" w:eastAsia="Arial" w:hAnsi="Arial"/>
                <w:sz w:val="23"/>
                <w:szCs w:val="23"/>
                <w:b w:val="1"/>
                <w:bCs w:val="1"/>
                <w:color w:val="auto"/>
                <w:vertAlign w:val="superscript"/>
              </w:rPr>
              <w:t>(h)</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2/24/2016</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176,540</w:t>
            </w:r>
          </w:p>
        </w:tc>
        <w:tc>
          <w:tcPr>
            <w:tcW w:w="0" w:type="dxa"/>
            <w:vAlign w:val="bottom"/>
          </w:tcPr>
          <w:p>
            <w:pPr>
              <w:spacing w:after="0"/>
              <w:rPr>
                <w:sz w:val="1"/>
                <w:szCs w:val="1"/>
                <w:color w:val="auto"/>
              </w:rPr>
            </w:pPr>
          </w:p>
        </w:tc>
      </w:tr>
      <w:tr>
        <w:trPr>
          <w:trHeight w:val="204"/>
        </w:trPr>
        <w:tc>
          <w:tcPr>
            <w:tcW w:w="10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2/24/2016</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4"/>
                <w:szCs w:val="14"/>
                <w:color w:val="auto"/>
              </w:rPr>
              <w:t>3,500</w:t>
            </w:r>
            <w:r>
              <w:rPr>
                <w:rFonts w:ascii="Arial" w:cs="Arial" w:eastAsia="Arial" w:hAnsi="Arial"/>
                <w:sz w:val="23"/>
                <w:szCs w:val="23"/>
                <w:b w:val="1"/>
                <w:bCs w:val="1"/>
                <w:color w:val="auto"/>
                <w:vertAlign w:val="superscript"/>
              </w:rPr>
              <w:t>(h)</w:t>
            </w:r>
          </w:p>
        </w:tc>
        <w:tc>
          <w:tcPr>
            <w:tcW w:w="1140" w:type="dxa"/>
            <w:vAlign w:val="bottom"/>
          </w:tcPr>
          <w:p>
            <w:pPr>
              <w:jc w:val="right"/>
              <w:spacing w:after="0"/>
              <w:rPr>
                <w:sz w:val="20"/>
                <w:szCs w:val="20"/>
                <w:color w:val="auto"/>
              </w:rPr>
            </w:pPr>
            <w:r>
              <w:rPr>
                <w:rFonts w:ascii="Arial" w:cs="Arial" w:eastAsia="Arial" w:hAnsi="Arial"/>
                <w:sz w:val="14"/>
                <w:szCs w:val="14"/>
                <w:color w:val="auto"/>
              </w:rPr>
              <w:t>176,540</w:t>
            </w:r>
          </w:p>
        </w:tc>
        <w:tc>
          <w:tcPr>
            <w:tcW w:w="0" w:type="dxa"/>
            <w:vAlign w:val="bottom"/>
          </w:tcPr>
          <w:p>
            <w:pPr>
              <w:spacing w:after="0"/>
              <w:rPr>
                <w:sz w:val="1"/>
                <w:szCs w:val="1"/>
                <w:color w:val="auto"/>
              </w:rPr>
            </w:pPr>
          </w:p>
        </w:tc>
      </w:tr>
      <w:tr>
        <w:trPr>
          <w:trHeight w:val="175"/>
        </w:trPr>
        <w:tc>
          <w:tcPr>
            <w:tcW w:w="1040" w:type="dxa"/>
            <w:vAlign w:val="bottom"/>
            <w:shd w:val="clear" w:color="auto" w:fill="D0E0F0"/>
          </w:tcPr>
          <w:p>
            <w:pPr>
              <w:spacing w:after="0"/>
              <w:rPr>
                <w:sz w:val="20"/>
                <w:szCs w:val="20"/>
                <w:color w:val="auto"/>
              </w:rPr>
            </w:pPr>
            <w:r>
              <w:rPr>
                <w:rFonts w:ascii="Arial" w:cs="Arial" w:eastAsia="Arial" w:hAnsi="Arial"/>
                <w:sz w:val="14"/>
                <w:szCs w:val="14"/>
                <w:color w:val="auto"/>
              </w:rPr>
              <w:t>Pavan</w:t>
            </w: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2/8/2013</w:t>
            </w:r>
          </w:p>
        </w:tc>
        <w:tc>
          <w:tcPr>
            <w:tcW w:w="1380" w:type="dxa"/>
            <w:vAlign w:val="bottom"/>
            <w:shd w:val="clear" w:color="auto" w:fill="D0E0F0"/>
          </w:tcPr>
          <w:p>
            <w:pPr>
              <w:spacing w:after="0"/>
              <w:rPr>
                <w:sz w:val="15"/>
                <w:szCs w:val="15"/>
                <w:color w:val="auto"/>
              </w:rPr>
            </w:pPr>
          </w:p>
        </w:tc>
        <w:tc>
          <w:tcPr>
            <w:tcW w:w="1160" w:type="dxa"/>
            <w:vAlign w:val="bottom"/>
            <w:shd w:val="clear" w:color="auto" w:fill="D0E0F0"/>
          </w:tcPr>
          <w:p>
            <w:pPr>
              <w:spacing w:after="0"/>
              <w:rPr>
                <w:sz w:val="15"/>
                <w:szCs w:val="15"/>
                <w:color w:val="auto"/>
              </w:rPr>
            </w:pPr>
          </w:p>
        </w:tc>
        <w:tc>
          <w:tcPr>
            <w:tcW w:w="1120" w:type="dxa"/>
            <w:vAlign w:val="bottom"/>
            <w:shd w:val="clear" w:color="auto" w:fill="D0E0F0"/>
          </w:tcPr>
          <w:p>
            <w:pPr>
              <w:spacing w:after="0"/>
              <w:rPr>
                <w:sz w:val="15"/>
                <w:szCs w:val="15"/>
                <w:color w:val="auto"/>
              </w:rPr>
            </w:pPr>
          </w:p>
        </w:tc>
        <w:tc>
          <w:tcPr>
            <w:tcW w:w="1140" w:type="dxa"/>
            <w:vAlign w:val="bottom"/>
            <w:shd w:val="clear" w:color="auto" w:fill="D0E0F0"/>
          </w:tcPr>
          <w:p>
            <w:pPr>
              <w:spacing w:after="0"/>
              <w:rPr>
                <w:sz w:val="15"/>
                <w:szCs w:val="15"/>
                <w:color w:val="auto"/>
              </w:rPr>
            </w:pPr>
          </w:p>
        </w:tc>
        <w:tc>
          <w:tcPr>
            <w:tcW w:w="1140" w:type="dxa"/>
            <w:vAlign w:val="bottom"/>
            <w:shd w:val="clear" w:color="auto" w:fill="D0E0F0"/>
          </w:tcPr>
          <w:p>
            <w:pPr>
              <w:jc w:val="right"/>
              <w:spacing w:after="0" w:line="175" w:lineRule="exact"/>
              <w:rPr>
                <w:sz w:val="20"/>
                <w:szCs w:val="20"/>
                <w:color w:val="auto"/>
              </w:rPr>
            </w:pPr>
            <w:r>
              <w:rPr>
                <w:rFonts w:ascii="Arial" w:cs="Arial" w:eastAsia="Arial" w:hAnsi="Arial"/>
                <w:sz w:val="13"/>
                <w:szCs w:val="13"/>
                <w:color w:val="auto"/>
              </w:rPr>
              <w:t>9,200</w:t>
            </w:r>
            <w:r>
              <w:rPr>
                <w:rFonts w:ascii="Arial" w:cs="Arial" w:eastAsia="Arial" w:hAnsi="Arial"/>
                <w:sz w:val="20"/>
                <w:szCs w:val="20"/>
                <w:b w:val="1"/>
                <w:bCs w:val="1"/>
                <w:color w:val="auto"/>
                <w:vertAlign w:val="superscript"/>
              </w:rPr>
              <w:t>(d)</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464,048</w:t>
            </w:r>
          </w:p>
        </w:tc>
        <w:tc>
          <w:tcPr>
            <w:tcW w:w="1120" w:type="dxa"/>
            <w:vAlign w:val="bottom"/>
            <w:shd w:val="clear" w:color="auto" w:fill="D0E0F0"/>
          </w:tcPr>
          <w:p>
            <w:pPr>
              <w:spacing w:after="0"/>
              <w:rPr>
                <w:sz w:val="15"/>
                <w:szCs w:val="15"/>
                <w:color w:val="auto"/>
              </w:rPr>
            </w:pPr>
          </w:p>
        </w:tc>
        <w:tc>
          <w:tcPr>
            <w:tcW w:w="1140" w:type="dxa"/>
            <w:vAlign w:val="bottom"/>
            <w:shd w:val="clear" w:color="auto" w:fill="D0E0F0"/>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D0E0F0"/>
          </w:tcPr>
          <w:p>
            <w:pPr>
              <w:spacing w:after="0"/>
              <w:rPr>
                <w:sz w:val="20"/>
                <w:szCs w:val="20"/>
                <w:color w:val="auto"/>
              </w:rPr>
            </w:pPr>
            <w:r>
              <w:rPr>
                <w:rFonts w:ascii="Arial" w:cs="Arial" w:eastAsia="Arial" w:hAnsi="Arial"/>
                <w:sz w:val="14"/>
                <w:szCs w:val="14"/>
                <w:color w:val="auto"/>
              </w:rPr>
              <w:t>Bagai</w:t>
            </w: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2/13/2014</w:t>
            </w:r>
          </w:p>
        </w:tc>
        <w:tc>
          <w:tcPr>
            <w:tcW w:w="1380" w:type="dxa"/>
            <w:vAlign w:val="bottom"/>
            <w:shd w:val="clear" w:color="auto" w:fill="D0E0F0"/>
          </w:tcPr>
          <w:p>
            <w:pPr>
              <w:spacing w:after="0"/>
              <w:rPr>
                <w:sz w:val="16"/>
                <w:szCs w:val="16"/>
                <w:color w:val="auto"/>
              </w:rPr>
            </w:pPr>
          </w:p>
        </w:tc>
        <w:tc>
          <w:tcPr>
            <w:tcW w:w="1160" w:type="dxa"/>
            <w:vAlign w:val="bottom"/>
            <w:shd w:val="clear" w:color="auto" w:fill="D0E0F0"/>
          </w:tcPr>
          <w:p>
            <w:pPr>
              <w:spacing w:after="0"/>
              <w:rPr>
                <w:sz w:val="16"/>
                <w:szCs w:val="16"/>
                <w:color w:val="auto"/>
              </w:rPr>
            </w:pPr>
          </w:p>
        </w:tc>
        <w:tc>
          <w:tcPr>
            <w:tcW w:w="112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1140" w:type="dxa"/>
            <w:vAlign w:val="bottom"/>
            <w:shd w:val="clear" w:color="auto" w:fill="D0E0F0"/>
          </w:tcPr>
          <w:p>
            <w:pPr>
              <w:jc w:val="right"/>
              <w:spacing w:after="0" w:line="189" w:lineRule="exact"/>
              <w:rPr>
                <w:sz w:val="20"/>
                <w:szCs w:val="20"/>
                <w:color w:val="auto"/>
              </w:rPr>
            </w:pPr>
            <w:r>
              <w:rPr>
                <w:rFonts w:ascii="Arial" w:cs="Arial" w:eastAsia="Arial" w:hAnsi="Arial"/>
                <w:sz w:val="13"/>
                <w:szCs w:val="13"/>
                <w:color w:val="auto"/>
              </w:rPr>
              <w:t>8,050</w:t>
            </w:r>
            <w:r>
              <w:rPr>
                <w:rFonts w:ascii="Arial" w:cs="Arial" w:eastAsia="Arial" w:hAnsi="Arial"/>
                <w:sz w:val="21"/>
                <w:szCs w:val="21"/>
                <w:b w:val="1"/>
                <w:bCs w:val="1"/>
                <w:color w:val="auto"/>
                <w:vertAlign w:val="superscript"/>
              </w:rPr>
              <w:t>(d)</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406,042</w:t>
            </w:r>
          </w:p>
        </w:tc>
        <w:tc>
          <w:tcPr>
            <w:tcW w:w="112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D0E0F0"/>
          </w:tcPr>
          <w:p>
            <w:pPr>
              <w:spacing w:after="0"/>
              <w:rPr>
                <w:sz w:val="16"/>
                <w:szCs w:val="16"/>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2/13/2014</w:t>
            </w:r>
          </w:p>
        </w:tc>
        <w:tc>
          <w:tcPr>
            <w:tcW w:w="1380" w:type="dxa"/>
            <w:vAlign w:val="bottom"/>
            <w:shd w:val="clear" w:color="auto" w:fill="D0E0F0"/>
          </w:tcPr>
          <w:p>
            <w:pPr>
              <w:spacing w:after="0"/>
              <w:rPr>
                <w:sz w:val="16"/>
                <w:szCs w:val="16"/>
                <w:color w:val="auto"/>
              </w:rPr>
            </w:pPr>
          </w:p>
        </w:tc>
        <w:tc>
          <w:tcPr>
            <w:tcW w:w="1160" w:type="dxa"/>
            <w:vAlign w:val="bottom"/>
            <w:shd w:val="clear" w:color="auto" w:fill="D0E0F0"/>
          </w:tcPr>
          <w:p>
            <w:pPr>
              <w:spacing w:after="0"/>
              <w:rPr>
                <w:sz w:val="16"/>
                <w:szCs w:val="16"/>
                <w:color w:val="auto"/>
              </w:rPr>
            </w:pPr>
          </w:p>
        </w:tc>
        <w:tc>
          <w:tcPr>
            <w:tcW w:w="112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1140" w:type="dxa"/>
            <w:vAlign w:val="bottom"/>
            <w:shd w:val="clear" w:color="auto" w:fill="D0E0F0"/>
          </w:tcPr>
          <w:p>
            <w:pPr>
              <w:jc w:val="right"/>
              <w:spacing w:after="0" w:line="189" w:lineRule="exact"/>
              <w:rPr>
                <w:sz w:val="20"/>
                <w:szCs w:val="20"/>
                <w:color w:val="auto"/>
              </w:rPr>
            </w:pPr>
            <w:r>
              <w:rPr>
                <w:rFonts w:ascii="Arial" w:cs="Arial" w:eastAsia="Arial" w:hAnsi="Arial"/>
                <w:sz w:val="21"/>
                <w:szCs w:val="21"/>
                <w:color w:val="auto"/>
                <w:vertAlign w:val="subscript"/>
              </w:rPr>
              <w:t>602</w:t>
            </w:r>
            <w:r>
              <w:rPr>
                <w:rFonts w:ascii="Arial" w:cs="Arial" w:eastAsia="Arial" w:hAnsi="Arial"/>
                <w:sz w:val="10"/>
                <w:szCs w:val="10"/>
                <w:b w:val="1"/>
                <w:bCs w:val="1"/>
                <w:color w:val="auto"/>
              </w:rPr>
              <w:t>(b)</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30,365</w:t>
            </w:r>
          </w:p>
        </w:tc>
        <w:tc>
          <w:tcPr>
            <w:tcW w:w="112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D0E0F0"/>
          </w:tcPr>
          <w:p>
            <w:pPr>
              <w:spacing w:after="0"/>
              <w:rPr>
                <w:sz w:val="16"/>
                <w:szCs w:val="16"/>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2/26/2015</w:t>
            </w:r>
          </w:p>
        </w:tc>
        <w:tc>
          <w:tcPr>
            <w:tcW w:w="1380" w:type="dxa"/>
            <w:vAlign w:val="bottom"/>
            <w:shd w:val="clear" w:color="auto" w:fill="D0E0F0"/>
          </w:tcPr>
          <w:p>
            <w:pPr>
              <w:spacing w:after="0"/>
              <w:rPr>
                <w:sz w:val="16"/>
                <w:szCs w:val="16"/>
                <w:color w:val="auto"/>
              </w:rPr>
            </w:pPr>
          </w:p>
        </w:tc>
        <w:tc>
          <w:tcPr>
            <w:tcW w:w="1160" w:type="dxa"/>
            <w:vAlign w:val="bottom"/>
            <w:shd w:val="clear" w:color="auto" w:fill="D0E0F0"/>
          </w:tcPr>
          <w:p>
            <w:pPr>
              <w:spacing w:after="0"/>
              <w:rPr>
                <w:sz w:val="16"/>
                <w:szCs w:val="16"/>
                <w:color w:val="auto"/>
              </w:rPr>
            </w:pPr>
          </w:p>
        </w:tc>
        <w:tc>
          <w:tcPr>
            <w:tcW w:w="112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1140" w:type="dxa"/>
            <w:vAlign w:val="bottom"/>
            <w:shd w:val="clear" w:color="auto" w:fill="D0E0F0"/>
          </w:tcPr>
          <w:p>
            <w:pPr>
              <w:jc w:val="right"/>
              <w:spacing w:after="0" w:line="189" w:lineRule="exact"/>
              <w:rPr>
                <w:sz w:val="20"/>
                <w:szCs w:val="20"/>
                <w:color w:val="auto"/>
              </w:rPr>
            </w:pPr>
            <w:r>
              <w:rPr>
                <w:rFonts w:ascii="Arial" w:cs="Arial" w:eastAsia="Arial" w:hAnsi="Arial"/>
                <w:sz w:val="13"/>
                <w:szCs w:val="13"/>
                <w:color w:val="auto"/>
              </w:rPr>
              <w:t>11,250</w:t>
            </w:r>
            <w:r>
              <w:rPr>
                <w:rFonts w:ascii="Arial" w:cs="Arial" w:eastAsia="Arial" w:hAnsi="Arial"/>
                <w:sz w:val="21"/>
                <w:szCs w:val="21"/>
                <w:b w:val="1"/>
                <w:bCs w:val="1"/>
                <w:color w:val="auto"/>
                <w:vertAlign w:val="superscript"/>
              </w:rPr>
              <w:t>(d)</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567,450</w:t>
            </w:r>
          </w:p>
        </w:tc>
        <w:tc>
          <w:tcPr>
            <w:tcW w:w="112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D0E0F0"/>
          </w:tcPr>
          <w:p>
            <w:pPr>
              <w:spacing w:after="0"/>
              <w:rPr>
                <w:sz w:val="16"/>
                <w:szCs w:val="16"/>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2/26/2015</w:t>
            </w:r>
          </w:p>
        </w:tc>
        <w:tc>
          <w:tcPr>
            <w:tcW w:w="1380" w:type="dxa"/>
            <w:vAlign w:val="bottom"/>
            <w:shd w:val="clear" w:color="auto" w:fill="D0E0F0"/>
          </w:tcPr>
          <w:p>
            <w:pPr>
              <w:spacing w:after="0"/>
              <w:rPr>
                <w:sz w:val="16"/>
                <w:szCs w:val="16"/>
                <w:color w:val="auto"/>
              </w:rPr>
            </w:pPr>
          </w:p>
        </w:tc>
        <w:tc>
          <w:tcPr>
            <w:tcW w:w="1160" w:type="dxa"/>
            <w:vAlign w:val="bottom"/>
            <w:shd w:val="clear" w:color="auto" w:fill="D0E0F0"/>
          </w:tcPr>
          <w:p>
            <w:pPr>
              <w:spacing w:after="0"/>
              <w:rPr>
                <w:sz w:val="16"/>
                <w:szCs w:val="16"/>
                <w:color w:val="auto"/>
              </w:rPr>
            </w:pPr>
          </w:p>
        </w:tc>
        <w:tc>
          <w:tcPr>
            <w:tcW w:w="112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1140" w:type="dxa"/>
            <w:vAlign w:val="bottom"/>
            <w:shd w:val="clear" w:color="auto" w:fill="D0E0F0"/>
          </w:tcPr>
          <w:p>
            <w:pPr>
              <w:jc w:val="right"/>
              <w:spacing w:after="0" w:line="189" w:lineRule="exact"/>
              <w:rPr>
                <w:sz w:val="20"/>
                <w:szCs w:val="20"/>
                <w:color w:val="auto"/>
              </w:rPr>
            </w:pPr>
            <w:r>
              <w:rPr>
                <w:rFonts w:ascii="Arial" w:cs="Arial" w:eastAsia="Arial" w:hAnsi="Arial"/>
                <w:sz w:val="13"/>
                <w:szCs w:val="13"/>
                <w:color w:val="auto"/>
              </w:rPr>
              <w:t>4,166</w:t>
            </w:r>
            <w:r>
              <w:rPr>
                <w:rFonts w:ascii="Arial" w:cs="Arial" w:eastAsia="Arial" w:hAnsi="Arial"/>
                <w:sz w:val="21"/>
                <w:szCs w:val="21"/>
                <w:b w:val="1"/>
                <w:bCs w:val="1"/>
                <w:color w:val="auto"/>
                <w:vertAlign w:val="superscript"/>
              </w:rPr>
              <w:t>(c)</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210,133</w:t>
            </w:r>
          </w:p>
        </w:tc>
        <w:tc>
          <w:tcPr>
            <w:tcW w:w="1120" w:type="dxa"/>
            <w:vAlign w:val="bottom"/>
            <w:shd w:val="clear" w:color="auto" w:fill="D0E0F0"/>
          </w:tcPr>
          <w:p>
            <w:pPr>
              <w:jc w:val="right"/>
              <w:spacing w:after="0" w:line="189" w:lineRule="exact"/>
              <w:rPr>
                <w:sz w:val="20"/>
                <w:szCs w:val="20"/>
                <w:color w:val="auto"/>
              </w:rPr>
            </w:pPr>
            <w:r>
              <w:rPr>
                <w:rFonts w:ascii="Arial" w:cs="Arial" w:eastAsia="Arial" w:hAnsi="Arial"/>
                <w:sz w:val="13"/>
                <w:szCs w:val="13"/>
                <w:color w:val="auto"/>
              </w:rPr>
              <w:t>4,168</w:t>
            </w:r>
            <w:r>
              <w:rPr>
                <w:rFonts w:ascii="Arial" w:cs="Arial" w:eastAsia="Arial" w:hAnsi="Arial"/>
                <w:sz w:val="21"/>
                <w:szCs w:val="21"/>
                <w:b w:val="1"/>
                <w:bCs w:val="1"/>
                <w:color w:val="auto"/>
                <w:vertAlign w:val="superscript"/>
              </w:rPr>
              <w:t>(e)</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210,234</w:t>
            </w:r>
          </w:p>
        </w:tc>
        <w:tc>
          <w:tcPr>
            <w:tcW w:w="0" w:type="dxa"/>
            <w:vAlign w:val="bottom"/>
          </w:tcPr>
          <w:p>
            <w:pPr>
              <w:spacing w:after="0"/>
              <w:rPr>
                <w:sz w:val="1"/>
                <w:szCs w:val="1"/>
                <w:color w:val="auto"/>
              </w:rPr>
            </w:pPr>
          </w:p>
        </w:tc>
      </w:tr>
      <w:tr>
        <w:trPr>
          <w:trHeight w:val="204"/>
        </w:trPr>
        <w:tc>
          <w:tcPr>
            <w:tcW w:w="1040" w:type="dxa"/>
            <w:vAlign w:val="bottom"/>
            <w:shd w:val="clear" w:color="auto" w:fill="D0E0F0"/>
          </w:tcPr>
          <w:p>
            <w:pPr>
              <w:spacing w:after="0"/>
              <w:rPr>
                <w:sz w:val="17"/>
                <w:szCs w:val="17"/>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2/26/2015</w:t>
            </w:r>
          </w:p>
        </w:tc>
        <w:tc>
          <w:tcPr>
            <w:tcW w:w="1380" w:type="dxa"/>
            <w:vAlign w:val="bottom"/>
            <w:shd w:val="clear" w:color="auto" w:fill="D0E0F0"/>
          </w:tcPr>
          <w:p>
            <w:pPr>
              <w:spacing w:after="0"/>
              <w:rPr>
                <w:sz w:val="17"/>
                <w:szCs w:val="17"/>
                <w:color w:val="auto"/>
              </w:rPr>
            </w:pPr>
          </w:p>
        </w:tc>
        <w:tc>
          <w:tcPr>
            <w:tcW w:w="1160" w:type="dxa"/>
            <w:vAlign w:val="bottom"/>
            <w:shd w:val="clear" w:color="auto" w:fill="D0E0F0"/>
          </w:tcPr>
          <w:p>
            <w:pPr>
              <w:spacing w:after="0"/>
              <w:rPr>
                <w:sz w:val="17"/>
                <w:szCs w:val="17"/>
                <w:color w:val="auto"/>
              </w:rPr>
            </w:pPr>
          </w:p>
        </w:tc>
        <w:tc>
          <w:tcPr>
            <w:tcW w:w="1120" w:type="dxa"/>
            <w:vAlign w:val="bottom"/>
            <w:shd w:val="clear" w:color="auto" w:fill="D0E0F0"/>
          </w:tcPr>
          <w:p>
            <w:pPr>
              <w:spacing w:after="0"/>
              <w:rPr>
                <w:sz w:val="17"/>
                <w:szCs w:val="17"/>
                <w:color w:val="auto"/>
              </w:rPr>
            </w:pPr>
          </w:p>
        </w:tc>
        <w:tc>
          <w:tcPr>
            <w:tcW w:w="1140" w:type="dxa"/>
            <w:vAlign w:val="bottom"/>
            <w:shd w:val="clear" w:color="auto" w:fill="D0E0F0"/>
          </w:tcPr>
          <w:p>
            <w:pPr>
              <w:spacing w:after="0"/>
              <w:rPr>
                <w:sz w:val="17"/>
                <w:szCs w:val="17"/>
                <w:color w:val="auto"/>
              </w:rPr>
            </w:pPr>
          </w:p>
        </w:tc>
        <w:tc>
          <w:tcPr>
            <w:tcW w:w="1140" w:type="dxa"/>
            <w:vAlign w:val="bottom"/>
            <w:vMerge w:val="restart"/>
            <w:shd w:val="clear" w:color="auto" w:fill="D0E0F0"/>
          </w:tcPr>
          <w:p>
            <w:pPr>
              <w:jc w:val="right"/>
              <w:spacing w:after="0"/>
              <w:rPr>
                <w:sz w:val="20"/>
                <w:szCs w:val="20"/>
                <w:color w:val="auto"/>
              </w:rPr>
            </w:pPr>
            <w:r>
              <w:rPr>
                <w:rFonts w:ascii="Arial" w:cs="Arial" w:eastAsia="Arial" w:hAnsi="Arial"/>
                <w:sz w:val="14"/>
                <w:szCs w:val="14"/>
                <w:color w:val="auto"/>
              </w:rPr>
              <w:t>12,500</w:t>
            </w:r>
            <w:r>
              <w:rPr>
                <w:rFonts w:ascii="Arial" w:cs="Arial" w:eastAsia="Arial" w:hAnsi="Arial"/>
                <w:sz w:val="23"/>
                <w:szCs w:val="23"/>
                <w:b w:val="1"/>
                <w:bCs w:val="1"/>
                <w:color w:val="auto"/>
                <w:vertAlign w:val="superscript"/>
              </w:rPr>
              <w:t>(a)</w:t>
            </w:r>
          </w:p>
        </w:tc>
        <w:tc>
          <w:tcPr>
            <w:tcW w:w="1140" w:type="dxa"/>
            <w:vAlign w:val="bottom"/>
            <w:shd w:val="clear" w:color="auto" w:fill="D0E0F0"/>
          </w:tcPr>
          <w:p>
            <w:pPr>
              <w:spacing w:after="0"/>
              <w:rPr>
                <w:sz w:val="17"/>
                <w:szCs w:val="17"/>
                <w:color w:val="auto"/>
              </w:rPr>
            </w:pPr>
          </w:p>
        </w:tc>
        <w:tc>
          <w:tcPr>
            <w:tcW w:w="1120" w:type="dxa"/>
            <w:vAlign w:val="bottom"/>
            <w:shd w:val="clear" w:color="auto" w:fill="D0E0F0"/>
          </w:tcPr>
          <w:p>
            <w:pPr>
              <w:jc w:val="right"/>
              <w:spacing w:after="0" w:line="203" w:lineRule="exact"/>
              <w:rPr>
                <w:sz w:val="20"/>
                <w:szCs w:val="20"/>
                <w:color w:val="auto"/>
              </w:rPr>
            </w:pPr>
            <w:r>
              <w:rPr>
                <w:rFonts w:ascii="Arial" w:cs="Arial" w:eastAsia="Arial" w:hAnsi="Arial"/>
                <w:sz w:val="14"/>
                <w:szCs w:val="14"/>
                <w:color w:val="auto"/>
              </w:rPr>
              <w:t>12,500</w:t>
            </w:r>
            <w:r>
              <w:rPr>
                <w:rFonts w:ascii="Arial" w:cs="Arial" w:eastAsia="Arial" w:hAnsi="Arial"/>
                <w:sz w:val="23"/>
                <w:szCs w:val="23"/>
                <w:b w:val="1"/>
                <w:bCs w:val="1"/>
                <w:color w:val="auto"/>
                <w:vertAlign w:val="superscript"/>
              </w:rPr>
              <w:t>(f)</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630,500</w:t>
            </w:r>
          </w:p>
        </w:tc>
        <w:tc>
          <w:tcPr>
            <w:tcW w:w="0" w:type="dxa"/>
            <w:vAlign w:val="bottom"/>
          </w:tcPr>
          <w:p>
            <w:pPr>
              <w:spacing w:after="0"/>
              <w:rPr>
                <w:sz w:val="1"/>
                <w:szCs w:val="1"/>
                <w:color w:val="auto"/>
              </w:rPr>
            </w:pPr>
          </w:p>
        </w:tc>
      </w:tr>
      <w:tr>
        <w:trPr>
          <w:trHeight w:val="189"/>
        </w:trPr>
        <w:tc>
          <w:tcPr>
            <w:tcW w:w="1040" w:type="dxa"/>
            <w:vAlign w:val="bottom"/>
            <w:shd w:val="clear" w:color="auto" w:fill="D0E0F0"/>
          </w:tcPr>
          <w:p>
            <w:pPr>
              <w:spacing w:after="0"/>
              <w:rPr>
                <w:sz w:val="16"/>
                <w:szCs w:val="16"/>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1380" w:type="dxa"/>
            <w:vAlign w:val="bottom"/>
            <w:shd w:val="clear" w:color="auto" w:fill="D0E0F0"/>
          </w:tcPr>
          <w:p>
            <w:pPr>
              <w:spacing w:after="0"/>
              <w:rPr>
                <w:sz w:val="16"/>
                <w:szCs w:val="16"/>
                <w:color w:val="auto"/>
              </w:rPr>
            </w:pPr>
          </w:p>
        </w:tc>
        <w:tc>
          <w:tcPr>
            <w:tcW w:w="1160" w:type="dxa"/>
            <w:vAlign w:val="bottom"/>
            <w:shd w:val="clear" w:color="auto" w:fill="D0E0F0"/>
          </w:tcPr>
          <w:p>
            <w:pPr>
              <w:spacing w:after="0"/>
              <w:rPr>
                <w:sz w:val="16"/>
                <w:szCs w:val="16"/>
                <w:color w:val="auto"/>
              </w:rPr>
            </w:pPr>
          </w:p>
        </w:tc>
        <w:tc>
          <w:tcPr>
            <w:tcW w:w="1120" w:type="dxa"/>
            <w:vAlign w:val="bottom"/>
            <w:shd w:val="clear" w:color="auto" w:fill="D0E0F0"/>
          </w:tcPr>
          <w:p>
            <w:pPr>
              <w:spacing w:after="0"/>
              <w:rPr>
                <w:sz w:val="16"/>
                <w:szCs w:val="16"/>
                <w:color w:val="auto"/>
              </w:rPr>
            </w:pPr>
          </w:p>
        </w:tc>
        <w:tc>
          <w:tcPr>
            <w:tcW w:w="1140" w:type="dxa"/>
            <w:vAlign w:val="bottom"/>
            <w:shd w:val="clear" w:color="auto" w:fill="D0E0F0"/>
          </w:tcPr>
          <w:p>
            <w:pPr>
              <w:spacing w:after="0"/>
              <w:rPr>
                <w:sz w:val="16"/>
                <w:szCs w:val="16"/>
                <w:color w:val="auto"/>
              </w:rPr>
            </w:pPr>
          </w:p>
        </w:tc>
        <w:tc>
          <w:tcPr>
            <w:tcW w:w="1140" w:type="dxa"/>
            <w:vAlign w:val="bottom"/>
            <w:vMerge w:val="continue"/>
            <w:shd w:val="clear" w:color="auto" w:fill="D0E0F0"/>
          </w:tcPr>
          <w:p>
            <w:pPr>
              <w:spacing w:after="0"/>
              <w:rPr>
                <w:sz w:val="16"/>
                <w:szCs w:val="16"/>
                <w:color w:val="auto"/>
              </w:rPr>
            </w:pP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630,500</w:t>
            </w:r>
          </w:p>
        </w:tc>
        <w:tc>
          <w:tcPr>
            <w:tcW w:w="1120" w:type="dxa"/>
            <w:vAlign w:val="bottom"/>
            <w:vMerge w:val="restart"/>
            <w:shd w:val="clear" w:color="auto" w:fill="D0E0F0"/>
          </w:tcPr>
          <w:p>
            <w:pPr>
              <w:jc w:val="right"/>
              <w:spacing w:after="0"/>
              <w:rPr>
                <w:sz w:val="20"/>
                <w:szCs w:val="20"/>
                <w:color w:val="auto"/>
              </w:rPr>
            </w:pPr>
            <w:r>
              <w:rPr>
                <w:rFonts w:ascii="Arial" w:cs="Arial" w:eastAsia="Arial" w:hAnsi="Arial"/>
                <w:sz w:val="14"/>
                <w:szCs w:val="14"/>
                <w:color w:val="auto"/>
              </w:rPr>
              <w:t>6,250</w:t>
            </w:r>
            <w:r>
              <w:rPr>
                <w:rFonts w:ascii="Arial" w:cs="Arial" w:eastAsia="Arial" w:hAnsi="Arial"/>
                <w:sz w:val="23"/>
                <w:szCs w:val="23"/>
                <w:b w:val="1"/>
                <w:bCs w:val="1"/>
                <w:color w:val="auto"/>
                <w:vertAlign w:val="superscript"/>
              </w:rPr>
              <w:t>(h)</w:t>
            </w:r>
          </w:p>
        </w:tc>
        <w:tc>
          <w:tcPr>
            <w:tcW w:w="1140" w:type="dxa"/>
            <w:vAlign w:val="bottom"/>
            <w:shd w:val="clear" w:color="auto" w:fill="D0E0F0"/>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D0E0F0"/>
          </w:tcPr>
          <w:p>
            <w:pPr>
              <w:spacing w:after="0"/>
              <w:rPr>
                <w:sz w:val="15"/>
                <w:szCs w:val="15"/>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1380" w:type="dxa"/>
            <w:vAlign w:val="bottom"/>
            <w:shd w:val="clear" w:color="auto" w:fill="D0E0F0"/>
          </w:tcPr>
          <w:p>
            <w:pPr>
              <w:spacing w:after="0"/>
              <w:rPr>
                <w:sz w:val="15"/>
                <w:szCs w:val="15"/>
                <w:color w:val="auto"/>
              </w:rPr>
            </w:pPr>
          </w:p>
        </w:tc>
        <w:tc>
          <w:tcPr>
            <w:tcW w:w="1160" w:type="dxa"/>
            <w:vAlign w:val="bottom"/>
            <w:shd w:val="clear" w:color="auto" w:fill="D0E0F0"/>
          </w:tcPr>
          <w:p>
            <w:pPr>
              <w:spacing w:after="0"/>
              <w:rPr>
                <w:sz w:val="15"/>
                <w:szCs w:val="15"/>
                <w:color w:val="auto"/>
              </w:rPr>
            </w:pPr>
          </w:p>
        </w:tc>
        <w:tc>
          <w:tcPr>
            <w:tcW w:w="1120" w:type="dxa"/>
            <w:vAlign w:val="bottom"/>
            <w:shd w:val="clear" w:color="auto" w:fill="D0E0F0"/>
          </w:tcPr>
          <w:p>
            <w:pPr>
              <w:spacing w:after="0"/>
              <w:rPr>
                <w:sz w:val="15"/>
                <w:szCs w:val="15"/>
                <w:color w:val="auto"/>
              </w:rPr>
            </w:pPr>
          </w:p>
        </w:tc>
        <w:tc>
          <w:tcPr>
            <w:tcW w:w="1140" w:type="dxa"/>
            <w:vAlign w:val="bottom"/>
            <w:shd w:val="clear" w:color="auto" w:fill="D0E0F0"/>
          </w:tcPr>
          <w:p>
            <w:pPr>
              <w:spacing w:after="0"/>
              <w:rPr>
                <w:sz w:val="15"/>
                <w:szCs w:val="15"/>
                <w:color w:val="auto"/>
              </w:rPr>
            </w:pPr>
          </w:p>
        </w:tc>
        <w:tc>
          <w:tcPr>
            <w:tcW w:w="1140" w:type="dxa"/>
            <w:vAlign w:val="bottom"/>
            <w:shd w:val="clear" w:color="auto" w:fill="D0E0F0"/>
          </w:tcPr>
          <w:p>
            <w:pPr>
              <w:spacing w:after="0"/>
              <w:rPr>
                <w:sz w:val="15"/>
                <w:szCs w:val="15"/>
                <w:color w:val="auto"/>
              </w:rPr>
            </w:pPr>
          </w:p>
        </w:tc>
        <w:tc>
          <w:tcPr>
            <w:tcW w:w="1140" w:type="dxa"/>
            <w:vAlign w:val="bottom"/>
            <w:shd w:val="clear" w:color="auto" w:fill="D0E0F0"/>
          </w:tcPr>
          <w:p>
            <w:pPr>
              <w:spacing w:after="0"/>
              <w:rPr>
                <w:sz w:val="15"/>
                <w:szCs w:val="15"/>
                <w:color w:val="auto"/>
              </w:rPr>
            </w:pPr>
          </w:p>
        </w:tc>
        <w:tc>
          <w:tcPr>
            <w:tcW w:w="1120" w:type="dxa"/>
            <w:vAlign w:val="bottom"/>
            <w:vMerge w:val="continue"/>
            <w:shd w:val="clear" w:color="auto" w:fill="D0E0F0"/>
          </w:tcPr>
          <w:p>
            <w:pPr>
              <w:spacing w:after="0"/>
              <w:rPr>
                <w:sz w:val="15"/>
                <w:szCs w:val="15"/>
                <w:color w:val="auto"/>
              </w:rPr>
            </w:pP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315,250</w:t>
            </w:r>
          </w:p>
        </w:tc>
        <w:tc>
          <w:tcPr>
            <w:tcW w:w="0" w:type="dxa"/>
            <w:vAlign w:val="bottom"/>
          </w:tcPr>
          <w:p>
            <w:pPr>
              <w:spacing w:after="0"/>
              <w:rPr>
                <w:sz w:val="1"/>
                <w:szCs w:val="1"/>
                <w:color w:val="auto"/>
              </w:rPr>
            </w:pPr>
          </w:p>
        </w:tc>
      </w:tr>
      <w:tr>
        <w:trPr>
          <w:trHeight w:val="204"/>
        </w:trPr>
        <w:tc>
          <w:tcPr>
            <w:tcW w:w="1040" w:type="dxa"/>
            <w:vAlign w:val="bottom"/>
            <w:shd w:val="clear" w:color="auto" w:fill="D0E0F0"/>
          </w:tcPr>
          <w:p>
            <w:pPr>
              <w:spacing w:after="0"/>
              <w:rPr>
                <w:sz w:val="17"/>
                <w:szCs w:val="17"/>
                <w:color w:val="auto"/>
              </w:rPr>
            </w:pPr>
          </w:p>
        </w:tc>
        <w:tc>
          <w:tcPr>
            <w:tcW w:w="10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2/24/2016</w:t>
            </w:r>
          </w:p>
        </w:tc>
        <w:tc>
          <w:tcPr>
            <w:tcW w:w="1380" w:type="dxa"/>
            <w:vAlign w:val="bottom"/>
            <w:shd w:val="clear" w:color="auto" w:fill="D0E0F0"/>
          </w:tcPr>
          <w:p>
            <w:pPr>
              <w:spacing w:after="0"/>
              <w:rPr>
                <w:sz w:val="17"/>
                <w:szCs w:val="17"/>
                <w:color w:val="auto"/>
              </w:rPr>
            </w:pPr>
          </w:p>
        </w:tc>
        <w:tc>
          <w:tcPr>
            <w:tcW w:w="1160" w:type="dxa"/>
            <w:vAlign w:val="bottom"/>
            <w:shd w:val="clear" w:color="auto" w:fill="D0E0F0"/>
          </w:tcPr>
          <w:p>
            <w:pPr>
              <w:spacing w:after="0"/>
              <w:rPr>
                <w:sz w:val="17"/>
                <w:szCs w:val="17"/>
                <w:color w:val="auto"/>
              </w:rPr>
            </w:pPr>
          </w:p>
        </w:tc>
        <w:tc>
          <w:tcPr>
            <w:tcW w:w="1120" w:type="dxa"/>
            <w:vAlign w:val="bottom"/>
            <w:shd w:val="clear" w:color="auto" w:fill="D0E0F0"/>
          </w:tcPr>
          <w:p>
            <w:pPr>
              <w:spacing w:after="0"/>
              <w:rPr>
                <w:sz w:val="17"/>
                <w:szCs w:val="17"/>
                <w:color w:val="auto"/>
              </w:rPr>
            </w:pPr>
          </w:p>
        </w:tc>
        <w:tc>
          <w:tcPr>
            <w:tcW w:w="1140" w:type="dxa"/>
            <w:vAlign w:val="bottom"/>
            <w:shd w:val="clear" w:color="auto" w:fill="D0E0F0"/>
          </w:tcPr>
          <w:p>
            <w:pPr>
              <w:spacing w:after="0"/>
              <w:rPr>
                <w:sz w:val="17"/>
                <w:szCs w:val="17"/>
                <w:color w:val="auto"/>
              </w:rPr>
            </w:pPr>
          </w:p>
        </w:tc>
        <w:tc>
          <w:tcPr>
            <w:tcW w:w="1140" w:type="dxa"/>
            <w:vAlign w:val="bottom"/>
            <w:shd w:val="clear" w:color="auto" w:fill="D0E0F0"/>
          </w:tcPr>
          <w:p>
            <w:pPr>
              <w:spacing w:after="0"/>
              <w:rPr>
                <w:sz w:val="17"/>
                <w:szCs w:val="17"/>
                <w:color w:val="auto"/>
              </w:rPr>
            </w:pPr>
          </w:p>
        </w:tc>
        <w:tc>
          <w:tcPr>
            <w:tcW w:w="1140" w:type="dxa"/>
            <w:vAlign w:val="bottom"/>
            <w:shd w:val="clear" w:color="auto" w:fill="D0E0F0"/>
          </w:tcPr>
          <w:p>
            <w:pPr>
              <w:spacing w:after="0"/>
              <w:rPr>
                <w:sz w:val="17"/>
                <w:szCs w:val="17"/>
                <w:color w:val="auto"/>
              </w:rPr>
            </w:pPr>
          </w:p>
        </w:tc>
        <w:tc>
          <w:tcPr>
            <w:tcW w:w="1120" w:type="dxa"/>
            <w:vAlign w:val="bottom"/>
            <w:shd w:val="clear" w:color="auto" w:fill="D0E0F0"/>
          </w:tcPr>
          <w:p>
            <w:pPr>
              <w:jc w:val="right"/>
              <w:spacing w:after="0" w:line="203" w:lineRule="exact"/>
              <w:rPr>
                <w:sz w:val="20"/>
                <w:szCs w:val="20"/>
                <w:color w:val="auto"/>
              </w:rPr>
            </w:pPr>
            <w:r>
              <w:rPr>
                <w:rFonts w:ascii="Arial" w:cs="Arial" w:eastAsia="Arial" w:hAnsi="Arial"/>
                <w:sz w:val="14"/>
                <w:szCs w:val="14"/>
                <w:color w:val="auto"/>
              </w:rPr>
              <w:t>6,250</w:t>
            </w:r>
            <w:r>
              <w:rPr>
                <w:rFonts w:ascii="Arial" w:cs="Arial" w:eastAsia="Arial" w:hAnsi="Arial"/>
                <w:sz w:val="23"/>
                <w:szCs w:val="23"/>
                <w:b w:val="1"/>
                <w:bCs w:val="1"/>
                <w:color w:val="auto"/>
                <w:vertAlign w:val="superscript"/>
              </w:rPr>
              <w:t>(h)</w:t>
            </w:r>
          </w:p>
        </w:tc>
        <w:tc>
          <w:tcPr>
            <w:tcW w:w="1140" w:type="dxa"/>
            <w:vAlign w:val="bottom"/>
            <w:shd w:val="clear" w:color="auto" w:fill="D0E0F0"/>
          </w:tcPr>
          <w:p>
            <w:pPr>
              <w:jc w:val="right"/>
              <w:spacing w:after="0"/>
              <w:rPr>
                <w:sz w:val="20"/>
                <w:szCs w:val="20"/>
                <w:color w:val="auto"/>
              </w:rPr>
            </w:pPr>
            <w:r>
              <w:rPr>
                <w:rFonts w:ascii="Arial" w:cs="Arial" w:eastAsia="Arial" w:hAnsi="Arial"/>
                <w:sz w:val="14"/>
                <w:szCs w:val="14"/>
                <w:color w:val="auto"/>
              </w:rPr>
              <w:t>315,250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-5367655</wp:posOffset>
            </wp:positionV>
            <wp:extent cx="58572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-3995420</wp:posOffset>
            </wp:positionV>
            <wp:extent cx="71780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0"/>
        </w:trPr>
        <w:tc>
          <w:tcPr>
            <w:tcW w:w="1000" w:type="dxa"/>
            <w:vAlign w:val="bottom"/>
            <w:shd w:val="clear" w:color="auto" w:fill="508BC7"/>
          </w:tcPr>
          <w:p>
            <w:pPr>
              <w:spacing w:after="0"/>
              <w:rPr>
                <w:sz w:val="18"/>
                <w:szCs w:val="18"/>
                <w:color w:val="auto"/>
              </w:rPr>
            </w:pPr>
          </w:p>
        </w:tc>
        <w:tc>
          <w:tcPr>
            <w:tcW w:w="1160" w:type="dxa"/>
            <w:vAlign w:val="bottom"/>
            <w:shd w:val="clear" w:color="auto" w:fill="508BC7"/>
          </w:tcPr>
          <w:p>
            <w:pPr>
              <w:spacing w:after="0"/>
              <w:rPr>
                <w:sz w:val="18"/>
                <w:szCs w:val="18"/>
                <w:color w:val="auto"/>
              </w:rPr>
            </w:pPr>
          </w:p>
        </w:tc>
        <w:tc>
          <w:tcPr>
            <w:tcW w:w="1320" w:type="dxa"/>
            <w:vAlign w:val="bottom"/>
            <w:shd w:val="clear" w:color="auto" w:fill="508BC7"/>
          </w:tcPr>
          <w:p>
            <w:pPr>
              <w:spacing w:after="0"/>
              <w:rPr>
                <w:sz w:val="18"/>
                <w:szCs w:val="18"/>
                <w:color w:val="auto"/>
              </w:rPr>
            </w:pPr>
          </w:p>
        </w:tc>
        <w:tc>
          <w:tcPr>
            <w:tcW w:w="2340" w:type="dxa"/>
            <w:vAlign w:val="bottom"/>
            <w:gridSpan w:val="2"/>
            <w:shd w:val="clear" w:color="auto" w:fill="508BC7"/>
          </w:tcPr>
          <w:p>
            <w:pPr>
              <w:jc w:val="right"/>
              <w:ind w:right="748"/>
              <w:spacing w:after="0"/>
              <w:rPr>
                <w:sz w:val="20"/>
                <w:szCs w:val="20"/>
                <w:color w:val="auto"/>
              </w:rPr>
            </w:pPr>
            <w:r>
              <w:rPr>
                <w:rFonts w:ascii="Arial" w:cs="Arial" w:eastAsia="Arial" w:hAnsi="Arial"/>
                <w:sz w:val="14"/>
                <w:szCs w:val="14"/>
                <w:b w:val="1"/>
                <w:bCs w:val="1"/>
                <w:color w:val="FFFFFF"/>
              </w:rPr>
              <w:t>Option Awards</w:t>
            </w:r>
          </w:p>
        </w:tc>
        <w:tc>
          <w:tcPr>
            <w:tcW w:w="1160" w:type="dxa"/>
            <w:vAlign w:val="bottom"/>
            <w:shd w:val="clear" w:color="auto" w:fill="508BC7"/>
          </w:tcPr>
          <w:p>
            <w:pPr>
              <w:spacing w:after="0"/>
              <w:rPr>
                <w:sz w:val="18"/>
                <w:szCs w:val="18"/>
                <w:color w:val="auto"/>
              </w:rPr>
            </w:pPr>
          </w:p>
        </w:tc>
        <w:tc>
          <w:tcPr>
            <w:tcW w:w="980" w:type="dxa"/>
            <w:vAlign w:val="bottom"/>
            <w:shd w:val="clear" w:color="auto" w:fill="508BC7"/>
          </w:tcPr>
          <w:p>
            <w:pPr>
              <w:spacing w:after="0"/>
              <w:rPr>
                <w:sz w:val="18"/>
                <w:szCs w:val="18"/>
                <w:color w:val="auto"/>
              </w:rPr>
            </w:pPr>
          </w:p>
        </w:tc>
        <w:tc>
          <w:tcPr>
            <w:tcW w:w="2300" w:type="dxa"/>
            <w:vAlign w:val="bottom"/>
            <w:gridSpan w:val="2"/>
            <w:shd w:val="clear" w:color="auto" w:fill="508BC7"/>
          </w:tcPr>
          <w:p>
            <w:pPr>
              <w:ind w:left="720"/>
              <w:spacing w:after="0"/>
              <w:rPr>
                <w:sz w:val="20"/>
                <w:szCs w:val="20"/>
                <w:color w:val="auto"/>
              </w:rPr>
            </w:pPr>
            <w:r>
              <w:rPr>
                <w:rFonts w:ascii="Arial" w:cs="Arial" w:eastAsia="Arial" w:hAnsi="Arial"/>
                <w:sz w:val="14"/>
                <w:szCs w:val="14"/>
                <w:b w:val="1"/>
                <w:bCs w:val="1"/>
                <w:color w:val="FFFFFF"/>
              </w:rPr>
              <w:t>Stock Awards</w:t>
            </w:r>
          </w:p>
        </w:tc>
        <w:tc>
          <w:tcPr>
            <w:tcW w:w="1160" w:type="dxa"/>
            <w:vAlign w:val="bottom"/>
            <w:vMerge w:val="restart"/>
            <w:shd w:val="clear" w:color="auto" w:fill="508BC7"/>
          </w:tcPr>
          <w:p>
            <w:pPr>
              <w:jc w:val="center"/>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28"/>
        </w:trPr>
        <w:tc>
          <w:tcPr>
            <w:tcW w:w="1000" w:type="dxa"/>
            <w:vAlign w:val="bottom"/>
            <w:shd w:val="clear" w:color="auto" w:fill="508BC7"/>
          </w:tcPr>
          <w:p>
            <w:pPr>
              <w:spacing w:after="0"/>
              <w:rPr>
                <w:sz w:val="11"/>
                <w:szCs w:val="11"/>
                <w:color w:val="auto"/>
              </w:rPr>
            </w:pPr>
          </w:p>
        </w:tc>
        <w:tc>
          <w:tcPr>
            <w:tcW w:w="1160" w:type="dxa"/>
            <w:vAlign w:val="bottom"/>
            <w:shd w:val="clear" w:color="auto" w:fill="508BC7"/>
          </w:tcPr>
          <w:p>
            <w:pPr>
              <w:spacing w:after="0"/>
              <w:rPr>
                <w:sz w:val="11"/>
                <w:szCs w:val="11"/>
                <w:color w:val="auto"/>
              </w:rPr>
            </w:pPr>
          </w:p>
        </w:tc>
        <w:tc>
          <w:tcPr>
            <w:tcW w:w="1320" w:type="dxa"/>
            <w:vAlign w:val="bottom"/>
            <w:shd w:val="clear" w:color="auto" w:fill="508BC7"/>
          </w:tcPr>
          <w:p>
            <w:pPr>
              <w:spacing w:after="0"/>
              <w:rPr>
                <w:sz w:val="11"/>
                <w:szCs w:val="11"/>
                <w:color w:val="auto"/>
              </w:rPr>
            </w:pPr>
          </w:p>
        </w:tc>
        <w:tc>
          <w:tcPr>
            <w:tcW w:w="1220" w:type="dxa"/>
            <w:vAlign w:val="bottom"/>
            <w:shd w:val="clear" w:color="auto" w:fill="508BC7"/>
          </w:tcPr>
          <w:p>
            <w:pPr>
              <w:spacing w:after="0"/>
              <w:rPr>
                <w:sz w:val="11"/>
                <w:szCs w:val="11"/>
                <w:color w:val="auto"/>
              </w:rPr>
            </w:pPr>
          </w:p>
        </w:tc>
        <w:tc>
          <w:tcPr>
            <w:tcW w:w="1120" w:type="dxa"/>
            <w:vAlign w:val="bottom"/>
            <w:shd w:val="clear" w:color="auto" w:fill="508BC7"/>
          </w:tcPr>
          <w:p>
            <w:pPr>
              <w:spacing w:after="0"/>
              <w:rPr>
                <w:sz w:val="11"/>
                <w:szCs w:val="11"/>
                <w:color w:val="auto"/>
              </w:rPr>
            </w:pPr>
          </w:p>
        </w:tc>
        <w:tc>
          <w:tcPr>
            <w:tcW w:w="1160" w:type="dxa"/>
            <w:vAlign w:val="bottom"/>
            <w:shd w:val="clear" w:color="auto" w:fill="508BC7"/>
          </w:tcPr>
          <w:p>
            <w:pPr>
              <w:spacing w:after="0"/>
              <w:rPr>
                <w:sz w:val="11"/>
                <w:szCs w:val="11"/>
                <w:color w:val="auto"/>
              </w:rPr>
            </w:pPr>
          </w:p>
        </w:tc>
        <w:tc>
          <w:tcPr>
            <w:tcW w:w="980" w:type="dxa"/>
            <w:vAlign w:val="bottom"/>
            <w:shd w:val="clear" w:color="auto" w:fill="508BC7"/>
          </w:tcPr>
          <w:p>
            <w:pPr>
              <w:spacing w:after="0"/>
              <w:rPr>
                <w:sz w:val="11"/>
                <w:szCs w:val="11"/>
                <w:color w:val="auto"/>
              </w:rPr>
            </w:pPr>
          </w:p>
        </w:tc>
        <w:tc>
          <w:tcPr>
            <w:tcW w:w="1120" w:type="dxa"/>
            <w:vAlign w:val="bottom"/>
            <w:shd w:val="clear" w:color="auto" w:fill="508BC7"/>
          </w:tcPr>
          <w:p>
            <w:pPr>
              <w:spacing w:after="0"/>
              <w:rPr>
                <w:sz w:val="11"/>
                <w:szCs w:val="11"/>
                <w:color w:val="auto"/>
              </w:rPr>
            </w:pPr>
          </w:p>
        </w:tc>
        <w:tc>
          <w:tcPr>
            <w:tcW w:w="1180" w:type="dxa"/>
            <w:vAlign w:val="bottom"/>
            <w:shd w:val="clear" w:color="auto" w:fill="508BC7"/>
          </w:tcPr>
          <w:p>
            <w:pPr>
              <w:spacing w:after="0"/>
              <w:rPr>
                <w:sz w:val="11"/>
                <w:szCs w:val="11"/>
                <w:color w:val="auto"/>
              </w:rPr>
            </w:pPr>
          </w:p>
        </w:tc>
        <w:tc>
          <w:tcPr>
            <w:tcW w:w="1160" w:type="dxa"/>
            <w:vAlign w:val="bottom"/>
            <w:vMerge w:val="continue"/>
            <w:shd w:val="clear" w:color="auto" w:fill="508BC7"/>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1320" w:type="dxa"/>
            <w:vAlign w:val="bottom"/>
            <w:shd w:val="clear" w:color="auto" w:fill="508BC7"/>
          </w:tcPr>
          <w:p>
            <w:pPr>
              <w:spacing w:after="0"/>
              <w:rPr>
                <w:sz w:val="14"/>
                <w:szCs w:val="14"/>
                <w:color w:val="auto"/>
              </w:rPr>
            </w:pPr>
          </w:p>
        </w:tc>
        <w:tc>
          <w:tcPr>
            <w:tcW w:w="1220" w:type="dxa"/>
            <w:vAlign w:val="bottom"/>
            <w:shd w:val="clear" w:color="auto" w:fill="508BC7"/>
          </w:tcPr>
          <w:p>
            <w:pPr>
              <w:spacing w:after="0"/>
              <w:rPr>
                <w:sz w:val="14"/>
                <w:szCs w:val="14"/>
                <w:color w:val="auto"/>
              </w:rPr>
            </w:pPr>
          </w:p>
        </w:tc>
        <w:tc>
          <w:tcPr>
            <w:tcW w:w="112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980" w:type="dxa"/>
            <w:vAlign w:val="bottom"/>
            <w:shd w:val="clear" w:color="auto" w:fill="508BC7"/>
          </w:tcPr>
          <w:p>
            <w:pPr>
              <w:spacing w:after="0"/>
              <w:rPr>
                <w:sz w:val="14"/>
                <w:szCs w:val="14"/>
                <w:color w:val="auto"/>
              </w:rPr>
            </w:pPr>
          </w:p>
        </w:tc>
        <w:tc>
          <w:tcPr>
            <w:tcW w:w="1120" w:type="dxa"/>
            <w:vAlign w:val="bottom"/>
            <w:shd w:val="clear" w:color="auto" w:fill="508BC7"/>
          </w:tcPr>
          <w:p>
            <w:pPr>
              <w:spacing w:after="0"/>
              <w:rPr>
                <w:sz w:val="14"/>
                <w:szCs w:val="14"/>
                <w:color w:val="auto"/>
              </w:rPr>
            </w:pPr>
          </w:p>
        </w:tc>
        <w:tc>
          <w:tcPr>
            <w:tcW w:w="1180" w:type="dxa"/>
            <w:vAlign w:val="bottom"/>
            <w:shd w:val="clear" w:color="auto" w:fill="508BC7"/>
          </w:tcPr>
          <w:p>
            <w:pPr>
              <w:spacing w:after="0"/>
              <w:rPr>
                <w:sz w:val="14"/>
                <w:szCs w:val="14"/>
                <w:color w:val="auto"/>
              </w:rPr>
            </w:pP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Incentive Plan</w:t>
            </w:r>
          </w:p>
        </w:tc>
        <w:tc>
          <w:tcPr>
            <w:tcW w:w="0" w:type="dxa"/>
            <w:vAlign w:val="bottom"/>
          </w:tcPr>
          <w:p>
            <w:pPr>
              <w:spacing w:after="0"/>
              <w:rPr>
                <w:sz w:val="1"/>
                <w:szCs w:val="1"/>
                <w:color w:val="auto"/>
              </w:rPr>
            </w:pPr>
          </w:p>
        </w:tc>
      </w:tr>
      <w:tr>
        <w:trPr>
          <w:trHeight w:val="162"/>
        </w:trPr>
        <w:tc>
          <w:tcPr>
            <w:tcW w:w="100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1320" w:type="dxa"/>
            <w:vAlign w:val="bottom"/>
            <w:shd w:val="clear" w:color="auto" w:fill="508BC7"/>
          </w:tcPr>
          <w:p>
            <w:pPr>
              <w:spacing w:after="0"/>
              <w:rPr>
                <w:sz w:val="14"/>
                <w:szCs w:val="14"/>
                <w:color w:val="auto"/>
              </w:rPr>
            </w:pPr>
          </w:p>
        </w:tc>
        <w:tc>
          <w:tcPr>
            <w:tcW w:w="1220" w:type="dxa"/>
            <w:vAlign w:val="bottom"/>
            <w:shd w:val="clear" w:color="auto" w:fill="508BC7"/>
          </w:tcPr>
          <w:p>
            <w:pPr>
              <w:spacing w:after="0"/>
              <w:rPr>
                <w:sz w:val="14"/>
                <w:szCs w:val="14"/>
                <w:color w:val="auto"/>
              </w:rPr>
            </w:pPr>
          </w:p>
        </w:tc>
        <w:tc>
          <w:tcPr>
            <w:tcW w:w="112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980" w:type="dxa"/>
            <w:vAlign w:val="bottom"/>
            <w:shd w:val="clear" w:color="auto" w:fill="508BC7"/>
          </w:tcPr>
          <w:p>
            <w:pPr>
              <w:spacing w:after="0"/>
              <w:rPr>
                <w:sz w:val="14"/>
                <w:szCs w:val="14"/>
                <w:color w:val="auto"/>
              </w:rPr>
            </w:pPr>
          </w:p>
        </w:tc>
        <w:tc>
          <w:tcPr>
            <w:tcW w:w="1120" w:type="dxa"/>
            <w:vAlign w:val="bottom"/>
            <w:shd w:val="clear" w:color="auto" w:fill="508BC7"/>
          </w:tcPr>
          <w:p>
            <w:pPr>
              <w:spacing w:after="0"/>
              <w:rPr>
                <w:sz w:val="14"/>
                <w:szCs w:val="14"/>
                <w:color w:val="auto"/>
              </w:rPr>
            </w:pPr>
          </w:p>
        </w:tc>
        <w:tc>
          <w:tcPr>
            <w:tcW w:w="11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Equity</w:t>
            </w: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62"/>
        </w:trPr>
        <w:tc>
          <w:tcPr>
            <w:tcW w:w="100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1320" w:type="dxa"/>
            <w:vAlign w:val="bottom"/>
            <w:shd w:val="clear" w:color="auto" w:fill="508BC7"/>
          </w:tcPr>
          <w:p>
            <w:pPr>
              <w:spacing w:after="0"/>
              <w:rPr>
                <w:sz w:val="14"/>
                <w:szCs w:val="14"/>
                <w:color w:val="auto"/>
              </w:rPr>
            </w:pPr>
          </w:p>
        </w:tc>
        <w:tc>
          <w:tcPr>
            <w:tcW w:w="1220" w:type="dxa"/>
            <w:vAlign w:val="bottom"/>
            <w:shd w:val="clear" w:color="auto" w:fill="508BC7"/>
          </w:tcPr>
          <w:p>
            <w:pPr>
              <w:spacing w:after="0"/>
              <w:rPr>
                <w:sz w:val="14"/>
                <w:szCs w:val="14"/>
                <w:color w:val="auto"/>
              </w:rPr>
            </w:pPr>
          </w:p>
        </w:tc>
        <w:tc>
          <w:tcPr>
            <w:tcW w:w="112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98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Number</w:t>
            </w:r>
          </w:p>
        </w:tc>
        <w:tc>
          <w:tcPr>
            <w:tcW w:w="1120" w:type="dxa"/>
            <w:vAlign w:val="bottom"/>
            <w:shd w:val="clear" w:color="auto" w:fill="508BC7"/>
          </w:tcPr>
          <w:p>
            <w:pPr>
              <w:spacing w:after="0"/>
              <w:rPr>
                <w:sz w:val="14"/>
                <w:szCs w:val="14"/>
                <w:color w:val="auto"/>
              </w:rPr>
            </w:pPr>
          </w:p>
        </w:tc>
        <w:tc>
          <w:tcPr>
            <w:tcW w:w="11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Incentive</w:t>
            </w: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Market</w:t>
            </w:r>
          </w:p>
        </w:tc>
        <w:tc>
          <w:tcPr>
            <w:tcW w:w="0" w:type="dxa"/>
            <w:vAlign w:val="bottom"/>
          </w:tcPr>
          <w:p>
            <w:pPr>
              <w:spacing w:after="0"/>
              <w:rPr>
                <w:sz w:val="1"/>
                <w:szCs w:val="1"/>
                <w:color w:val="auto"/>
              </w:rPr>
            </w:pPr>
          </w:p>
        </w:tc>
      </w:tr>
      <w:tr>
        <w:trPr>
          <w:trHeight w:val="162"/>
        </w:trPr>
        <w:tc>
          <w:tcPr>
            <w:tcW w:w="100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1320" w:type="dxa"/>
            <w:vAlign w:val="bottom"/>
            <w:shd w:val="clear" w:color="auto" w:fill="508BC7"/>
          </w:tcPr>
          <w:p>
            <w:pPr>
              <w:spacing w:after="0"/>
              <w:rPr>
                <w:sz w:val="14"/>
                <w:szCs w:val="14"/>
                <w:color w:val="auto"/>
              </w:rPr>
            </w:pPr>
          </w:p>
        </w:tc>
        <w:tc>
          <w:tcPr>
            <w:tcW w:w="1220" w:type="dxa"/>
            <w:vAlign w:val="bottom"/>
            <w:shd w:val="clear" w:color="auto" w:fill="508BC7"/>
          </w:tcPr>
          <w:p>
            <w:pPr>
              <w:spacing w:after="0"/>
              <w:rPr>
                <w:sz w:val="14"/>
                <w:szCs w:val="14"/>
                <w:color w:val="auto"/>
              </w:rPr>
            </w:pPr>
          </w:p>
        </w:tc>
        <w:tc>
          <w:tcPr>
            <w:tcW w:w="112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98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of</w:t>
            </w:r>
          </w:p>
        </w:tc>
        <w:tc>
          <w:tcPr>
            <w:tcW w:w="1120" w:type="dxa"/>
            <w:vAlign w:val="bottom"/>
            <w:shd w:val="clear" w:color="auto" w:fill="508BC7"/>
          </w:tcPr>
          <w:p>
            <w:pPr>
              <w:jc w:val="center"/>
              <w:ind w:left="28"/>
              <w:spacing w:after="0"/>
              <w:rPr>
                <w:sz w:val="20"/>
                <w:szCs w:val="20"/>
                <w:color w:val="auto"/>
              </w:rPr>
            </w:pPr>
            <w:r>
              <w:rPr>
                <w:rFonts w:ascii="Arial" w:cs="Arial" w:eastAsia="Arial" w:hAnsi="Arial"/>
                <w:sz w:val="14"/>
                <w:szCs w:val="14"/>
                <w:b w:val="1"/>
                <w:bCs w:val="1"/>
                <w:color w:val="FFFFFF"/>
              </w:rPr>
              <w:t>Market</w:t>
            </w:r>
          </w:p>
        </w:tc>
        <w:tc>
          <w:tcPr>
            <w:tcW w:w="11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Plan Awards:</w:t>
            </w: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or Payout</w:t>
            </w:r>
          </w:p>
        </w:tc>
        <w:tc>
          <w:tcPr>
            <w:tcW w:w="0" w:type="dxa"/>
            <w:vAlign w:val="bottom"/>
          </w:tcPr>
          <w:p>
            <w:pPr>
              <w:spacing w:after="0"/>
              <w:rPr>
                <w:sz w:val="1"/>
                <w:szCs w:val="1"/>
                <w:color w:val="auto"/>
              </w:rPr>
            </w:pPr>
          </w:p>
        </w:tc>
      </w:tr>
      <w:tr>
        <w:trPr>
          <w:trHeight w:val="162"/>
        </w:trPr>
        <w:tc>
          <w:tcPr>
            <w:tcW w:w="100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1320" w:type="dxa"/>
            <w:vAlign w:val="bottom"/>
            <w:shd w:val="clear" w:color="auto" w:fill="508BC7"/>
          </w:tcPr>
          <w:p>
            <w:pPr>
              <w:spacing w:after="0"/>
              <w:rPr>
                <w:sz w:val="14"/>
                <w:szCs w:val="14"/>
                <w:color w:val="auto"/>
              </w:rPr>
            </w:pPr>
          </w:p>
        </w:tc>
        <w:tc>
          <w:tcPr>
            <w:tcW w:w="1220" w:type="dxa"/>
            <w:vAlign w:val="bottom"/>
            <w:shd w:val="clear" w:color="auto" w:fill="508BC7"/>
          </w:tcPr>
          <w:p>
            <w:pPr>
              <w:spacing w:after="0"/>
              <w:rPr>
                <w:sz w:val="14"/>
                <w:szCs w:val="14"/>
                <w:color w:val="auto"/>
              </w:rPr>
            </w:pPr>
          </w:p>
        </w:tc>
        <w:tc>
          <w:tcPr>
            <w:tcW w:w="112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980" w:type="dxa"/>
            <w:vAlign w:val="bottom"/>
            <w:shd w:val="clear" w:color="auto" w:fill="508BC7"/>
          </w:tcPr>
          <w:p>
            <w:pPr>
              <w:jc w:val="center"/>
              <w:ind w:right="28"/>
              <w:spacing w:after="0"/>
              <w:rPr>
                <w:sz w:val="20"/>
                <w:szCs w:val="20"/>
                <w:color w:val="auto"/>
              </w:rPr>
            </w:pPr>
            <w:r>
              <w:rPr>
                <w:rFonts w:ascii="Arial" w:cs="Arial" w:eastAsia="Arial" w:hAnsi="Arial"/>
                <w:sz w:val="14"/>
                <w:szCs w:val="14"/>
                <w:b w:val="1"/>
                <w:bCs w:val="1"/>
                <w:color w:val="FFFFFF"/>
              </w:rPr>
              <w:t>Shares</w:t>
            </w:r>
          </w:p>
        </w:tc>
        <w:tc>
          <w:tcPr>
            <w:tcW w:w="1120" w:type="dxa"/>
            <w:vAlign w:val="bottom"/>
            <w:shd w:val="clear" w:color="auto" w:fill="508BC7"/>
          </w:tcPr>
          <w:p>
            <w:pPr>
              <w:jc w:val="center"/>
              <w:ind w:left="8"/>
              <w:spacing w:after="0"/>
              <w:rPr>
                <w:sz w:val="20"/>
                <w:szCs w:val="20"/>
                <w:color w:val="auto"/>
              </w:rPr>
            </w:pPr>
            <w:r>
              <w:rPr>
                <w:rFonts w:ascii="Arial" w:cs="Arial" w:eastAsia="Arial" w:hAnsi="Arial"/>
                <w:sz w:val="14"/>
                <w:szCs w:val="14"/>
                <w:b w:val="1"/>
                <w:bCs w:val="1"/>
                <w:color w:val="FFFFFF"/>
              </w:rPr>
              <w:t>Value of</w:t>
            </w:r>
          </w:p>
        </w:tc>
        <w:tc>
          <w:tcPr>
            <w:tcW w:w="11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Number of</w:t>
            </w: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0" w:type="dxa"/>
            <w:vAlign w:val="bottom"/>
          </w:tcPr>
          <w:p>
            <w:pPr>
              <w:spacing w:after="0"/>
              <w:rPr>
                <w:sz w:val="1"/>
                <w:szCs w:val="1"/>
                <w:color w:val="auto"/>
              </w:rPr>
            </w:pPr>
          </w:p>
        </w:tc>
      </w:tr>
      <w:tr>
        <w:trPr>
          <w:trHeight w:val="162"/>
        </w:trPr>
        <w:tc>
          <w:tcPr>
            <w:tcW w:w="100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1320" w:type="dxa"/>
            <w:vAlign w:val="bottom"/>
            <w:shd w:val="clear" w:color="auto" w:fill="508BC7"/>
          </w:tcPr>
          <w:p>
            <w:pPr>
              <w:spacing w:after="0"/>
              <w:rPr>
                <w:sz w:val="14"/>
                <w:szCs w:val="14"/>
                <w:color w:val="auto"/>
              </w:rPr>
            </w:pPr>
          </w:p>
        </w:tc>
        <w:tc>
          <w:tcPr>
            <w:tcW w:w="1220" w:type="dxa"/>
            <w:vAlign w:val="bottom"/>
            <w:shd w:val="clear" w:color="auto" w:fill="508BC7"/>
          </w:tcPr>
          <w:p>
            <w:pPr>
              <w:spacing w:after="0"/>
              <w:rPr>
                <w:sz w:val="14"/>
                <w:szCs w:val="14"/>
                <w:color w:val="auto"/>
              </w:rPr>
            </w:pPr>
          </w:p>
        </w:tc>
        <w:tc>
          <w:tcPr>
            <w:tcW w:w="112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98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or Units</w:t>
            </w:r>
          </w:p>
        </w:tc>
        <w:tc>
          <w:tcPr>
            <w:tcW w:w="1120" w:type="dxa"/>
            <w:vAlign w:val="bottom"/>
            <w:shd w:val="clear" w:color="auto" w:fill="508BC7"/>
          </w:tcPr>
          <w:p>
            <w:pPr>
              <w:jc w:val="center"/>
              <w:ind w:left="28"/>
              <w:spacing w:after="0"/>
              <w:rPr>
                <w:sz w:val="20"/>
                <w:szCs w:val="20"/>
                <w:color w:val="auto"/>
              </w:rPr>
            </w:pPr>
            <w:r>
              <w:rPr>
                <w:rFonts w:ascii="Arial" w:cs="Arial" w:eastAsia="Arial" w:hAnsi="Arial"/>
                <w:sz w:val="14"/>
                <w:szCs w:val="14"/>
                <w:b w:val="1"/>
                <w:bCs w:val="1"/>
                <w:color w:val="FFFFFF"/>
              </w:rPr>
              <w:t>Shares or</w:t>
            </w:r>
          </w:p>
        </w:tc>
        <w:tc>
          <w:tcPr>
            <w:tcW w:w="11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Unearned</w:t>
            </w: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Unearned</w:t>
            </w:r>
          </w:p>
        </w:tc>
        <w:tc>
          <w:tcPr>
            <w:tcW w:w="0" w:type="dxa"/>
            <w:vAlign w:val="bottom"/>
          </w:tcPr>
          <w:p>
            <w:pPr>
              <w:spacing w:after="0"/>
              <w:rPr>
                <w:sz w:val="1"/>
                <w:szCs w:val="1"/>
                <w:color w:val="auto"/>
              </w:rPr>
            </w:pPr>
          </w:p>
        </w:tc>
      </w:tr>
      <w:tr>
        <w:trPr>
          <w:trHeight w:val="175"/>
        </w:trPr>
        <w:tc>
          <w:tcPr>
            <w:tcW w:w="1000" w:type="dxa"/>
            <w:vAlign w:val="bottom"/>
            <w:shd w:val="clear" w:color="auto" w:fill="508BC7"/>
          </w:tcPr>
          <w:p>
            <w:pPr>
              <w:spacing w:after="0"/>
              <w:rPr>
                <w:sz w:val="15"/>
                <w:szCs w:val="15"/>
                <w:color w:val="auto"/>
              </w:rPr>
            </w:pPr>
          </w:p>
        </w:tc>
        <w:tc>
          <w:tcPr>
            <w:tcW w:w="1160" w:type="dxa"/>
            <w:vAlign w:val="bottom"/>
            <w:shd w:val="clear" w:color="auto" w:fill="508BC7"/>
          </w:tcPr>
          <w:p>
            <w:pPr>
              <w:spacing w:after="0"/>
              <w:rPr>
                <w:sz w:val="15"/>
                <w:szCs w:val="15"/>
                <w:color w:val="auto"/>
              </w:rPr>
            </w:pPr>
          </w:p>
        </w:tc>
        <w:tc>
          <w:tcPr>
            <w:tcW w:w="132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Number of</w:t>
            </w:r>
          </w:p>
        </w:tc>
        <w:tc>
          <w:tcPr>
            <w:tcW w:w="1220" w:type="dxa"/>
            <w:vAlign w:val="bottom"/>
            <w:shd w:val="clear" w:color="auto" w:fill="508BC7"/>
          </w:tcPr>
          <w:p>
            <w:pPr>
              <w:jc w:val="center"/>
              <w:ind w:right="28"/>
              <w:spacing w:after="0"/>
              <w:rPr>
                <w:sz w:val="20"/>
                <w:szCs w:val="20"/>
                <w:color w:val="auto"/>
              </w:rPr>
            </w:pPr>
            <w:r>
              <w:rPr>
                <w:rFonts w:ascii="Arial" w:cs="Arial" w:eastAsia="Arial" w:hAnsi="Arial"/>
                <w:sz w:val="14"/>
                <w:szCs w:val="14"/>
                <w:b w:val="1"/>
                <w:bCs w:val="1"/>
                <w:color w:val="FFFFFF"/>
              </w:rPr>
              <w:t>Number of</w:t>
            </w:r>
          </w:p>
        </w:tc>
        <w:tc>
          <w:tcPr>
            <w:tcW w:w="1120" w:type="dxa"/>
            <w:vAlign w:val="bottom"/>
            <w:shd w:val="clear" w:color="auto" w:fill="508BC7"/>
          </w:tcPr>
          <w:p>
            <w:pPr>
              <w:spacing w:after="0"/>
              <w:rPr>
                <w:sz w:val="15"/>
                <w:szCs w:val="15"/>
                <w:color w:val="auto"/>
              </w:rPr>
            </w:pPr>
          </w:p>
        </w:tc>
        <w:tc>
          <w:tcPr>
            <w:tcW w:w="1160" w:type="dxa"/>
            <w:vAlign w:val="bottom"/>
            <w:shd w:val="clear" w:color="auto" w:fill="508BC7"/>
          </w:tcPr>
          <w:p>
            <w:pPr>
              <w:spacing w:after="0"/>
              <w:rPr>
                <w:sz w:val="15"/>
                <w:szCs w:val="15"/>
                <w:color w:val="auto"/>
              </w:rPr>
            </w:pPr>
          </w:p>
        </w:tc>
        <w:tc>
          <w:tcPr>
            <w:tcW w:w="98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of Stock</w:t>
            </w:r>
          </w:p>
        </w:tc>
        <w:tc>
          <w:tcPr>
            <w:tcW w:w="1120" w:type="dxa"/>
            <w:vAlign w:val="bottom"/>
            <w:shd w:val="clear" w:color="auto" w:fill="508BC7"/>
          </w:tcPr>
          <w:p>
            <w:pPr>
              <w:jc w:val="center"/>
              <w:ind w:left="28"/>
              <w:spacing w:after="0"/>
              <w:rPr>
                <w:sz w:val="20"/>
                <w:szCs w:val="20"/>
                <w:color w:val="auto"/>
              </w:rPr>
            </w:pPr>
            <w:r>
              <w:rPr>
                <w:rFonts w:ascii="Arial" w:cs="Arial" w:eastAsia="Arial" w:hAnsi="Arial"/>
                <w:sz w:val="14"/>
                <w:szCs w:val="14"/>
                <w:b w:val="1"/>
                <w:bCs w:val="1"/>
                <w:color w:val="FFFFFF"/>
              </w:rPr>
              <w:t>Units of</w:t>
            </w:r>
          </w:p>
        </w:tc>
        <w:tc>
          <w:tcPr>
            <w:tcW w:w="11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Shares, Units</w:t>
            </w: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Shares, Units</w:t>
            </w:r>
          </w:p>
        </w:tc>
        <w:tc>
          <w:tcPr>
            <w:tcW w:w="0" w:type="dxa"/>
            <w:vAlign w:val="bottom"/>
          </w:tcPr>
          <w:p>
            <w:pPr>
              <w:spacing w:after="0"/>
              <w:rPr>
                <w:sz w:val="1"/>
                <w:szCs w:val="1"/>
                <w:color w:val="auto"/>
              </w:rPr>
            </w:pPr>
          </w:p>
        </w:tc>
      </w:tr>
      <w:tr>
        <w:trPr>
          <w:trHeight w:val="162"/>
        </w:trPr>
        <w:tc>
          <w:tcPr>
            <w:tcW w:w="1000" w:type="dxa"/>
            <w:vAlign w:val="bottom"/>
            <w:shd w:val="clear" w:color="auto" w:fill="508BC7"/>
          </w:tcPr>
          <w:p>
            <w:pPr>
              <w:spacing w:after="0"/>
              <w:rPr>
                <w:sz w:val="14"/>
                <w:szCs w:val="14"/>
                <w:color w:val="auto"/>
              </w:rPr>
            </w:pP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Option /</w:t>
            </w:r>
          </w:p>
        </w:tc>
        <w:tc>
          <w:tcPr>
            <w:tcW w:w="132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Securities</w:t>
            </w:r>
          </w:p>
        </w:tc>
        <w:tc>
          <w:tcPr>
            <w:tcW w:w="1220" w:type="dxa"/>
            <w:vAlign w:val="bottom"/>
            <w:shd w:val="clear" w:color="auto" w:fill="508BC7"/>
          </w:tcPr>
          <w:p>
            <w:pPr>
              <w:jc w:val="center"/>
              <w:ind w:right="28"/>
              <w:spacing w:after="0"/>
              <w:rPr>
                <w:sz w:val="20"/>
                <w:szCs w:val="20"/>
                <w:color w:val="auto"/>
              </w:rPr>
            </w:pPr>
            <w:r>
              <w:rPr>
                <w:rFonts w:ascii="Arial" w:cs="Arial" w:eastAsia="Arial" w:hAnsi="Arial"/>
                <w:sz w:val="14"/>
                <w:szCs w:val="14"/>
                <w:b w:val="1"/>
                <w:bCs w:val="1"/>
                <w:color w:val="FFFFFF"/>
              </w:rPr>
              <w:t>Securities</w:t>
            </w:r>
          </w:p>
        </w:tc>
        <w:tc>
          <w:tcPr>
            <w:tcW w:w="112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98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That</w:t>
            </w:r>
          </w:p>
        </w:tc>
        <w:tc>
          <w:tcPr>
            <w:tcW w:w="1120" w:type="dxa"/>
            <w:vAlign w:val="bottom"/>
            <w:shd w:val="clear" w:color="auto" w:fill="508BC7"/>
          </w:tcPr>
          <w:p>
            <w:pPr>
              <w:jc w:val="center"/>
              <w:ind w:left="8"/>
              <w:spacing w:after="0"/>
              <w:rPr>
                <w:sz w:val="20"/>
                <w:szCs w:val="20"/>
                <w:color w:val="auto"/>
              </w:rPr>
            </w:pPr>
            <w:r>
              <w:rPr>
                <w:rFonts w:ascii="Arial" w:cs="Arial" w:eastAsia="Arial" w:hAnsi="Arial"/>
                <w:sz w:val="14"/>
                <w:szCs w:val="14"/>
                <w:b w:val="1"/>
                <w:bCs w:val="1"/>
                <w:color w:val="FFFFFF"/>
              </w:rPr>
              <w:t>Stock</w:t>
            </w:r>
          </w:p>
        </w:tc>
        <w:tc>
          <w:tcPr>
            <w:tcW w:w="11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or Other</w:t>
            </w: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w w:val="99"/>
              </w:rPr>
              <w:t>or</w:t>
            </w:r>
          </w:p>
        </w:tc>
        <w:tc>
          <w:tcPr>
            <w:tcW w:w="0" w:type="dxa"/>
            <w:vAlign w:val="bottom"/>
          </w:tcPr>
          <w:p>
            <w:pPr>
              <w:spacing w:after="0"/>
              <w:rPr>
                <w:sz w:val="1"/>
                <w:szCs w:val="1"/>
                <w:color w:val="auto"/>
              </w:rPr>
            </w:pPr>
          </w:p>
        </w:tc>
      </w:tr>
      <w:tr>
        <w:trPr>
          <w:trHeight w:val="162"/>
        </w:trPr>
        <w:tc>
          <w:tcPr>
            <w:tcW w:w="1000" w:type="dxa"/>
            <w:vAlign w:val="bottom"/>
            <w:shd w:val="clear" w:color="auto" w:fill="508BC7"/>
          </w:tcPr>
          <w:p>
            <w:pPr>
              <w:spacing w:after="0"/>
              <w:rPr>
                <w:sz w:val="14"/>
                <w:szCs w:val="14"/>
                <w:color w:val="auto"/>
              </w:rPr>
            </w:pP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32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Underlying</w:t>
            </w:r>
          </w:p>
        </w:tc>
        <w:tc>
          <w:tcPr>
            <w:tcW w:w="1220" w:type="dxa"/>
            <w:vAlign w:val="bottom"/>
            <w:shd w:val="clear" w:color="auto" w:fill="508BC7"/>
          </w:tcPr>
          <w:p>
            <w:pPr>
              <w:jc w:val="center"/>
              <w:ind w:right="28"/>
              <w:spacing w:after="0"/>
              <w:rPr>
                <w:sz w:val="20"/>
                <w:szCs w:val="20"/>
                <w:color w:val="auto"/>
              </w:rPr>
            </w:pPr>
            <w:r>
              <w:rPr>
                <w:rFonts w:ascii="Arial" w:cs="Arial" w:eastAsia="Arial" w:hAnsi="Arial"/>
                <w:sz w:val="14"/>
                <w:szCs w:val="14"/>
                <w:b w:val="1"/>
                <w:bCs w:val="1"/>
                <w:color w:val="FFFFFF"/>
              </w:rPr>
              <w:t>Underlying</w:t>
            </w:r>
          </w:p>
        </w:tc>
        <w:tc>
          <w:tcPr>
            <w:tcW w:w="1120" w:type="dxa"/>
            <w:vAlign w:val="bottom"/>
            <w:shd w:val="clear" w:color="auto" w:fill="508BC7"/>
          </w:tcPr>
          <w:p>
            <w:pPr>
              <w:spacing w:after="0"/>
              <w:rPr>
                <w:sz w:val="14"/>
                <w:szCs w:val="14"/>
                <w:color w:val="auto"/>
              </w:rPr>
            </w:pPr>
          </w:p>
        </w:tc>
        <w:tc>
          <w:tcPr>
            <w:tcW w:w="1160" w:type="dxa"/>
            <w:vAlign w:val="bottom"/>
            <w:shd w:val="clear" w:color="auto" w:fill="508BC7"/>
          </w:tcPr>
          <w:p>
            <w:pPr>
              <w:spacing w:after="0"/>
              <w:rPr>
                <w:sz w:val="14"/>
                <w:szCs w:val="14"/>
                <w:color w:val="auto"/>
              </w:rPr>
            </w:pPr>
          </w:p>
        </w:tc>
        <w:tc>
          <w:tcPr>
            <w:tcW w:w="98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Have</w:t>
            </w:r>
          </w:p>
        </w:tc>
        <w:tc>
          <w:tcPr>
            <w:tcW w:w="1120" w:type="dxa"/>
            <w:vAlign w:val="bottom"/>
            <w:shd w:val="clear" w:color="auto" w:fill="508BC7"/>
          </w:tcPr>
          <w:p>
            <w:pPr>
              <w:jc w:val="center"/>
              <w:ind w:left="8"/>
              <w:spacing w:after="0"/>
              <w:rPr>
                <w:sz w:val="20"/>
                <w:szCs w:val="20"/>
                <w:color w:val="auto"/>
              </w:rPr>
            </w:pPr>
            <w:r>
              <w:rPr>
                <w:rFonts w:ascii="Arial" w:cs="Arial" w:eastAsia="Arial" w:hAnsi="Arial"/>
                <w:sz w:val="14"/>
                <w:szCs w:val="14"/>
                <w:b w:val="1"/>
                <w:bCs w:val="1"/>
                <w:color w:val="FFFFFF"/>
              </w:rPr>
              <w:t>That Have</w:t>
            </w:r>
          </w:p>
        </w:tc>
        <w:tc>
          <w:tcPr>
            <w:tcW w:w="11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Rights That</w:t>
            </w: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Other Rights</w:t>
            </w:r>
          </w:p>
        </w:tc>
        <w:tc>
          <w:tcPr>
            <w:tcW w:w="0" w:type="dxa"/>
            <w:vAlign w:val="bottom"/>
          </w:tcPr>
          <w:p>
            <w:pPr>
              <w:spacing w:after="0"/>
              <w:rPr>
                <w:sz w:val="1"/>
                <w:szCs w:val="1"/>
                <w:color w:val="auto"/>
              </w:rPr>
            </w:pPr>
          </w:p>
        </w:tc>
      </w:tr>
      <w:tr>
        <w:trPr>
          <w:trHeight w:val="162"/>
        </w:trPr>
        <w:tc>
          <w:tcPr>
            <w:tcW w:w="1000" w:type="dxa"/>
            <w:vAlign w:val="bottom"/>
            <w:shd w:val="clear" w:color="auto" w:fill="508BC7"/>
          </w:tcPr>
          <w:p>
            <w:pPr>
              <w:spacing w:after="0"/>
              <w:rPr>
                <w:sz w:val="14"/>
                <w:szCs w:val="14"/>
                <w:color w:val="auto"/>
              </w:rPr>
            </w:pPr>
          </w:p>
        </w:tc>
        <w:tc>
          <w:tcPr>
            <w:tcW w:w="116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Award</w:t>
            </w:r>
          </w:p>
        </w:tc>
        <w:tc>
          <w:tcPr>
            <w:tcW w:w="1320" w:type="dxa"/>
            <w:vAlign w:val="bottom"/>
            <w:shd w:val="clear" w:color="auto" w:fill="508BC7"/>
          </w:tcPr>
          <w:p>
            <w:pPr>
              <w:jc w:val="center"/>
              <w:ind w:right="28"/>
              <w:spacing w:after="0"/>
              <w:rPr>
                <w:sz w:val="20"/>
                <w:szCs w:val="20"/>
                <w:color w:val="auto"/>
              </w:rPr>
            </w:pPr>
            <w:r>
              <w:rPr>
                <w:rFonts w:ascii="Arial" w:cs="Arial" w:eastAsia="Arial" w:hAnsi="Arial"/>
                <w:sz w:val="14"/>
                <w:szCs w:val="14"/>
                <w:b w:val="1"/>
                <w:bCs w:val="1"/>
                <w:color w:val="FFFFFF"/>
              </w:rPr>
              <w:t>Unexercised</w:t>
            </w:r>
          </w:p>
        </w:tc>
        <w:tc>
          <w:tcPr>
            <w:tcW w:w="1220" w:type="dxa"/>
            <w:vAlign w:val="bottom"/>
            <w:shd w:val="clear" w:color="auto" w:fill="508BC7"/>
          </w:tcPr>
          <w:p>
            <w:pPr>
              <w:jc w:val="center"/>
              <w:ind w:right="28"/>
              <w:spacing w:after="0"/>
              <w:rPr>
                <w:sz w:val="20"/>
                <w:szCs w:val="20"/>
                <w:color w:val="auto"/>
              </w:rPr>
            </w:pPr>
            <w:r>
              <w:rPr>
                <w:rFonts w:ascii="Arial" w:cs="Arial" w:eastAsia="Arial" w:hAnsi="Arial"/>
                <w:sz w:val="14"/>
                <w:szCs w:val="14"/>
                <w:b w:val="1"/>
                <w:bCs w:val="1"/>
                <w:color w:val="FFFFFF"/>
              </w:rPr>
              <w:t>Unexercised</w:t>
            </w:r>
          </w:p>
        </w:tc>
        <w:tc>
          <w:tcPr>
            <w:tcW w:w="1120" w:type="dxa"/>
            <w:vAlign w:val="bottom"/>
            <w:shd w:val="clear" w:color="auto" w:fill="508BC7"/>
          </w:tcPr>
          <w:p>
            <w:pPr>
              <w:jc w:val="center"/>
              <w:ind w:right="88"/>
              <w:spacing w:after="0"/>
              <w:rPr>
                <w:sz w:val="20"/>
                <w:szCs w:val="20"/>
                <w:color w:val="auto"/>
              </w:rPr>
            </w:pPr>
            <w:r>
              <w:rPr>
                <w:rFonts w:ascii="Arial" w:cs="Arial" w:eastAsia="Arial" w:hAnsi="Arial"/>
                <w:sz w:val="14"/>
                <w:szCs w:val="14"/>
                <w:b w:val="1"/>
                <w:bCs w:val="1"/>
                <w:color w:val="FFFFFF"/>
              </w:rPr>
              <w:t>Option</w:t>
            </w:r>
          </w:p>
        </w:tc>
        <w:tc>
          <w:tcPr>
            <w:tcW w:w="1160" w:type="dxa"/>
            <w:vAlign w:val="bottom"/>
            <w:shd w:val="clear" w:color="auto" w:fill="508BC7"/>
          </w:tcPr>
          <w:p>
            <w:pPr>
              <w:jc w:val="center"/>
              <w:ind w:right="108"/>
              <w:spacing w:after="0"/>
              <w:rPr>
                <w:sz w:val="20"/>
                <w:szCs w:val="20"/>
                <w:color w:val="auto"/>
              </w:rPr>
            </w:pPr>
            <w:r>
              <w:rPr>
                <w:rFonts w:ascii="Arial" w:cs="Arial" w:eastAsia="Arial" w:hAnsi="Arial"/>
                <w:sz w:val="14"/>
                <w:szCs w:val="14"/>
                <w:b w:val="1"/>
                <w:bCs w:val="1"/>
                <w:color w:val="FFFFFF"/>
              </w:rPr>
              <w:t>Option</w:t>
            </w:r>
          </w:p>
        </w:tc>
        <w:tc>
          <w:tcPr>
            <w:tcW w:w="980" w:type="dxa"/>
            <w:vAlign w:val="bottom"/>
            <w:shd w:val="clear" w:color="auto" w:fill="508BC7"/>
          </w:tcPr>
          <w:p>
            <w:pPr>
              <w:jc w:val="center"/>
              <w:ind w:right="28"/>
              <w:spacing w:after="0"/>
              <w:rPr>
                <w:sz w:val="20"/>
                <w:szCs w:val="20"/>
                <w:color w:val="auto"/>
              </w:rPr>
            </w:pPr>
            <w:r>
              <w:rPr>
                <w:rFonts w:ascii="Arial" w:cs="Arial" w:eastAsia="Arial" w:hAnsi="Arial"/>
                <w:sz w:val="14"/>
                <w:szCs w:val="14"/>
                <w:b w:val="1"/>
                <w:bCs w:val="1"/>
                <w:color w:val="FFFFFF"/>
              </w:rPr>
              <w:t>Not</w:t>
            </w:r>
          </w:p>
        </w:tc>
        <w:tc>
          <w:tcPr>
            <w:tcW w:w="1120" w:type="dxa"/>
            <w:vAlign w:val="bottom"/>
            <w:shd w:val="clear" w:color="auto" w:fill="508BC7"/>
          </w:tcPr>
          <w:p>
            <w:pPr>
              <w:jc w:val="center"/>
              <w:ind w:left="8"/>
              <w:spacing w:after="0"/>
              <w:rPr>
                <w:sz w:val="20"/>
                <w:szCs w:val="20"/>
                <w:color w:val="auto"/>
              </w:rPr>
            </w:pPr>
            <w:r>
              <w:rPr>
                <w:rFonts w:ascii="Arial" w:cs="Arial" w:eastAsia="Arial" w:hAnsi="Arial"/>
                <w:sz w:val="14"/>
                <w:szCs w:val="14"/>
                <w:b w:val="1"/>
                <w:bCs w:val="1"/>
                <w:color w:val="FFFFFF"/>
              </w:rPr>
              <w:t>Not</w:t>
            </w:r>
          </w:p>
        </w:tc>
        <w:tc>
          <w:tcPr>
            <w:tcW w:w="11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Have Not</w:t>
            </w: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That Have Not</w:t>
            </w:r>
          </w:p>
        </w:tc>
        <w:tc>
          <w:tcPr>
            <w:tcW w:w="0" w:type="dxa"/>
            <w:vAlign w:val="bottom"/>
          </w:tcPr>
          <w:p>
            <w:pPr>
              <w:spacing w:after="0"/>
              <w:rPr>
                <w:sz w:val="1"/>
                <w:szCs w:val="1"/>
                <w:color w:val="auto"/>
              </w:rPr>
            </w:pPr>
          </w:p>
        </w:tc>
      </w:tr>
      <w:tr>
        <w:trPr>
          <w:trHeight w:val="162"/>
        </w:trPr>
        <w:tc>
          <w:tcPr>
            <w:tcW w:w="1000" w:type="dxa"/>
            <w:vAlign w:val="bottom"/>
            <w:shd w:val="clear" w:color="auto" w:fill="508BC7"/>
          </w:tcPr>
          <w:p>
            <w:pPr>
              <w:spacing w:after="0"/>
              <w:rPr>
                <w:sz w:val="14"/>
                <w:szCs w:val="14"/>
                <w:color w:val="auto"/>
              </w:rPr>
            </w:pP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Grant</w:t>
            </w:r>
          </w:p>
        </w:tc>
        <w:tc>
          <w:tcPr>
            <w:tcW w:w="132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Options (#)</w:t>
            </w:r>
          </w:p>
        </w:tc>
        <w:tc>
          <w:tcPr>
            <w:tcW w:w="1220" w:type="dxa"/>
            <w:vAlign w:val="bottom"/>
            <w:shd w:val="clear" w:color="auto" w:fill="508BC7"/>
          </w:tcPr>
          <w:p>
            <w:pPr>
              <w:jc w:val="center"/>
              <w:ind w:right="28"/>
              <w:spacing w:after="0"/>
              <w:rPr>
                <w:sz w:val="20"/>
                <w:szCs w:val="20"/>
                <w:color w:val="auto"/>
              </w:rPr>
            </w:pPr>
            <w:r>
              <w:rPr>
                <w:rFonts w:ascii="Arial" w:cs="Arial" w:eastAsia="Arial" w:hAnsi="Arial"/>
                <w:sz w:val="14"/>
                <w:szCs w:val="14"/>
                <w:b w:val="1"/>
                <w:bCs w:val="1"/>
                <w:color w:val="FFFFFF"/>
              </w:rPr>
              <w:t>Options (#)</w:t>
            </w:r>
          </w:p>
        </w:tc>
        <w:tc>
          <w:tcPr>
            <w:tcW w:w="1120" w:type="dxa"/>
            <w:vAlign w:val="bottom"/>
            <w:shd w:val="clear" w:color="auto" w:fill="508BC7"/>
          </w:tcPr>
          <w:p>
            <w:pPr>
              <w:jc w:val="center"/>
              <w:ind w:right="128"/>
              <w:spacing w:after="0"/>
              <w:rPr>
                <w:sz w:val="20"/>
                <w:szCs w:val="20"/>
                <w:color w:val="auto"/>
              </w:rPr>
            </w:pPr>
            <w:r>
              <w:rPr>
                <w:rFonts w:ascii="Arial" w:cs="Arial" w:eastAsia="Arial" w:hAnsi="Arial"/>
                <w:sz w:val="14"/>
                <w:szCs w:val="14"/>
                <w:b w:val="1"/>
                <w:bCs w:val="1"/>
                <w:color w:val="FFFFFF"/>
              </w:rPr>
              <w:t>Exercise</w:t>
            </w:r>
          </w:p>
        </w:tc>
        <w:tc>
          <w:tcPr>
            <w:tcW w:w="1160" w:type="dxa"/>
            <w:vAlign w:val="bottom"/>
            <w:shd w:val="clear" w:color="auto" w:fill="508BC7"/>
          </w:tcPr>
          <w:p>
            <w:pPr>
              <w:jc w:val="center"/>
              <w:ind w:right="108"/>
              <w:spacing w:after="0"/>
              <w:rPr>
                <w:sz w:val="20"/>
                <w:szCs w:val="20"/>
                <w:color w:val="auto"/>
              </w:rPr>
            </w:pPr>
            <w:r>
              <w:rPr>
                <w:rFonts w:ascii="Arial" w:cs="Arial" w:eastAsia="Arial" w:hAnsi="Arial"/>
                <w:sz w:val="14"/>
                <w:szCs w:val="14"/>
                <w:b w:val="1"/>
                <w:bCs w:val="1"/>
                <w:color w:val="FFFFFF"/>
              </w:rPr>
              <w:t>Expiration</w:t>
            </w:r>
          </w:p>
        </w:tc>
        <w:tc>
          <w:tcPr>
            <w:tcW w:w="9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Vested</w:t>
            </w:r>
          </w:p>
        </w:tc>
        <w:tc>
          <w:tcPr>
            <w:tcW w:w="1120" w:type="dxa"/>
            <w:vAlign w:val="bottom"/>
            <w:shd w:val="clear" w:color="auto" w:fill="508BC7"/>
          </w:tcPr>
          <w:p>
            <w:pPr>
              <w:jc w:val="center"/>
              <w:ind w:left="28"/>
              <w:spacing w:after="0"/>
              <w:rPr>
                <w:sz w:val="20"/>
                <w:szCs w:val="20"/>
                <w:color w:val="auto"/>
              </w:rPr>
            </w:pPr>
            <w:r>
              <w:rPr>
                <w:rFonts w:ascii="Arial" w:cs="Arial" w:eastAsia="Arial" w:hAnsi="Arial"/>
                <w:sz w:val="14"/>
                <w:szCs w:val="14"/>
                <w:b w:val="1"/>
                <w:bCs w:val="1"/>
                <w:color w:val="FFFFFF"/>
              </w:rPr>
              <w:t>Vested</w:t>
            </w:r>
          </w:p>
        </w:tc>
        <w:tc>
          <w:tcPr>
            <w:tcW w:w="11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Vested</w:t>
            </w: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Vested</w:t>
            </w:r>
          </w:p>
        </w:tc>
        <w:tc>
          <w:tcPr>
            <w:tcW w:w="0" w:type="dxa"/>
            <w:vAlign w:val="bottom"/>
          </w:tcPr>
          <w:p>
            <w:pPr>
              <w:spacing w:after="0"/>
              <w:rPr>
                <w:sz w:val="1"/>
                <w:szCs w:val="1"/>
                <w:color w:val="auto"/>
              </w:rPr>
            </w:pPr>
          </w:p>
        </w:tc>
      </w:tr>
      <w:tr>
        <w:trPr>
          <w:trHeight w:val="216"/>
        </w:trPr>
        <w:tc>
          <w:tcPr>
            <w:tcW w:w="1000" w:type="dxa"/>
            <w:vAlign w:val="bottom"/>
            <w:shd w:val="clear" w:color="auto" w:fill="508BC7"/>
          </w:tcPr>
          <w:p>
            <w:pPr>
              <w:ind w:left="340"/>
              <w:spacing w:after="0"/>
              <w:rPr>
                <w:sz w:val="20"/>
                <w:szCs w:val="20"/>
                <w:color w:val="auto"/>
              </w:rPr>
            </w:pPr>
            <w:r>
              <w:rPr>
                <w:rFonts w:ascii="Arial" w:cs="Arial" w:eastAsia="Arial" w:hAnsi="Arial"/>
                <w:sz w:val="14"/>
                <w:szCs w:val="14"/>
                <w:b w:val="1"/>
                <w:bCs w:val="1"/>
                <w:color w:val="FFFFFF"/>
              </w:rPr>
              <w:t>Name</w:t>
            </w:r>
          </w:p>
        </w:tc>
        <w:tc>
          <w:tcPr>
            <w:tcW w:w="11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w w:val="98"/>
              </w:rPr>
              <w:t>Date</w:t>
            </w:r>
          </w:p>
        </w:tc>
        <w:tc>
          <w:tcPr>
            <w:tcW w:w="1320" w:type="dxa"/>
            <w:vAlign w:val="bottom"/>
            <w:shd w:val="clear" w:color="auto" w:fill="508BC7"/>
          </w:tcPr>
          <w:p>
            <w:pPr>
              <w:jc w:val="center"/>
              <w:ind w:right="28"/>
              <w:spacing w:after="0" w:line="216" w:lineRule="exact"/>
              <w:rPr>
                <w:sz w:val="20"/>
                <w:szCs w:val="20"/>
                <w:color w:val="auto"/>
              </w:rPr>
            </w:pPr>
            <w:r>
              <w:rPr>
                <w:rFonts w:ascii="Arial" w:cs="Arial" w:eastAsia="Arial" w:hAnsi="Arial"/>
                <w:sz w:val="14"/>
                <w:szCs w:val="14"/>
                <w:b w:val="1"/>
                <w:bCs w:val="1"/>
                <w:color w:val="FFFFFF"/>
                <w:w w:val="97"/>
              </w:rPr>
              <w:t>Exercisable</w:t>
            </w:r>
            <w:r>
              <w:rPr>
                <w:rFonts w:ascii="Arial" w:cs="Arial" w:eastAsia="Arial" w:hAnsi="Arial"/>
                <w:sz w:val="23"/>
                <w:szCs w:val="23"/>
                <w:b w:val="1"/>
                <w:bCs w:val="1"/>
                <w:color w:val="FFFFFF"/>
                <w:w w:val="97"/>
                <w:vertAlign w:val="superscript"/>
              </w:rPr>
              <w:t>(1)</w:t>
            </w:r>
          </w:p>
        </w:tc>
        <w:tc>
          <w:tcPr>
            <w:tcW w:w="1220" w:type="dxa"/>
            <w:vAlign w:val="bottom"/>
            <w:shd w:val="clear" w:color="auto" w:fill="508BC7"/>
          </w:tcPr>
          <w:p>
            <w:pPr>
              <w:jc w:val="center"/>
              <w:ind w:right="28"/>
              <w:spacing w:after="0"/>
              <w:rPr>
                <w:sz w:val="20"/>
                <w:szCs w:val="20"/>
                <w:color w:val="auto"/>
              </w:rPr>
            </w:pPr>
            <w:r>
              <w:rPr>
                <w:rFonts w:ascii="Arial" w:cs="Arial" w:eastAsia="Arial" w:hAnsi="Arial"/>
                <w:sz w:val="14"/>
                <w:szCs w:val="14"/>
                <w:b w:val="1"/>
                <w:bCs w:val="1"/>
                <w:color w:val="FFFFFF"/>
              </w:rPr>
              <w:t>Unexercisable</w:t>
            </w:r>
          </w:p>
        </w:tc>
        <w:tc>
          <w:tcPr>
            <w:tcW w:w="1120" w:type="dxa"/>
            <w:vAlign w:val="bottom"/>
            <w:shd w:val="clear" w:color="auto" w:fill="508BC7"/>
          </w:tcPr>
          <w:p>
            <w:pPr>
              <w:jc w:val="center"/>
              <w:ind w:right="88"/>
              <w:spacing w:after="0"/>
              <w:rPr>
                <w:sz w:val="20"/>
                <w:szCs w:val="20"/>
                <w:color w:val="auto"/>
              </w:rPr>
            </w:pPr>
            <w:r>
              <w:rPr>
                <w:rFonts w:ascii="Arial" w:cs="Arial" w:eastAsia="Arial" w:hAnsi="Arial"/>
                <w:sz w:val="14"/>
                <w:szCs w:val="14"/>
                <w:b w:val="1"/>
                <w:bCs w:val="1"/>
                <w:color w:val="FFFFFF"/>
              </w:rPr>
              <w:t>Price ($)</w:t>
            </w:r>
          </w:p>
        </w:tc>
        <w:tc>
          <w:tcPr>
            <w:tcW w:w="1160" w:type="dxa"/>
            <w:vAlign w:val="bottom"/>
            <w:shd w:val="clear" w:color="auto" w:fill="508BC7"/>
          </w:tcPr>
          <w:p>
            <w:pPr>
              <w:jc w:val="center"/>
              <w:ind w:right="88"/>
              <w:spacing w:after="0"/>
              <w:rPr>
                <w:sz w:val="20"/>
                <w:szCs w:val="20"/>
                <w:color w:val="auto"/>
              </w:rPr>
            </w:pPr>
            <w:r>
              <w:rPr>
                <w:rFonts w:ascii="Arial" w:cs="Arial" w:eastAsia="Arial" w:hAnsi="Arial"/>
                <w:sz w:val="14"/>
                <w:szCs w:val="14"/>
                <w:b w:val="1"/>
                <w:bCs w:val="1"/>
                <w:color w:val="FFFFFF"/>
              </w:rPr>
              <w:t>Date</w:t>
            </w:r>
          </w:p>
        </w:tc>
        <w:tc>
          <w:tcPr>
            <w:tcW w:w="980" w:type="dxa"/>
            <w:vAlign w:val="bottom"/>
            <w:shd w:val="clear" w:color="auto" w:fill="508BC7"/>
          </w:tcPr>
          <w:p>
            <w:pPr>
              <w:jc w:val="center"/>
              <w:spacing w:after="0" w:line="216"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23"/>
                <w:szCs w:val="23"/>
                <w:b w:val="1"/>
                <w:bCs w:val="1"/>
                <w:color w:val="FFFFFF"/>
                <w:w w:val="94"/>
                <w:vertAlign w:val="superscript"/>
              </w:rPr>
              <w:t>(2)</w:t>
            </w:r>
          </w:p>
        </w:tc>
        <w:tc>
          <w:tcPr>
            <w:tcW w:w="1120" w:type="dxa"/>
            <w:vAlign w:val="bottom"/>
            <w:shd w:val="clear" w:color="auto" w:fill="508BC7"/>
          </w:tcPr>
          <w:p>
            <w:pPr>
              <w:jc w:val="center"/>
              <w:ind w:left="48"/>
              <w:spacing w:after="0" w:line="216"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(4)</w:t>
            </w:r>
          </w:p>
        </w:tc>
        <w:tc>
          <w:tcPr>
            <w:tcW w:w="1180" w:type="dxa"/>
            <w:vAlign w:val="bottom"/>
            <w:shd w:val="clear" w:color="auto" w:fill="508BC7"/>
          </w:tcPr>
          <w:p>
            <w:pPr>
              <w:jc w:val="center"/>
              <w:ind w:left="28"/>
              <w:spacing w:after="0" w:line="216"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(3)</w:t>
            </w:r>
          </w:p>
        </w:tc>
        <w:tc>
          <w:tcPr>
            <w:tcW w:w="1160" w:type="dxa"/>
            <w:vAlign w:val="bottom"/>
            <w:shd w:val="clear" w:color="auto" w:fill="508BC7"/>
          </w:tcPr>
          <w:p>
            <w:pPr>
              <w:jc w:val="center"/>
              <w:spacing w:after="0" w:line="216"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(4)</w:t>
            </w:r>
          </w:p>
        </w:tc>
        <w:tc>
          <w:tcPr>
            <w:tcW w:w="0" w:type="dxa"/>
            <w:vAlign w:val="bottom"/>
          </w:tcPr>
          <w:p>
            <w:pPr>
              <w:spacing w:after="0"/>
              <w:rPr>
                <w:sz w:val="1"/>
                <w:szCs w:val="1"/>
                <w:color w:val="auto"/>
              </w:rPr>
            </w:pPr>
          </w:p>
        </w:tc>
      </w:tr>
      <w:tr>
        <w:trPr>
          <w:trHeight w:val="167"/>
        </w:trPr>
        <w:tc>
          <w:tcPr>
            <w:tcW w:w="1000" w:type="dxa"/>
            <w:vAlign w:val="bottom"/>
          </w:tcPr>
          <w:p>
            <w:pPr>
              <w:spacing w:after="0"/>
              <w:rPr>
                <w:sz w:val="20"/>
                <w:szCs w:val="20"/>
                <w:color w:val="auto"/>
              </w:rPr>
            </w:pPr>
            <w:r>
              <w:rPr>
                <w:rFonts w:ascii="Arial" w:cs="Arial" w:eastAsia="Arial" w:hAnsi="Arial"/>
                <w:sz w:val="14"/>
                <w:szCs w:val="14"/>
                <w:color w:val="auto"/>
              </w:rPr>
              <w:t>Rembert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4/24/2008</w:t>
            </w:r>
          </w:p>
        </w:tc>
        <w:tc>
          <w:tcPr>
            <w:tcW w:w="1320" w:type="dxa"/>
            <w:vAlign w:val="bottom"/>
          </w:tcPr>
          <w:p>
            <w:pPr>
              <w:jc w:val="right"/>
              <w:spacing w:after="0"/>
              <w:rPr>
                <w:sz w:val="20"/>
                <w:szCs w:val="20"/>
                <w:color w:val="auto"/>
              </w:rPr>
            </w:pPr>
            <w:r>
              <w:rPr>
                <w:rFonts w:ascii="Arial" w:cs="Arial" w:eastAsia="Arial" w:hAnsi="Arial"/>
                <w:sz w:val="14"/>
                <w:szCs w:val="14"/>
                <w:color w:val="auto"/>
              </w:rPr>
              <w:t>40,000</w:t>
            </w:r>
          </w:p>
        </w:tc>
        <w:tc>
          <w:tcPr>
            <w:tcW w:w="122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23.82</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4/24/2018</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20"/>
                <w:szCs w:val="20"/>
                <w:color w:val="auto"/>
              </w:rPr>
            </w:pPr>
            <w:r>
              <w:rPr>
                <w:rFonts w:ascii="Arial" w:cs="Arial" w:eastAsia="Arial" w:hAnsi="Arial"/>
                <w:sz w:val="14"/>
                <w:szCs w:val="14"/>
                <w:color w:val="auto"/>
              </w:rPr>
              <w:t>de Villa</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2/10/2009</w:t>
            </w:r>
          </w:p>
        </w:tc>
        <w:tc>
          <w:tcPr>
            <w:tcW w:w="1320" w:type="dxa"/>
            <w:vAlign w:val="bottom"/>
          </w:tcPr>
          <w:p>
            <w:pPr>
              <w:jc w:val="right"/>
              <w:spacing w:after="0"/>
              <w:rPr>
                <w:sz w:val="20"/>
                <w:szCs w:val="20"/>
                <w:color w:val="auto"/>
              </w:rPr>
            </w:pPr>
            <w:r>
              <w:rPr>
                <w:rFonts w:ascii="Arial" w:cs="Arial" w:eastAsia="Arial" w:hAnsi="Arial"/>
                <w:sz w:val="14"/>
                <w:szCs w:val="14"/>
                <w:color w:val="auto"/>
              </w:rPr>
              <w:t>25,000</w:t>
            </w:r>
          </w:p>
        </w:tc>
        <w:tc>
          <w:tcPr>
            <w:tcW w:w="122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8.75</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2/10/2019</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2/3/2011</w:t>
            </w:r>
          </w:p>
        </w:tc>
        <w:tc>
          <w:tcPr>
            <w:tcW w:w="1320" w:type="dxa"/>
            <w:vAlign w:val="bottom"/>
          </w:tcPr>
          <w:p>
            <w:pPr>
              <w:jc w:val="right"/>
              <w:spacing w:after="0"/>
              <w:rPr>
                <w:sz w:val="20"/>
                <w:szCs w:val="20"/>
                <w:color w:val="auto"/>
              </w:rPr>
            </w:pPr>
            <w:r>
              <w:rPr>
                <w:rFonts w:ascii="Arial" w:cs="Arial" w:eastAsia="Arial" w:hAnsi="Arial"/>
                <w:sz w:val="14"/>
                <w:szCs w:val="14"/>
                <w:color w:val="auto"/>
              </w:rPr>
              <w:t>11,050</w:t>
            </w:r>
          </w:p>
        </w:tc>
        <w:tc>
          <w:tcPr>
            <w:tcW w:w="122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19.76</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2/3/2021</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11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2/7/2012</w:t>
            </w:r>
          </w:p>
        </w:tc>
        <w:tc>
          <w:tcPr>
            <w:tcW w:w="1320" w:type="dxa"/>
            <w:vAlign w:val="bottom"/>
          </w:tcPr>
          <w:p>
            <w:pPr>
              <w:jc w:val="right"/>
              <w:spacing w:after="0" w:line="157" w:lineRule="exact"/>
              <w:rPr>
                <w:sz w:val="20"/>
                <w:szCs w:val="20"/>
                <w:color w:val="auto"/>
              </w:rPr>
            </w:pPr>
            <w:r>
              <w:rPr>
                <w:rFonts w:ascii="Arial" w:cs="Arial" w:eastAsia="Arial" w:hAnsi="Arial"/>
                <w:sz w:val="14"/>
                <w:szCs w:val="14"/>
                <w:color w:val="auto"/>
              </w:rPr>
              <w:t>9,750</w:t>
            </w:r>
          </w:p>
        </w:tc>
        <w:tc>
          <w:tcPr>
            <w:tcW w:w="1220" w:type="dxa"/>
            <w:vAlign w:val="bottom"/>
          </w:tcPr>
          <w:p>
            <w:pPr>
              <w:jc w:val="center"/>
              <w:ind w:right="28"/>
              <w:spacing w:after="0" w:line="157"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24.77</w:t>
            </w:r>
          </w:p>
        </w:tc>
        <w:tc>
          <w:tcPr>
            <w:tcW w:w="1160" w:type="dxa"/>
            <w:vAlign w:val="bottom"/>
          </w:tcPr>
          <w:p>
            <w:pPr>
              <w:jc w:val="right"/>
              <w:ind w:right="68"/>
              <w:spacing w:after="0" w:line="157" w:lineRule="exact"/>
              <w:rPr>
                <w:sz w:val="20"/>
                <w:szCs w:val="20"/>
                <w:color w:val="auto"/>
              </w:rPr>
            </w:pPr>
            <w:r>
              <w:rPr>
                <w:rFonts w:ascii="Arial" w:cs="Arial" w:eastAsia="Arial" w:hAnsi="Arial"/>
                <w:sz w:val="14"/>
                <w:szCs w:val="14"/>
                <w:color w:val="auto"/>
              </w:rPr>
              <w:t>2/7/2022</w:t>
            </w: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-1800225</wp:posOffset>
            </wp:positionV>
            <wp:extent cx="58572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-427990</wp:posOffset>
            </wp:positionV>
            <wp:extent cx="71780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40" w:type="dxa"/>
            <w:vAlign w:val="bottom"/>
          </w:tcPr>
          <w:p>
            <w:pPr>
              <w:spacing w:after="0"/>
              <w:rPr>
                <w:sz w:val="15"/>
                <w:szCs w:val="15"/>
                <w:color w:val="auto"/>
              </w:rPr>
            </w:pPr>
          </w:p>
        </w:tc>
        <w:tc>
          <w:tcPr>
            <w:tcW w:w="4700" w:type="dxa"/>
            <w:vAlign w:val="bottom"/>
          </w:tcPr>
          <w:p>
            <w:pPr>
              <w:jc w:val="right"/>
              <w:ind w:right="3628"/>
              <w:spacing w:after="0"/>
              <w:rPr>
                <w:sz w:val="20"/>
                <w:szCs w:val="20"/>
                <w:color w:val="auto"/>
              </w:rPr>
            </w:pPr>
            <w:r>
              <w:rPr>
                <w:rFonts w:ascii="Arial" w:cs="Arial" w:eastAsia="Arial" w:hAnsi="Arial"/>
                <w:sz w:val="14"/>
                <w:szCs w:val="14"/>
                <w:color w:val="auto"/>
              </w:rPr>
              <w:t>2/8/2013</w:t>
            </w:r>
          </w:p>
        </w:tc>
        <w:tc>
          <w:tcPr>
            <w:tcW w:w="2540" w:type="dxa"/>
            <w:vAlign w:val="bottom"/>
          </w:tcPr>
          <w:p>
            <w:pPr>
              <w:jc w:val="right"/>
              <w:ind w:right="253"/>
              <w:spacing w:after="0" w:line="175" w:lineRule="exact"/>
              <w:rPr>
                <w:sz w:val="20"/>
                <w:szCs w:val="20"/>
                <w:color w:val="auto"/>
              </w:rPr>
            </w:pPr>
            <w:r>
              <w:rPr>
                <w:rFonts w:ascii="Arial" w:cs="Arial" w:eastAsia="Arial" w:hAnsi="Arial"/>
                <w:sz w:val="13"/>
                <w:szCs w:val="13"/>
                <w:color w:val="auto"/>
              </w:rPr>
              <w:t>3,600</w:t>
            </w:r>
            <w:r>
              <w:rPr>
                <w:rFonts w:ascii="Arial" w:cs="Arial" w:eastAsia="Arial" w:hAnsi="Arial"/>
                <w:sz w:val="20"/>
                <w:szCs w:val="20"/>
                <w:b w:val="1"/>
                <w:bCs w:val="1"/>
                <w:color w:val="auto"/>
                <w:vertAlign w:val="superscript"/>
              </w:rPr>
              <w:t>(d)</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181,584</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4700" w:type="dxa"/>
            <w:vAlign w:val="bottom"/>
          </w:tcPr>
          <w:p>
            <w:pPr>
              <w:jc w:val="right"/>
              <w:ind w:right="3628"/>
              <w:spacing w:after="0"/>
              <w:rPr>
                <w:sz w:val="20"/>
                <w:szCs w:val="20"/>
                <w:color w:val="auto"/>
              </w:rPr>
            </w:pPr>
            <w:r>
              <w:rPr>
                <w:rFonts w:ascii="Arial" w:cs="Arial" w:eastAsia="Arial" w:hAnsi="Arial"/>
                <w:sz w:val="14"/>
                <w:szCs w:val="14"/>
                <w:color w:val="auto"/>
              </w:rPr>
              <w:t>2/13/2014</w:t>
            </w:r>
          </w:p>
        </w:tc>
        <w:tc>
          <w:tcPr>
            <w:tcW w:w="2540" w:type="dxa"/>
            <w:vAlign w:val="bottom"/>
          </w:tcPr>
          <w:p>
            <w:pPr>
              <w:jc w:val="right"/>
              <w:ind w:right="253"/>
              <w:spacing w:after="0" w:line="189" w:lineRule="exact"/>
              <w:rPr>
                <w:sz w:val="20"/>
                <w:szCs w:val="20"/>
                <w:color w:val="auto"/>
              </w:rPr>
            </w:pPr>
            <w:r>
              <w:rPr>
                <w:rFonts w:ascii="Arial" w:cs="Arial" w:eastAsia="Arial" w:hAnsi="Arial"/>
                <w:sz w:val="13"/>
                <w:szCs w:val="13"/>
                <w:color w:val="auto"/>
              </w:rPr>
              <w:t>3,500</w:t>
            </w:r>
            <w:r>
              <w:rPr>
                <w:rFonts w:ascii="Arial" w:cs="Arial" w:eastAsia="Arial" w:hAnsi="Arial"/>
                <w:sz w:val="21"/>
                <w:szCs w:val="21"/>
                <w:b w:val="1"/>
                <w:bCs w:val="1"/>
                <w:color w:val="auto"/>
                <w:vertAlign w:val="superscript"/>
              </w:rPr>
              <w:t>(d)</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176,540</w:t>
            </w: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4700" w:type="dxa"/>
            <w:vAlign w:val="bottom"/>
          </w:tcPr>
          <w:p>
            <w:pPr>
              <w:jc w:val="right"/>
              <w:ind w:right="3628"/>
              <w:spacing w:after="0"/>
              <w:rPr>
                <w:sz w:val="20"/>
                <w:szCs w:val="20"/>
                <w:color w:val="auto"/>
              </w:rPr>
            </w:pPr>
            <w:r>
              <w:rPr>
                <w:rFonts w:ascii="Arial" w:cs="Arial" w:eastAsia="Arial" w:hAnsi="Arial"/>
                <w:sz w:val="14"/>
                <w:szCs w:val="14"/>
                <w:color w:val="auto"/>
              </w:rPr>
              <w:t>2/13/2014</w:t>
            </w:r>
          </w:p>
        </w:tc>
        <w:tc>
          <w:tcPr>
            <w:tcW w:w="2540" w:type="dxa"/>
            <w:vAlign w:val="bottom"/>
          </w:tcPr>
          <w:p>
            <w:pPr>
              <w:jc w:val="right"/>
              <w:ind w:right="253"/>
              <w:spacing w:after="0" w:line="189" w:lineRule="exact"/>
              <w:rPr>
                <w:sz w:val="20"/>
                <w:szCs w:val="20"/>
                <w:color w:val="auto"/>
              </w:rPr>
            </w:pPr>
            <w:r>
              <w:rPr>
                <w:rFonts w:ascii="Arial" w:cs="Arial" w:eastAsia="Arial" w:hAnsi="Arial"/>
                <w:sz w:val="13"/>
                <w:szCs w:val="13"/>
                <w:color w:val="auto"/>
              </w:rPr>
              <w:t>734</w:t>
            </w:r>
            <w:r>
              <w:rPr>
                <w:rFonts w:ascii="Arial" w:cs="Arial" w:eastAsia="Arial" w:hAnsi="Arial"/>
                <w:sz w:val="21"/>
                <w:szCs w:val="21"/>
                <w:b w:val="1"/>
                <w:bCs w:val="1"/>
                <w:color w:val="auto"/>
                <w:vertAlign w:val="superscript"/>
              </w:rPr>
              <w:t>(b)</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37,023</w:t>
            </w: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4700" w:type="dxa"/>
            <w:vAlign w:val="bottom"/>
          </w:tcPr>
          <w:p>
            <w:pPr>
              <w:jc w:val="right"/>
              <w:ind w:right="3628"/>
              <w:spacing w:after="0"/>
              <w:rPr>
                <w:sz w:val="20"/>
                <w:szCs w:val="20"/>
                <w:color w:val="auto"/>
              </w:rPr>
            </w:pPr>
            <w:r>
              <w:rPr>
                <w:rFonts w:ascii="Arial" w:cs="Arial" w:eastAsia="Arial" w:hAnsi="Arial"/>
                <w:sz w:val="14"/>
                <w:szCs w:val="14"/>
                <w:color w:val="auto"/>
              </w:rPr>
              <w:t>2/26/2015</w:t>
            </w:r>
          </w:p>
        </w:tc>
        <w:tc>
          <w:tcPr>
            <w:tcW w:w="2540" w:type="dxa"/>
            <w:vAlign w:val="bottom"/>
          </w:tcPr>
          <w:p>
            <w:pPr>
              <w:jc w:val="right"/>
              <w:ind w:right="253"/>
              <w:spacing w:after="0" w:line="189" w:lineRule="exact"/>
              <w:rPr>
                <w:sz w:val="20"/>
                <w:szCs w:val="20"/>
                <w:color w:val="auto"/>
              </w:rPr>
            </w:pPr>
            <w:r>
              <w:rPr>
                <w:rFonts w:ascii="Arial" w:cs="Arial" w:eastAsia="Arial" w:hAnsi="Arial"/>
                <w:sz w:val="13"/>
                <w:szCs w:val="13"/>
                <w:color w:val="auto"/>
              </w:rPr>
              <w:t>5,400</w:t>
            </w:r>
            <w:r>
              <w:rPr>
                <w:rFonts w:ascii="Arial" w:cs="Arial" w:eastAsia="Arial" w:hAnsi="Arial"/>
                <w:sz w:val="21"/>
                <w:szCs w:val="21"/>
                <w:b w:val="1"/>
                <w:bCs w:val="1"/>
                <w:color w:val="auto"/>
                <w:vertAlign w:val="superscript"/>
              </w:rPr>
              <w:t>(d)</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272,376</w:t>
            </w: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4700" w:type="dxa"/>
            <w:vAlign w:val="bottom"/>
          </w:tcPr>
          <w:p>
            <w:pPr>
              <w:jc w:val="right"/>
              <w:ind w:right="3628"/>
              <w:spacing w:after="0"/>
              <w:rPr>
                <w:sz w:val="20"/>
                <w:szCs w:val="20"/>
                <w:color w:val="auto"/>
              </w:rPr>
            </w:pPr>
            <w:r>
              <w:rPr>
                <w:rFonts w:ascii="Arial" w:cs="Arial" w:eastAsia="Arial" w:hAnsi="Arial"/>
                <w:sz w:val="14"/>
                <w:szCs w:val="14"/>
                <w:color w:val="auto"/>
              </w:rPr>
              <w:t>2/26/2015</w:t>
            </w:r>
          </w:p>
        </w:tc>
        <w:tc>
          <w:tcPr>
            <w:tcW w:w="2540" w:type="dxa"/>
            <w:vAlign w:val="bottom"/>
          </w:tcPr>
          <w:p>
            <w:pPr>
              <w:jc w:val="right"/>
              <w:ind w:right="253"/>
              <w:spacing w:after="0" w:line="189" w:lineRule="exact"/>
              <w:rPr>
                <w:sz w:val="20"/>
                <w:szCs w:val="20"/>
                <w:color w:val="auto"/>
              </w:rPr>
            </w:pPr>
            <w:r>
              <w:rPr>
                <w:rFonts w:ascii="Arial" w:cs="Arial" w:eastAsia="Arial" w:hAnsi="Arial"/>
                <w:sz w:val="13"/>
                <w:szCs w:val="13"/>
                <w:color w:val="auto"/>
              </w:rPr>
              <w:t>1,999</w:t>
            </w:r>
            <w:r>
              <w:rPr>
                <w:rFonts w:ascii="Arial" w:cs="Arial" w:eastAsia="Arial" w:hAnsi="Arial"/>
                <w:sz w:val="21"/>
                <w:szCs w:val="21"/>
                <w:b w:val="1"/>
                <w:bCs w:val="1"/>
                <w:color w:val="auto"/>
                <w:vertAlign w:val="superscript"/>
              </w:rPr>
              <w:t>(c)</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100,830</w:t>
            </w:r>
          </w:p>
        </w:tc>
        <w:tc>
          <w:tcPr>
            <w:tcW w:w="1140" w:type="dxa"/>
            <w:vAlign w:val="bottom"/>
          </w:tcPr>
          <w:p>
            <w:pPr>
              <w:jc w:val="right"/>
              <w:ind w:right="229"/>
              <w:spacing w:after="0" w:line="189" w:lineRule="exact"/>
              <w:rPr>
                <w:sz w:val="20"/>
                <w:szCs w:val="20"/>
                <w:color w:val="auto"/>
              </w:rPr>
            </w:pPr>
            <w:r>
              <w:rPr>
                <w:rFonts w:ascii="Arial" w:cs="Arial" w:eastAsia="Arial" w:hAnsi="Arial"/>
                <w:sz w:val="13"/>
                <w:szCs w:val="13"/>
                <w:color w:val="auto"/>
              </w:rPr>
              <w:t>2,002</w:t>
            </w:r>
            <w:r>
              <w:rPr>
                <w:rFonts w:ascii="Arial" w:cs="Arial" w:eastAsia="Arial" w:hAnsi="Arial"/>
                <w:sz w:val="21"/>
                <w:szCs w:val="21"/>
                <w:b w:val="1"/>
                <w:bCs w:val="1"/>
                <w:color w:val="auto"/>
                <w:vertAlign w:val="superscript"/>
              </w:rPr>
              <w:t>(e)</w:t>
            </w:r>
          </w:p>
        </w:tc>
        <w:tc>
          <w:tcPr>
            <w:tcW w:w="880" w:type="dxa"/>
            <w:vAlign w:val="bottom"/>
          </w:tcPr>
          <w:p>
            <w:pPr>
              <w:jc w:val="right"/>
              <w:spacing w:after="0"/>
              <w:rPr>
                <w:sz w:val="20"/>
                <w:szCs w:val="20"/>
                <w:color w:val="auto"/>
              </w:rPr>
            </w:pPr>
            <w:r>
              <w:rPr>
                <w:rFonts w:ascii="Arial" w:cs="Arial" w:eastAsia="Arial" w:hAnsi="Arial"/>
                <w:sz w:val="14"/>
                <w:szCs w:val="14"/>
                <w:color w:val="auto"/>
              </w:rPr>
              <w:t>100,981</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700" w:type="dxa"/>
            <w:vAlign w:val="bottom"/>
          </w:tcPr>
          <w:p>
            <w:pPr>
              <w:jc w:val="right"/>
              <w:ind w:right="3628"/>
              <w:spacing w:after="0"/>
              <w:rPr>
                <w:sz w:val="20"/>
                <w:szCs w:val="20"/>
                <w:color w:val="auto"/>
              </w:rPr>
            </w:pPr>
            <w:r>
              <w:rPr>
                <w:rFonts w:ascii="Arial" w:cs="Arial" w:eastAsia="Arial" w:hAnsi="Arial"/>
                <w:sz w:val="14"/>
                <w:szCs w:val="14"/>
                <w:color w:val="auto"/>
              </w:rPr>
              <w:t>2/26/2015</w:t>
            </w:r>
          </w:p>
        </w:tc>
        <w:tc>
          <w:tcPr>
            <w:tcW w:w="2540" w:type="dxa"/>
            <w:vAlign w:val="bottom"/>
            <w:vMerge w:val="restart"/>
          </w:tcPr>
          <w:p>
            <w:pPr>
              <w:jc w:val="right"/>
              <w:ind w:right="253"/>
              <w:spacing w:after="0"/>
              <w:rPr>
                <w:sz w:val="20"/>
                <w:szCs w:val="20"/>
                <w:color w:val="auto"/>
              </w:rPr>
            </w:pPr>
            <w:r>
              <w:rPr>
                <w:rFonts w:ascii="Arial" w:cs="Arial" w:eastAsia="Arial" w:hAnsi="Arial"/>
                <w:sz w:val="14"/>
                <w:szCs w:val="14"/>
                <w:color w:val="auto"/>
              </w:rPr>
              <w:t>6,000</w:t>
            </w:r>
            <w:r>
              <w:rPr>
                <w:rFonts w:ascii="Arial" w:cs="Arial" w:eastAsia="Arial" w:hAnsi="Arial"/>
                <w:sz w:val="23"/>
                <w:szCs w:val="23"/>
                <w:b w:val="1"/>
                <w:bCs w:val="1"/>
                <w:color w:val="auto"/>
                <w:vertAlign w:val="superscript"/>
              </w:rPr>
              <w:t>(a)</w:t>
            </w:r>
          </w:p>
        </w:tc>
        <w:tc>
          <w:tcPr>
            <w:tcW w:w="1120" w:type="dxa"/>
            <w:vAlign w:val="bottom"/>
          </w:tcPr>
          <w:p>
            <w:pPr>
              <w:spacing w:after="0"/>
              <w:rPr>
                <w:sz w:val="18"/>
                <w:szCs w:val="18"/>
                <w:color w:val="auto"/>
              </w:rPr>
            </w:pPr>
          </w:p>
        </w:tc>
        <w:tc>
          <w:tcPr>
            <w:tcW w:w="1140" w:type="dxa"/>
            <w:vAlign w:val="bottom"/>
          </w:tcPr>
          <w:p>
            <w:pPr>
              <w:jc w:val="right"/>
              <w:ind w:right="229"/>
              <w:spacing w:after="0" w:line="209" w:lineRule="exact"/>
              <w:rPr>
                <w:sz w:val="20"/>
                <w:szCs w:val="20"/>
                <w:color w:val="auto"/>
              </w:rPr>
            </w:pPr>
            <w:r>
              <w:rPr>
                <w:rFonts w:ascii="Arial" w:cs="Arial" w:eastAsia="Arial" w:hAnsi="Arial"/>
                <w:sz w:val="14"/>
                <w:szCs w:val="14"/>
                <w:color w:val="auto"/>
              </w:rPr>
              <w:t>6,000</w:t>
            </w:r>
            <w:r>
              <w:rPr>
                <w:rFonts w:ascii="Arial" w:cs="Arial" w:eastAsia="Arial" w:hAnsi="Arial"/>
                <w:sz w:val="23"/>
                <w:szCs w:val="23"/>
                <w:b w:val="1"/>
                <w:bCs w:val="1"/>
                <w:color w:val="auto"/>
                <w:vertAlign w:val="superscript"/>
              </w:rPr>
              <w:t>(f)</w:t>
            </w:r>
          </w:p>
        </w:tc>
        <w:tc>
          <w:tcPr>
            <w:tcW w:w="880" w:type="dxa"/>
            <w:vAlign w:val="bottom"/>
          </w:tcPr>
          <w:p>
            <w:pPr>
              <w:jc w:val="right"/>
              <w:spacing w:after="0"/>
              <w:rPr>
                <w:sz w:val="20"/>
                <w:szCs w:val="20"/>
                <w:color w:val="auto"/>
              </w:rPr>
            </w:pPr>
            <w:r>
              <w:rPr>
                <w:rFonts w:ascii="Arial" w:cs="Arial" w:eastAsia="Arial" w:hAnsi="Arial"/>
                <w:sz w:val="14"/>
                <w:szCs w:val="14"/>
                <w:color w:val="auto"/>
              </w:rPr>
              <w:t>302,640</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4700" w:type="dxa"/>
            <w:vAlign w:val="bottom"/>
          </w:tcPr>
          <w:p>
            <w:pPr>
              <w:jc w:val="right"/>
              <w:ind w:right="3628"/>
              <w:spacing w:after="0"/>
              <w:rPr>
                <w:sz w:val="20"/>
                <w:szCs w:val="20"/>
                <w:color w:val="auto"/>
              </w:rPr>
            </w:pPr>
            <w:r>
              <w:rPr>
                <w:rFonts w:ascii="Arial" w:cs="Arial" w:eastAsia="Arial" w:hAnsi="Arial"/>
                <w:sz w:val="14"/>
                <w:szCs w:val="14"/>
                <w:color w:val="auto"/>
              </w:rPr>
              <w:t>2/24/2016</w:t>
            </w:r>
          </w:p>
        </w:tc>
        <w:tc>
          <w:tcPr>
            <w:tcW w:w="2540" w:type="dxa"/>
            <w:vAlign w:val="bottom"/>
            <w:vMerge w:val="continue"/>
          </w:tcPr>
          <w:p>
            <w:pPr>
              <w:spacing w:after="0"/>
              <w:rPr>
                <w:sz w:val="16"/>
                <w:szCs w:val="16"/>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302,640</w:t>
            </w:r>
          </w:p>
        </w:tc>
        <w:tc>
          <w:tcPr>
            <w:tcW w:w="1140" w:type="dxa"/>
            <w:vAlign w:val="bottom"/>
            <w:vMerge w:val="restart"/>
          </w:tcPr>
          <w:p>
            <w:pPr>
              <w:jc w:val="right"/>
              <w:ind w:right="229"/>
              <w:spacing w:after="0"/>
              <w:rPr>
                <w:sz w:val="20"/>
                <w:szCs w:val="20"/>
                <w:color w:val="auto"/>
              </w:rPr>
            </w:pPr>
            <w:r>
              <w:rPr>
                <w:rFonts w:ascii="Arial" w:cs="Arial" w:eastAsia="Arial" w:hAnsi="Arial"/>
                <w:sz w:val="14"/>
                <w:szCs w:val="14"/>
                <w:color w:val="auto"/>
              </w:rPr>
              <w:t>3,000</w:t>
            </w:r>
            <w:r>
              <w:rPr>
                <w:rFonts w:ascii="Arial" w:cs="Arial" w:eastAsia="Arial" w:hAnsi="Arial"/>
                <w:sz w:val="23"/>
                <w:szCs w:val="23"/>
                <w:b w:val="1"/>
                <w:bCs w:val="1"/>
                <w:color w:val="auto"/>
                <w:vertAlign w:val="superscript"/>
              </w:rPr>
              <w:t>(h)</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4700" w:type="dxa"/>
            <w:vAlign w:val="bottom"/>
          </w:tcPr>
          <w:p>
            <w:pPr>
              <w:jc w:val="right"/>
              <w:ind w:right="3628"/>
              <w:spacing w:after="0"/>
              <w:rPr>
                <w:sz w:val="20"/>
                <w:szCs w:val="20"/>
                <w:color w:val="auto"/>
              </w:rPr>
            </w:pPr>
            <w:r>
              <w:rPr>
                <w:rFonts w:ascii="Arial" w:cs="Arial" w:eastAsia="Arial" w:hAnsi="Arial"/>
                <w:sz w:val="14"/>
                <w:szCs w:val="14"/>
                <w:color w:val="auto"/>
              </w:rPr>
              <w:t>2/24/2016</w:t>
            </w:r>
          </w:p>
        </w:tc>
        <w:tc>
          <w:tcPr>
            <w:tcW w:w="2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151,320</w:t>
            </w:r>
          </w:p>
        </w:tc>
        <w:tc>
          <w:tcPr>
            <w:tcW w:w="0" w:type="dxa"/>
            <w:vAlign w:val="bottom"/>
          </w:tcPr>
          <w:p>
            <w:pPr>
              <w:spacing w:after="0"/>
              <w:rPr>
                <w:sz w:val="1"/>
                <w:szCs w:val="1"/>
                <w:color w:val="auto"/>
              </w:rPr>
            </w:pPr>
          </w:p>
        </w:tc>
      </w:tr>
      <w:tr>
        <w:trPr>
          <w:trHeight w:val="204"/>
        </w:trPr>
        <w:tc>
          <w:tcPr>
            <w:tcW w:w="1040" w:type="dxa"/>
            <w:vAlign w:val="bottom"/>
          </w:tcPr>
          <w:p>
            <w:pPr>
              <w:spacing w:after="0"/>
              <w:rPr>
                <w:sz w:val="17"/>
                <w:szCs w:val="17"/>
                <w:color w:val="auto"/>
              </w:rPr>
            </w:pPr>
          </w:p>
        </w:tc>
        <w:tc>
          <w:tcPr>
            <w:tcW w:w="4700" w:type="dxa"/>
            <w:vAlign w:val="bottom"/>
          </w:tcPr>
          <w:p>
            <w:pPr>
              <w:jc w:val="right"/>
              <w:ind w:right="3628"/>
              <w:spacing w:after="0"/>
              <w:rPr>
                <w:sz w:val="20"/>
                <w:szCs w:val="20"/>
                <w:color w:val="auto"/>
              </w:rPr>
            </w:pPr>
            <w:r>
              <w:rPr>
                <w:rFonts w:ascii="Arial" w:cs="Arial" w:eastAsia="Arial" w:hAnsi="Arial"/>
                <w:sz w:val="14"/>
                <w:szCs w:val="14"/>
                <w:color w:val="auto"/>
              </w:rPr>
              <w:t>2/24/2016</w:t>
            </w:r>
          </w:p>
        </w:tc>
        <w:tc>
          <w:tcPr>
            <w:tcW w:w="2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jc w:val="right"/>
              <w:ind w:right="229"/>
              <w:spacing w:after="0" w:line="203" w:lineRule="exact"/>
              <w:rPr>
                <w:sz w:val="20"/>
                <w:szCs w:val="20"/>
                <w:color w:val="auto"/>
              </w:rPr>
            </w:pPr>
            <w:r>
              <w:rPr>
                <w:rFonts w:ascii="Arial" w:cs="Arial" w:eastAsia="Arial" w:hAnsi="Arial"/>
                <w:sz w:val="14"/>
                <w:szCs w:val="14"/>
                <w:color w:val="auto"/>
              </w:rPr>
              <w:t>3,000</w:t>
            </w:r>
            <w:r>
              <w:rPr>
                <w:rFonts w:ascii="Arial" w:cs="Arial" w:eastAsia="Arial" w:hAnsi="Arial"/>
                <w:sz w:val="23"/>
                <w:szCs w:val="23"/>
                <w:b w:val="1"/>
                <w:bCs w:val="1"/>
                <w:color w:val="auto"/>
                <w:vertAlign w:val="superscript"/>
              </w:rPr>
              <w:t>(h)</w:t>
            </w:r>
          </w:p>
        </w:tc>
        <w:tc>
          <w:tcPr>
            <w:tcW w:w="880" w:type="dxa"/>
            <w:vAlign w:val="bottom"/>
          </w:tcPr>
          <w:p>
            <w:pPr>
              <w:jc w:val="right"/>
              <w:spacing w:after="0"/>
              <w:rPr>
                <w:sz w:val="20"/>
                <w:szCs w:val="20"/>
                <w:color w:val="auto"/>
              </w:rPr>
            </w:pPr>
            <w:r>
              <w:rPr>
                <w:rFonts w:ascii="Arial" w:cs="Arial" w:eastAsia="Arial" w:hAnsi="Arial"/>
                <w:sz w:val="14"/>
                <w:szCs w:val="14"/>
                <w:color w:val="auto"/>
              </w:rPr>
              <w:t>151,320</w:t>
            </w:r>
          </w:p>
        </w:tc>
        <w:tc>
          <w:tcPr>
            <w:tcW w:w="0" w:type="dxa"/>
            <w:vAlign w:val="bottom"/>
          </w:tcPr>
          <w:p>
            <w:pPr>
              <w:spacing w:after="0"/>
              <w:rPr>
                <w:sz w:val="1"/>
                <w:szCs w:val="1"/>
                <w:color w:val="auto"/>
              </w:rPr>
            </w:pPr>
          </w:p>
        </w:tc>
      </w:tr>
      <w:tr>
        <w:trPr>
          <w:trHeight w:val="175"/>
        </w:trPr>
        <w:tc>
          <w:tcPr>
            <w:tcW w:w="1040" w:type="dxa"/>
            <w:vAlign w:val="bottom"/>
            <w:shd w:val="clear" w:color="auto" w:fill="D0E0F0"/>
          </w:tcPr>
          <w:p>
            <w:pPr>
              <w:spacing w:after="0"/>
              <w:rPr>
                <w:sz w:val="20"/>
                <w:szCs w:val="20"/>
                <w:color w:val="auto"/>
              </w:rPr>
            </w:pPr>
            <w:r>
              <w:rPr>
                <w:rFonts w:ascii="Arial" w:cs="Arial" w:eastAsia="Arial" w:hAnsi="Arial"/>
                <w:sz w:val="14"/>
                <w:szCs w:val="14"/>
                <w:color w:val="auto"/>
              </w:rPr>
              <w:t>Nalin</w:t>
            </w:r>
          </w:p>
        </w:tc>
        <w:tc>
          <w:tcPr>
            <w:tcW w:w="4700" w:type="dxa"/>
            <w:vAlign w:val="bottom"/>
            <w:shd w:val="clear" w:color="auto" w:fill="D0E0F0"/>
          </w:tcPr>
          <w:p>
            <w:pPr>
              <w:jc w:val="right"/>
              <w:ind w:right="3628"/>
              <w:spacing w:after="0"/>
              <w:rPr>
                <w:sz w:val="20"/>
                <w:szCs w:val="20"/>
                <w:color w:val="auto"/>
              </w:rPr>
            </w:pPr>
            <w:r>
              <w:rPr>
                <w:rFonts w:ascii="Arial" w:cs="Arial" w:eastAsia="Arial" w:hAnsi="Arial"/>
                <w:sz w:val="14"/>
                <w:szCs w:val="14"/>
                <w:color w:val="auto"/>
              </w:rPr>
              <w:t>12/4/2014</w:t>
            </w:r>
          </w:p>
        </w:tc>
        <w:tc>
          <w:tcPr>
            <w:tcW w:w="2540" w:type="dxa"/>
            <w:vAlign w:val="bottom"/>
            <w:shd w:val="clear" w:color="auto" w:fill="D0E0F0"/>
          </w:tcPr>
          <w:p>
            <w:pPr>
              <w:jc w:val="right"/>
              <w:ind w:right="253"/>
              <w:spacing w:after="0" w:line="175" w:lineRule="exact"/>
              <w:rPr>
                <w:sz w:val="20"/>
                <w:szCs w:val="20"/>
                <w:color w:val="auto"/>
              </w:rPr>
            </w:pPr>
            <w:r>
              <w:rPr>
                <w:rFonts w:ascii="Arial" w:cs="Arial" w:eastAsia="Arial" w:hAnsi="Arial"/>
                <w:sz w:val="13"/>
                <w:szCs w:val="13"/>
                <w:color w:val="auto"/>
              </w:rPr>
              <w:t>14,000</w:t>
            </w:r>
            <w:r>
              <w:rPr>
                <w:rFonts w:ascii="Arial" w:cs="Arial" w:eastAsia="Arial" w:hAnsi="Arial"/>
                <w:sz w:val="20"/>
                <w:szCs w:val="20"/>
                <w:b w:val="1"/>
                <w:bCs w:val="1"/>
                <w:color w:val="auto"/>
                <w:vertAlign w:val="superscript"/>
              </w:rPr>
              <w:t>(d)</w:t>
            </w:r>
          </w:p>
        </w:tc>
        <w:tc>
          <w:tcPr>
            <w:tcW w:w="1120" w:type="dxa"/>
            <w:vAlign w:val="bottom"/>
            <w:shd w:val="clear" w:color="auto" w:fill="D0E0F0"/>
          </w:tcPr>
          <w:p>
            <w:pPr>
              <w:jc w:val="right"/>
              <w:ind w:right="228"/>
              <w:spacing w:after="0"/>
              <w:rPr>
                <w:sz w:val="20"/>
                <w:szCs w:val="20"/>
                <w:color w:val="auto"/>
              </w:rPr>
            </w:pPr>
            <w:r>
              <w:rPr>
                <w:rFonts w:ascii="Arial" w:cs="Arial" w:eastAsia="Arial" w:hAnsi="Arial"/>
                <w:sz w:val="14"/>
                <w:szCs w:val="14"/>
                <w:color w:val="auto"/>
              </w:rPr>
              <w:t>706,160</w:t>
            </w:r>
          </w:p>
        </w:tc>
        <w:tc>
          <w:tcPr>
            <w:tcW w:w="1140" w:type="dxa"/>
            <w:vAlign w:val="bottom"/>
            <w:shd w:val="clear" w:color="auto" w:fill="D0E0F0"/>
          </w:tcPr>
          <w:p>
            <w:pPr>
              <w:spacing w:after="0"/>
              <w:rPr>
                <w:sz w:val="15"/>
                <w:szCs w:val="15"/>
                <w:color w:val="auto"/>
              </w:rPr>
            </w:pPr>
          </w:p>
        </w:tc>
        <w:tc>
          <w:tcPr>
            <w:tcW w:w="880" w:type="dxa"/>
            <w:vAlign w:val="bottom"/>
            <w:shd w:val="clear" w:color="auto" w:fill="D0E0F0"/>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D0E0F0"/>
          </w:tcPr>
          <w:p>
            <w:pPr>
              <w:spacing w:after="0"/>
              <w:rPr>
                <w:sz w:val="20"/>
                <w:szCs w:val="20"/>
                <w:color w:val="auto"/>
              </w:rPr>
            </w:pPr>
            <w:r>
              <w:rPr>
                <w:rFonts w:ascii="Arial" w:cs="Arial" w:eastAsia="Arial" w:hAnsi="Arial"/>
                <w:sz w:val="14"/>
                <w:szCs w:val="14"/>
                <w:color w:val="auto"/>
              </w:rPr>
              <w:t>Miglani</w:t>
            </w:r>
          </w:p>
        </w:tc>
        <w:tc>
          <w:tcPr>
            <w:tcW w:w="4700" w:type="dxa"/>
            <w:vAlign w:val="bottom"/>
            <w:shd w:val="clear" w:color="auto" w:fill="D0E0F0"/>
          </w:tcPr>
          <w:p>
            <w:pPr>
              <w:jc w:val="right"/>
              <w:ind w:right="3628"/>
              <w:spacing w:after="0"/>
              <w:rPr>
                <w:sz w:val="20"/>
                <w:szCs w:val="20"/>
                <w:color w:val="auto"/>
              </w:rPr>
            </w:pPr>
            <w:r>
              <w:rPr>
                <w:rFonts w:ascii="Arial" w:cs="Arial" w:eastAsia="Arial" w:hAnsi="Arial"/>
                <w:sz w:val="14"/>
                <w:szCs w:val="14"/>
                <w:color w:val="auto"/>
              </w:rPr>
              <w:t>2/26/2015</w:t>
            </w:r>
          </w:p>
        </w:tc>
        <w:tc>
          <w:tcPr>
            <w:tcW w:w="2540" w:type="dxa"/>
            <w:vAlign w:val="bottom"/>
            <w:shd w:val="clear" w:color="auto" w:fill="D0E0F0"/>
          </w:tcPr>
          <w:p>
            <w:pPr>
              <w:jc w:val="right"/>
              <w:ind w:right="253"/>
              <w:spacing w:after="0" w:line="189" w:lineRule="exact"/>
              <w:rPr>
                <w:sz w:val="20"/>
                <w:szCs w:val="20"/>
                <w:color w:val="auto"/>
              </w:rPr>
            </w:pPr>
            <w:r>
              <w:rPr>
                <w:rFonts w:ascii="Arial" w:cs="Arial" w:eastAsia="Arial" w:hAnsi="Arial"/>
                <w:sz w:val="13"/>
                <w:szCs w:val="13"/>
                <w:color w:val="auto"/>
              </w:rPr>
              <w:t>5,400</w:t>
            </w:r>
            <w:r>
              <w:rPr>
                <w:rFonts w:ascii="Arial" w:cs="Arial" w:eastAsia="Arial" w:hAnsi="Arial"/>
                <w:sz w:val="21"/>
                <w:szCs w:val="21"/>
                <w:b w:val="1"/>
                <w:bCs w:val="1"/>
                <w:color w:val="auto"/>
                <w:vertAlign w:val="superscript"/>
              </w:rPr>
              <w:t>(d)</w:t>
            </w:r>
          </w:p>
        </w:tc>
        <w:tc>
          <w:tcPr>
            <w:tcW w:w="1120" w:type="dxa"/>
            <w:vAlign w:val="bottom"/>
            <w:shd w:val="clear" w:color="auto" w:fill="D0E0F0"/>
          </w:tcPr>
          <w:p>
            <w:pPr>
              <w:jc w:val="right"/>
              <w:ind w:right="228"/>
              <w:spacing w:after="0"/>
              <w:rPr>
                <w:sz w:val="20"/>
                <w:szCs w:val="20"/>
                <w:color w:val="auto"/>
              </w:rPr>
            </w:pPr>
            <w:r>
              <w:rPr>
                <w:rFonts w:ascii="Arial" w:cs="Arial" w:eastAsia="Arial" w:hAnsi="Arial"/>
                <w:sz w:val="14"/>
                <w:szCs w:val="14"/>
                <w:color w:val="auto"/>
              </w:rPr>
              <w:t>272,376</w:t>
            </w:r>
          </w:p>
        </w:tc>
        <w:tc>
          <w:tcPr>
            <w:tcW w:w="1140" w:type="dxa"/>
            <w:vAlign w:val="bottom"/>
            <w:shd w:val="clear" w:color="auto" w:fill="D0E0F0"/>
          </w:tcPr>
          <w:p>
            <w:pPr>
              <w:spacing w:after="0"/>
              <w:rPr>
                <w:sz w:val="16"/>
                <w:szCs w:val="16"/>
                <w:color w:val="auto"/>
              </w:rPr>
            </w:pPr>
          </w:p>
        </w:tc>
        <w:tc>
          <w:tcPr>
            <w:tcW w:w="880" w:type="dxa"/>
            <w:vAlign w:val="bottom"/>
            <w:shd w:val="clear" w:color="auto" w:fill="D0E0F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D0E0F0"/>
          </w:tcPr>
          <w:p>
            <w:pPr>
              <w:spacing w:after="0"/>
              <w:rPr>
                <w:sz w:val="16"/>
                <w:szCs w:val="16"/>
                <w:color w:val="auto"/>
              </w:rPr>
            </w:pPr>
          </w:p>
        </w:tc>
        <w:tc>
          <w:tcPr>
            <w:tcW w:w="4700" w:type="dxa"/>
            <w:vAlign w:val="bottom"/>
            <w:shd w:val="clear" w:color="auto" w:fill="D0E0F0"/>
          </w:tcPr>
          <w:p>
            <w:pPr>
              <w:jc w:val="right"/>
              <w:ind w:right="3628"/>
              <w:spacing w:after="0"/>
              <w:rPr>
                <w:sz w:val="20"/>
                <w:szCs w:val="20"/>
                <w:color w:val="auto"/>
              </w:rPr>
            </w:pPr>
            <w:r>
              <w:rPr>
                <w:rFonts w:ascii="Arial" w:cs="Arial" w:eastAsia="Arial" w:hAnsi="Arial"/>
                <w:sz w:val="14"/>
                <w:szCs w:val="14"/>
                <w:color w:val="auto"/>
              </w:rPr>
              <w:t>2/26/2015</w:t>
            </w:r>
          </w:p>
        </w:tc>
        <w:tc>
          <w:tcPr>
            <w:tcW w:w="2540" w:type="dxa"/>
            <w:vAlign w:val="bottom"/>
            <w:shd w:val="clear" w:color="auto" w:fill="D0E0F0"/>
          </w:tcPr>
          <w:p>
            <w:pPr>
              <w:jc w:val="right"/>
              <w:ind w:right="253"/>
              <w:spacing w:after="0" w:line="189" w:lineRule="exact"/>
              <w:rPr>
                <w:sz w:val="20"/>
                <w:szCs w:val="20"/>
                <w:color w:val="auto"/>
              </w:rPr>
            </w:pPr>
            <w:r>
              <w:rPr>
                <w:rFonts w:ascii="Arial" w:cs="Arial" w:eastAsia="Arial" w:hAnsi="Arial"/>
                <w:sz w:val="13"/>
                <w:szCs w:val="13"/>
                <w:color w:val="auto"/>
              </w:rPr>
              <w:t>1,999</w:t>
            </w:r>
            <w:r>
              <w:rPr>
                <w:rFonts w:ascii="Arial" w:cs="Arial" w:eastAsia="Arial" w:hAnsi="Arial"/>
                <w:sz w:val="21"/>
                <w:szCs w:val="21"/>
                <w:b w:val="1"/>
                <w:bCs w:val="1"/>
                <w:color w:val="auto"/>
                <w:vertAlign w:val="superscript"/>
              </w:rPr>
              <w:t>(c)</w:t>
            </w:r>
          </w:p>
        </w:tc>
        <w:tc>
          <w:tcPr>
            <w:tcW w:w="1120" w:type="dxa"/>
            <w:vAlign w:val="bottom"/>
            <w:shd w:val="clear" w:color="auto" w:fill="D0E0F0"/>
          </w:tcPr>
          <w:p>
            <w:pPr>
              <w:jc w:val="right"/>
              <w:ind w:right="228"/>
              <w:spacing w:after="0"/>
              <w:rPr>
                <w:sz w:val="20"/>
                <w:szCs w:val="20"/>
                <w:color w:val="auto"/>
              </w:rPr>
            </w:pPr>
            <w:r>
              <w:rPr>
                <w:rFonts w:ascii="Arial" w:cs="Arial" w:eastAsia="Arial" w:hAnsi="Arial"/>
                <w:sz w:val="14"/>
                <w:szCs w:val="14"/>
                <w:color w:val="auto"/>
              </w:rPr>
              <w:t>100,830</w:t>
            </w:r>
          </w:p>
        </w:tc>
        <w:tc>
          <w:tcPr>
            <w:tcW w:w="1140" w:type="dxa"/>
            <w:vAlign w:val="bottom"/>
            <w:shd w:val="clear" w:color="auto" w:fill="D0E0F0"/>
          </w:tcPr>
          <w:p>
            <w:pPr>
              <w:jc w:val="right"/>
              <w:ind w:right="229"/>
              <w:spacing w:after="0" w:line="189" w:lineRule="exact"/>
              <w:rPr>
                <w:sz w:val="20"/>
                <w:szCs w:val="20"/>
                <w:color w:val="auto"/>
              </w:rPr>
            </w:pPr>
            <w:r>
              <w:rPr>
                <w:rFonts w:ascii="Arial" w:cs="Arial" w:eastAsia="Arial" w:hAnsi="Arial"/>
                <w:sz w:val="13"/>
                <w:szCs w:val="13"/>
                <w:color w:val="auto"/>
              </w:rPr>
              <w:t>2,002</w:t>
            </w:r>
            <w:r>
              <w:rPr>
                <w:rFonts w:ascii="Arial" w:cs="Arial" w:eastAsia="Arial" w:hAnsi="Arial"/>
                <w:sz w:val="21"/>
                <w:szCs w:val="21"/>
                <w:b w:val="1"/>
                <w:bCs w:val="1"/>
                <w:color w:val="auto"/>
                <w:vertAlign w:val="superscript"/>
              </w:rPr>
              <w:t>(e)</w:t>
            </w:r>
          </w:p>
        </w:tc>
        <w:tc>
          <w:tcPr>
            <w:tcW w:w="880" w:type="dxa"/>
            <w:vAlign w:val="bottom"/>
            <w:shd w:val="clear" w:color="auto" w:fill="D0E0F0"/>
          </w:tcPr>
          <w:p>
            <w:pPr>
              <w:jc w:val="right"/>
              <w:spacing w:after="0"/>
              <w:rPr>
                <w:sz w:val="20"/>
                <w:szCs w:val="20"/>
                <w:color w:val="auto"/>
              </w:rPr>
            </w:pPr>
            <w:r>
              <w:rPr>
                <w:rFonts w:ascii="Arial" w:cs="Arial" w:eastAsia="Arial" w:hAnsi="Arial"/>
                <w:sz w:val="14"/>
                <w:szCs w:val="14"/>
                <w:color w:val="auto"/>
              </w:rPr>
              <w:t>100,981</w:t>
            </w:r>
          </w:p>
        </w:tc>
        <w:tc>
          <w:tcPr>
            <w:tcW w:w="0" w:type="dxa"/>
            <w:vAlign w:val="bottom"/>
          </w:tcPr>
          <w:p>
            <w:pPr>
              <w:spacing w:after="0"/>
              <w:rPr>
                <w:sz w:val="1"/>
                <w:szCs w:val="1"/>
                <w:color w:val="auto"/>
              </w:rPr>
            </w:pPr>
          </w:p>
        </w:tc>
      </w:tr>
      <w:tr>
        <w:trPr>
          <w:trHeight w:val="204"/>
        </w:trPr>
        <w:tc>
          <w:tcPr>
            <w:tcW w:w="1040" w:type="dxa"/>
            <w:vAlign w:val="bottom"/>
            <w:shd w:val="clear" w:color="auto" w:fill="D0E0F0"/>
          </w:tcPr>
          <w:p>
            <w:pPr>
              <w:spacing w:after="0"/>
              <w:rPr>
                <w:sz w:val="17"/>
                <w:szCs w:val="17"/>
                <w:color w:val="auto"/>
              </w:rPr>
            </w:pPr>
          </w:p>
        </w:tc>
        <w:tc>
          <w:tcPr>
            <w:tcW w:w="4700" w:type="dxa"/>
            <w:vAlign w:val="bottom"/>
            <w:shd w:val="clear" w:color="auto" w:fill="D0E0F0"/>
          </w:tcPr>
          <w:p>
            <w:pPr>
              <w:jc w:val="right"/>
              <w:ind w:right="3628"/>
              <w:spacing w:after="0"/>
              <w:rPr>
                <w:sz w:val="20"/>
                <w:szCs w:val="20"/>
                <w:color w:val="auto"/>
              </w:rPr>
            </w:pPr>
            <w:r>
              <w:rPr>
                <w:rFonts w:ascii="Arial" w:cs="Arial" w:eastAsia="Arial" w:hAnsi="Arial"/>
                <w:sz w:val="14"/>
                <w:szCs w:val="14"/>
                <w:color w:val="auto"/>
              </w:rPr>
              <w:t>2/26/2015</w:t>
            </w:r>
          </w:p>
        </w:tc>
        <w:tc>
          <w:tcPr>
            <w:tcW w:w="2540" w:type="dxa"/>
            <w:vAlign w:val="bottom"/>
            <w:vMerge w:val="restart"/>
            <w:shd w:val="clear" w:color="auto" w:fill="D0E0F0"/>
          </w:tcPr>
          <w:p>
            <w:pPr>
              <w:jc w:val="right"/>
              <w:ind w:right="253"/>
              <w:spacing w:after="0"/>
              <w:rPr>
                <w:sz w:val="20"/>
                <w:szCs w:val="20"/>
                <w:color w:val="auto"/>
              </w:rPr>
            </w:pPr>
            <w:r>
              <w:rPr>
                <w:rFonts w:ascii="Arial" w:cs="Arial" w:eastAsia="Arial" w:hAnsi="Arial"/>
                <w:sz w:val="14"/>
                <w:szCs w:val="14"/>
                <w:color w:val="auto"/>
              </w:rPr>
              <w:t>6,000</w:t>
            </w:r>
            <w:r>
              <w:rPr>
                <w:rFonts w:ascii="Arial" w:cs="Arial" w:eastAsia="Arial" w:hAnsi="Arial"/>
                <w:sz w:val="23"/>
                <w:szCs w:val="23"/>
                <w:b w:val="1"/>
                <w:bCs w:val="1"/>
                <w:color w:val="auto"/>
                <w:vertAlign w:val="superscript"/>
              </w:rPr>
              <w:t>(a)</w:t>
            </w:r>
          </w:p>
        </w:tc>
        <w:tc>
          <w:tcPr>
            <w:tcW w:w="1120" w:type="dxa"/>
            <w:vAlign w:val="bottom"/>
            <w:shd w:val="clear" w:color="auto" w:fill="D0E0F0"/>
          </w:tcPr>
          <w:p>
            <w:pPr>
              <w:spacing w:after="0"/>
              <w:rPr>
                <w:sz w:val="17"/>
                <w:szCs w:val="17"/>
                <w:color w:val="auto"/>
              </w:rPr>
            </w:pPr>
          </w:p>
        </w:tc>
        <w:tc>
          <w:tcPr>
            <w:tcW w:w="1140" w:type="dxa"/>
            <w:vAlign w:val="bottom"/>
            <w:shd w:val="clear" w:color="auto" w:fill="D0E0F0"/>
          </w:tcPr>
          <w:p>
            <w:pPr>
              <w:jc w:val="right"/>
              <w:ind w:right="229"/>
              <w:spacing w:after="0" w:line="203" w:lineRule="exact"/>
              <w:rPr>
                <w:sz w:val="20"/>
                <w:szCs w:val="20"/>
                <w:color w:val="auto"/>
              </w:rPr>
            </w:pPr>
            <w:r>
              <w:rPr>
                <w:rFonts w:ascii="Arial" w:cs="Arial" w:eastAsia="Arial" w:hAnsi="Arial"/>
                <w:sz w:val="14"/>
                <w:szCs w:val="14"/>
                <w:color w:val="auto"/>
              </w:rPr>
              <w:t>6,000</w:t>
            </w:r>
            <w:r>
              <w:rPr>
                <w:rFonts w:ascii="Arial" w:cs="Arial" w:eastAsia="Arial" w:hAnsi="Arial"/>
                <w:sz w:val="23"/>
                <w:szCs w:val="23"/>
                <w:b w:val="1"/>
                <w:bCs w:val="1"/>
                <w:color w:val="auto"/>
                <w:vertAlign w:val="superscript"/>
              </w:rPr>
              <w:t>(f)</w:t>
            </w:r>
          </w:p>
        </w:tc>
        <w:tc>
          <w:tcPr>
            <w:tcW w:w="880" w:type="dxa"/>
            <w:vAlign w:val="bottom"/>
            <w:shd w:val="clear" w:color="auto" w:fill="D0E0F0"/>
          </w:tcPr>
          <w:p>
            <w:pPr>
              <w:jc w:val="right"/>
              <w:spacing w:after="0"/>
              <w:rPr>
                <w:sz w:val="20"/>
                <w:szCs w:val="20"/>
                <w:color w:val="auto"/>
              </w:rPr>
            </w:pPr>
            <w:r>
              <w:rPr>
                <w:rFonts w:ascii="Arial" w:cs="Arial" w:eastAsia="Arial" w:hAnsi="Arial"/>
                <w:sz w:val="14"/>
                <w:szCs w:val="14"/>
                <w:color w:val="auto"/>
              </w:rPr>
              <w:t>302,640</w:t>
            </w:r>
          </w:p>
        </w:tc>
        <w:tc>
          <w:tcPr>
            <w:tcW w:w="0" w:type="dxa"/>
            <w:vAlign w:val="bottom"/>
          </w:tcPr>
          <w:p>
            <w:pPr>
              <w:spacing w:after="0"/>
              <w:rPr>
                <w:sz w:val="1"/>
                <w:szCs w:val="1"/>
                <w:color w:val="auto"/>
              </w:rPr>
            </w:pPr>
          </w:p>
        </w:tc>
      </w:tr>
      <w:tr>
        <w:trPr>
          <w:trHeight w:val="189"/>
        </w:trPr>
        <w:tc>
          <w:tcPr>
            <w:tcW w:w="1040" w:type="dxa"/>
            <w:vAlign w:val="bottom"/>
            <w:shd w:val="clear" w:color="auto" w:fill="D0E0F0"/>
          </w:tcPr>
          <w:p>
            <w:pPr>
              <w:spacing w:after="0"/>
              <w:rPr>
                <w:sz w:val="16"/>
                <w:szCs w:val="16"/>
                <w:color w:val="auto"/>
              </w:rPr>
            </w:pPr>
          </w:p>
        </w:tc>
        <w:tc>
          <w:tcPr>
            <w:tcW w:w="4700" w:type="dxa"/>
            <w:vAlign w:val="bottom"/>
            <w:shd w:val="clear" w:color="auto" w:fill="D0E0F0"/>
          </w:tcPr>
          <w:p>
            <w:pPr>
              <w:jc w:val="right"/>
              <w:ind w:right="3628"/>
              <w:spacing w:after="0"/>
              <w:rPr>
                <w:sz w:val="20"/>
                <w:szCs w:val="20"/>
                <w:color w:val="auto"/>
              </w:rPr>
            </w:pPr>
            <w:r>
              <w:rPr>
                <w:rFonts w:ascii="Arial" w:cs="Arial" w:eastAsia="Arial" w:hAnsi="Arial"/>
                <w:sz w:val="14"/>
                <w:szCs w:val="14"/>
                <w:color w:val="auto"/>
              </w:rPr>
              <w:t>2/24/2016</w:t>
            </w:r>
          </w:p>
        </w:tc>
        <w:tc>
          <w:tcPr>
            <w:tcW w:w="2540" w:type="dxa"/>
            <w:vAlign w:val="bottom"/>
            <w:vMerge w:val="continue"/>
            <w:shd w:val="clear" w:color="auto" w:fill="D0E0F0"/>
          </w:tcPr>
          <w:p>
            <w:pPr>
              <w:spacing w:after="0"/>
              <w:rPr>
                <w:sz w:val="16"/>
                <w:szCs w:val="16"/>
                <w:color w:val="auto"/>
              </w:rPr>
            </w:pPr>
          </w:p>
        </w:tc>
        <w:tc>
          <w:tcPr>
            <w:tcW w:w="1120" w:type="dxa"/>
            <w:vAlign w:val="bottom"/>
            <w:shd w:val="clear" w:color="auto" w:fill="D0E0F0"/>
          </w:tcPr>
          <w:p>
            <w:pPr>
              <w:jc w:val="right"/>
              <w:ind w:right="228"/>
              <w:spacing w:after="0"/>
              <w:rPr>
                <w:sz w:val="20"/>
                <w:szCs w:val="20"/>
                <w:color w:val="auto"/>
              </w:rPr>
            </w:pPr>
            <w:r>
              <w:rPr>
                <w:rFonts w:ascii="Arial" w:cs="Arial" w:eastAsia="Arial" w:hAnsi="Arial"/>
                <w:sz w:val="14"/>
                <w:szCs w:val="14"/>
                <w:color w:val="auto"/>
              </w:rPr>
              <w:t>302,640</w:t>
            </w:r>
          </w:p>
        </w:tc>
        <w:tc>
          <w:tcPr>
            <w:tcW w:w="1140" w:type="dxa"/>
            <w:vAlign w:val="bottom"/>
            <w:vMerge w:val="restart"/>
            <w:shd w:val="clear" w:color="auto" w:fill="D0E0F0"/>
          </w:tcPr>
          <w:p>
            <w:pPr>
              <w:jc w:val="right"/>
              <w:ind w:right="229"/>
              <w:spacing w:after="0"/>
              <w:rPr>
                <w:sz w:val="20"/>
                <w:szCs w:val="20"/>
                <w:color w:val="auto"/>
              </w:rPr>
            </w:pPr>
            <w:r>
              <w:rPr>
                <w:rFonts w:ascii="Arial" w:cs="Arial" w:eastAsia="Arial" w:hAnsi="Arial"/>
                <w:sz w:val="14"/>
                <w:szCs w:val="14"/>
                <w:color w:val="auto"/>
              </w:rPr>
              <w:t>3,000</w:t>
            </w:r>
            <w:r>
              <w:rPr>
                <w:rFonts w:ascii="Arial" w:cs="Arial" w:eastAsia="Arial" w:hAnsi="Arial"/>
                <w:sz w:val="23"/>
                <w:szCs w:val="23"/>
                <w:b w:val="1"/>
                <w:bCs w:val="1"/>
                <w:color w:val="auto"/>
                <w:vertAlign w:val="superscript"/>
              </w:rPr>
              <w:t>(h)</w:t>
            </w:r>
          </w:p>
        </w:tc>
        <w:tc>
          <w:tcPr>
            <w:tcW w:w="880" w:type="dxa"/>
            <w:vAlign w:val="bottom"/>
            <w:shd w:val="clear" w:color="auto" w:fill="D0E0F0"/>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D0E0F0"/>
          </w:tcPr>
          <w:p>
            <w:pPr>
              <w:spacing w:after="0"/>
              <w:rPr>
                <w:sz w:val="15"/>
                <w:szCs w:val="15"/>
                <w:color w:val="auto"/>
              </w:rPr>
            </w:pPr>
          </w:p>
        </w:tc>
        <w:tc>
          <w:tcPr>
            <w:tcW w:w="4700" w:type="dxa"/>
            <w:vAlign w:val="bottom"/>
            <w:shd w:val="clear" w:color="auto" w:fill="D0E0F0"/>
          </w:tcPr>
          <w:p>
            <w:pPr>
              <w:jc w:val="right"/>
              <w:ind w:right="3628"/>
              <w:spacing w:after="0"/>
              <w:rPr>
                <w:sz w:val="20"/>
                <w:szCs w:val="20"/>
                <w:color w:val="auto"/>
              </w:rPr>
            </w:pPr>
            <w:r>
              <w:rPr>
                <w:rFonts w:ascii="Arial" w:cs="Arial" w:eastAsia="Arial" w:hAnsi="Arial"/>
                <w:sz w:val="14"/>
                <w:szCs w:val="14"/>
                <w:color w:val="auto"/>
              </w:rPr>
              <w:t>2/24/2016</w:t>
            </w:r>
          </w:p>
        </w:tc>
        <w:tc>
          <w:tcPr>
            <w:tcW w:w="2540" w:type="dxa"/>
            <w:vAlign w:val="bottom"/>
            <w:shd w:val="clear" w:color="auto" w:fill="D0E0F0"/>
          </w:tcPr>
          <w:p>
            <w:pPr>
              <w:spacing w:after="0"/>
              <w:rPr>
                <w:sz w:val="15"/>
                <w:szCs w:val="15"/>
                <w:color w:val="auto"/>
              </w:rPr>
            </w:pPr>
          </w:p>
        </w:tc>
        <w:tc>
          <w:tcPr>
            <w:tcW w:w="1120" w:type="dxa"/>
            <w:vAlign w:val="bottom"/>
            <w:shd w:val="clear" w:color="auto" w:fill="D0E0F0"/>
          </w:tcPr>
          <w:p>
            <w:pPr>
              <w:spacing w:after="0"/>
              <w:rPr>
                <w:sz w:val="15"/>
                <w:szCs w:val="15"/>
                <w:color w:val="auto"/>
              </w:rPr>
            </w:pPr>
          </w:p>
        </w:tc>
        <w:tc>
          <w:tcPr>
            <w:tcW w:w="1140" w:type="dxa"/>
            <w:vAlign w:val="bottom"/>
            <w:vMerge w:val="continue"/>
            <w:shd w:val="clear" w:color="auto" w:fill="D0E0F0"/>
          </w:tcPr>
          <w:p>
            <w:pPr>
              <w:spacing w:after="0"/>
              <w:rPr>
                <w:sz w:val="15"/>
                <w:szCs w:val="15"/>
                <w:color w:val="auto"/>
              </w:rPr>
            </w:pPr>
          </w:p>
        </w:tc>
        <w:tc>
          <w:tcPr>
            <w:tcW w:w="880" w:type="dxa"/>
            <w:vAlign w:val="bottom"/>
            <w:shd w:val="clear" w:color="auto" w:fill="D0E0F0"/>
          </w:tcPr>
          <w:p>
            <w:pPr>
              <w:jc w:val="right"/>
              <w:spacing w:after="0"/>
              <w:rPr>
                <w:sz w:val="20"/>
                <w:szCs w:val="20"/>
                <w:color w:val="auto"/>
              </w:rPr>
            </w:pPr>
            <w:r>
              <w:rPr>
                <w:rFonts w:ascii="Arial" w:cs="Arial" w:eastAsia="Arial" w:hAnsi="Arial"/>
                <w:sz w:val="14"/>
                <w:szCs w:val="14"/>
                <w:color w:val="auto"/>
              </w:rPr>
              <w:t>151,320</w:t>
            </w:r>
          </w:p>
        </w:tc>
        <w:tc>
          <w:tcPr>
            <w:tcW w:w="0" w:type="dxa"/>
            <w:vAlign w:val="bottom"/>
          </w:tcPr>
          <w:p>
            <w:pPr>
              <w:spacing w:after="0"/>
              <w:rPr>
                <w:sz w:val="1"/>
                <w:szCs w:val="1"/>
                <w:color w:val="auto"/>
              </w:rPr>
            </w:pPr>
          </w:p>
        </w:tc>
      </w:tr>
      <w:tr>
        <w:trPr>
          <w:trHeight w:val="204"/>
        </w:trPr>
        <w:tc>
          <w:tcPr>
            <w:tcW w:w="1040" w:type="dxa"/>
            <w:vAlign w:val="bottom"/>
            <w:shd w:val="clear" w:color="auto" w:fill="D0E0F0"/>
          </w:tcPr>
          <w:p>
            <w:pPr>
              <w:spacing w:after="0"/>
              <w:rPr>
                <w:sz w:val="17"/>
                <w:szCs w:val="17"/>
                <w:color w:val="auto"/>
              </w:rPr>
            </w:pPr>
          </w:p>
        </w:tc>
        <w:tc>
          <w:tcPr>
            <w:tcW w:w="4700" w:type="dxa"/>
            <w:vAlign w:val="bottom"/>
            <w:shd w:val="clear" w:color="auto" w:fill="D0E0F0"/>
          </w:tcPr>
          <w:p>
            <w:pPr>
              <w:jc w:val="right"/>
              <w:ind w:right="3628"/>
              <w:spacing w:after="0"/>
              <w:rPr>
                <w:sz w:val="20"/>
                <w:szCs w:val="20"/>
                <w:color w:val="auto"/>
              </w:rPr>
            </w:pPr>
            <w:r>
              <w:rPr>
                <w:rFonts w:ascii="Arial" w:cs="Arial" w:eastAsia="Arial" w:hAnsi="Arial"/>
                <w:sz w:val="14"/>
                <w:szCs w:val="14"/>
                <w:color w:val="auto"/>
              </w:rPr>
              <w:t>2/24/2016</w:t>
            </w:r>
          </w:p>
        </w:tc>
        <w:tc>
          <w:tcPr>
            <w:tcW w:w="2540" w:type="dxa"/>
            <w:vAlign w:val="bottom"/>
            <w:shd w:val="clear" w:color="auto" w:fill="D0E0F0"/>
          </w:tcPr>
          <w:p>
            <w:pPr>
              <w:spacing w:after="0"/>
              <w:rPr>
                <w:sz w:val="17"/>
                <w:szCs w:val="17"/>
                <w:color w:val="auto"/>
              </w:rPr>
            </w:pPr>
          </w:p>
        </w:tc>
        <w:tc>
          <w:tcPr>
            <w:tcW w:w="1120" w:type="dxa"/>
            <w:vAlign w:val="bottom"/>
            <w:shd w:val="clear" w:color="auto" w:fill="D0E0F0"/>
          </w:tcPr>
          <w:p>
            <w:pPr>
              <w:spacing w:after="0"/>
              <w:rPr>
                <w:sz w:val="17"/>
                <w:szCs w:val="17"/>
                <w:color w:val="auto"/>
              </w:rPr>
            </w:pPr>
          </w:p>
        </w:tc>
        <w:tc>
          <w:tcPr>
            <w:tcW w:w="1140" w:type="dxa"/>
            <w:vAlign w:val="bottom"/>
            <w:shd w:val="clear" w:color="auto" w:fill="D0E0F0"/>
          </w:tcPr>
          <w:p>
            <w:pPr>
              <w:jc w:val="right"/>
              <w:ind w:right="229"/>
              <w:spacing w:after="0" w:line="203" w:lineRule="exact"/>
              <w:rPr>
                <w:sz w:val="20"/>
                <w:szCs w:val="20"/>
                <w:color w:val="auto"/>
              </w:rPr>
            </w:pPr>
            <w:r>
              <w:rPr>
                <w:rFonts w:ascii="Arial" w:cs="Arial" w:eastAsia="Arial" w:hAnsi="Arial"/>
                <w:sz w:val="14"/>
                <w:szCs w:val="14"/>
                <w:color w:val="auto"/>
              </w:rPr>
              <w:t>3,000</w:t>
            </w:r>
            <w:r>
              <w:rPr>
                <w:rFonts w:ascii="Arial" w:cs="Arial" w:eastAsia="Arial" w:hAnsi="Arial"/>
                <w:sz w:val="23"/>
                <w:szCs w:val="23"/>
                <w:b w:val="1"/>
                <w:bCs w:val="1"/>
                <w:color w:val="auto"/>
                <w:vertAlign w:val="superscript"/>
              </w:rPr>
              <w:t>(h)</w:t>
            </w:r>
          </w:p>
        </w:tc>
        <w:tc>
          <w:tcPr>
            <w:tcW w:w="880" w:type="dxa"/>
            <w:vAlign w:val="bottom"/>
            <w:shd w:val="clear" w:color="auto" w:fill="D0E0F0"/>
          </w:tcPr>
          <w:p>
            <w:pPr>
              <w:jc w:val="right"/>
              <w:spacing w:after="0"/>
              <w:rPr>
                <w:sz w:val="20"/>
                <w:szCs w:val="20"/>
                <w:color w:val="auto"/>
              </w:rPr>
            </w:pPr>
            <w:r>
              <w:rPr>
                <w:rFonts w:ascii="Arial" w:cs="Arial" w:eastAsia="Arial" w:hAnsi="Arial"/>
                <w:sz w:val="14"/>
                <w:szCs w:val="14"/>
                <w:color w:val="auto"/>
              </w:rPr>
              <w:t>151,320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4490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1" w:lineRule="exact"/>
        <w:rPr>
          <w:sz w:val="20"/>
          <w:szCs w:val="20"/>
          <w:color w:val="auto"/>
        </w:rPr>
      </w:pPr>
    </w:p>
    <w:p>
      <w:pPr>
        <w:ind w:left="620" w:right="520" w:hanging="322"/>
        <w:spacing w:after="0" w:line="246" w:lineRule="auto"/>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stock option awards for Mr. Kapoor became vested in increments of 25% on each of the first, second, third and fourth anniversaries of the grant date, generally subject to continued employment through each applicable vesting date. For the stock option awards for each of the named executive officers other than Mr. Kapoor, 10% of the options vested on the first anniversary of the grant date, an additional 20% of the options vested on the second anniversary of the grant date, an additional 30% of the options vested on the third anniversary of the grant date and the remaining 40% of the options vested on the fourth anniversary of the grant date, generally subject to continued employment through each applicable vesting date.</w:t>
      </w:r>
    </w:p>
    <w:p>
      <w:pPr>
        <w:spacing w:after="0" w:line="2" w:lineRule="exact"/>
        <w:rPr>
          <w:rFonts w:ascii="Arial" w:cs="Arial" w:eastAsia="Arial" w:hAnsi="Arial"/>
          <w:sz w:val="16"/>
          <w:szCs w:val="16"/>
          <w:color w:val="auto"/>
        </w:rPr>
      </w:pPr>
    </w:p>
    <w:p>
      <w:pPr>
        <w:ind w:left="620" w:right="340" w:hanging="322"/>
        <w:spacing w:after="0" w:line="246" w:lineRule="auto"/>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restricted stock unit awards in this table vest and convert to shares in accordance with the following schedules (generally subject to continued employment through each applicable vesting date):</w:t>
      </w:r>
    </w:p>
    <w:p>
      <w:pPr>
        <w:ind w:left="940" w:hanging="317"/>
        <w:spacing w:after="0"/>
        <w:tabs>
          <w:tab w:leader="none" w:pos="9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25% of the restricted stock units vest on each of the first, second, third and fourth anniversaries of the grant date.</w:t>
      </w:r>
    </w:p>
    <w:p>
      <w:pPr>
        <w:spacing w:after="0" w:line="5" w:lineRule="exact"/>
        <w:rPr>
          <w:rFonts w:ascii="Arial" w:cs="Arial" w:eastAsia="Arial" w:hAnsi="Arial"/>
          <w:sz w:val="16"/>
          <w:szCs w:val="16"/>
          <w:color w:val="auto"/>
        </w:rPr>
      </w:pPr>
    </w:p>
    <w:p>
      <w:pPr>
        <w:ind w:left="940" w:hanging="317"/>
        <w:spacing w:after="0"/>
        <w:tabs>
          <w:tab w:leader="none" w:pos="9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33.33% of the restricted stock units vest on each of the first, second and third anniversaries of the grant date.</w:t>
      </w:r>
    </w:p>
    <w:p>
      <w:pPr>
        <w:spacing w:after="0" w:line="5" w:lineRule="exact"/>
        <w:rPr>
          <w:rFonts w:ascii="Arial" w:cs="Arial" w:eastAsia="Arial" w:hAnsi="Arial"/>
          <w:sz w:val="16"/>
          <w:szCs w:val="16"/>
          <w:color w:val="auto"/>
        </w:rPr>
      </w:pPr>
    </w:p>
    <w:p>
      <w:pPr>
        <w:ind w:left="940" w:right="420" w:hanging="317"/>
        <w:spacing w:after="0" w:line="246" w:lineRule="auto"/>
        <w:tabs>
          <w:tab w:leader="none" w:pos="9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100% of the 2015 Revenue-Linked PRSUs vest on December 31, 2017. This amount represents the first two tranches of the 2015 Revenue-Linked PRSUs that were banked based on performance during the 2015 and 2016 fiscal years.</w:t>
      </w:r>
    </w:p>
    <w:p>
      <w:pPr>
        <w:ind w:left="940" w:right="540" w:hanging="317"/>
        <w:spacing w:after="0" w:line="253" w:lineRule="auto"/>
        <w:tabs>
          <w:tab w:leader="none" w:pos="9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10% of the restricted stock units vest on the first anniversary of the grant date, an additional 20% of the options vest on the second anniversary of the grant date, an additional 30% of the options vest on the third anniversary of the grant date and the remaining 40% of the options vest on the fourth anniversary of the grant date.</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4" w:right="239" w:bottom="1440" w:gutter="0" w:footer="0" w:header="0"/>
        </w:sectPr>
      </w:pPr>
    </w:p>
    <w:bookmarkStart w:id="50" w:name="page51"/>
    <w:bookmarkEnd w:id="50"/>
    <w:p>
      <w:pPr>
        <w:ind w:left="322" w:right="20" w:hanging="322"/>
        <w:spacing w:after="0" w:line="246" w:lineRule="auto"/>
        <w:tabs>
          <w:tab w:leader="none" w:pos="32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performance restricted stock unit awards in this table vest and convert to shares in accordance with the following schedules (generally subject to continued employment through the applicable vesting date and achievement of applicable performance goals):</w:t>
      </w:r>
    </w:p>
    <w:p>
      <w:pPr>
        <w:ind w:left="642" w:hanging="317"/>
        <w:spacing w:after="0" w:line="246" w:lineRule="auto"/>
        <w:tabs>
          <w:tab w:leader="none" w:pos="642" w:val="left"/>
        </w:tabs>
        <w:numPr>
          <w:ilvl w:val="1"/>
          <w:numId w:val="49"/>
        </w:numPr>
        <w:rPr>
          <w:rFonts w:ascii="Arial" w:cs="Arial" w:eastAsia="Arial" w:hAnsi="Arial"/>
          <w:sz w:val="16"/>
          <w:szCs w:val="16"/>
          <w:color w:val="auto"/>
        </w:rPr>
      </w:pPr>
      <w:r>
        <w:rPr>
          <w:rFonts w:ascii="Arial" w:cs="Arial" w:eastAsia="Arial" w:hAnsi="Arial"/>
          <w:sz w:val="16"/>
          <w:szCs w:val="16"/>
          <w:color w:val="auto"/>
        </w:rPr>
        <w:t>100% of the restricted stock units vest on December 31, 2017. This amount represents the third and final tranche of the 2015 Revenue-Linked PRSUs and reflects maximum performance.</w:t>
      </w:r>
    </w:p>
    <w:p>
      <w:pPr>
        <w:ind w:left="642" w:right="300" w:hanging="317"/>
        <w:spacing w:after="0" w:line="246" w:lineRule="auto"/>
        <w:tabs>
          <w:tab w:leader="none" w:pos="642" w:val="left"/>
        </w:tabs>
        <w:numPr>
          <w:ilvl w:val="1"/>
          <w:numId w:val="49"/>
        </w:numPr>
        <w:rPr>
          <w:rFonts w:ascii="Arial" w:cs="Arial" w:eastAsia="Arial" w:hAnsi="Arial"/>
          <w:sz w:val="16"/>
          <w:szCs w:val="16"/>
          <w:color w:val="auto"/>
        </w:rPr>
      </w:pPr>
      <w:r>
        <w:rPr>
          <w:rFonts w:ascii="Arial" w:cs="Arial" w:eastAsia="Arial" w:hAnsi="Arial"/>
          <w:sz w:val="16"/>
          <w:szCs w:val="16"/>
          <w:color w:val="auto"/>
        </w:rPr>
        <w:t>100% of the restricted stock units vest on December 31, 2017. This amount represents the 2015 Relative TSR-Linked PRSUs and reflects maximum performance.</w:t>
      </w:r>
    </w:p>
    <w:p>
      <w:pPr>
        <w:ind w:left="642" w:right="340" w:hanging="317"/>
        <w:spacing w:after="0" w:line="246" w:lineRule="auto"/>
        <w:tabs>
          <w:tab w:leader="none" w:pos="642" w:val="left"/>
        </w:tabs>
        <w:numPr>
          <w:ilvl w:val="1"/>
          <w:numId w:val="49"/>
        </w:numPr>
        <w:rPr>
          <w:rFonts w:ascii="Arial" w:cs="Arial" w:eastAsia="Arial" w:hAnsi="Arial"/>
          <w:sz w:val="16"/>
          <w:szCs w:val="16"/>
          <w:color w:val="auto"/>
        </w:rPr>
      </w:pPr>
      <w:r>
        <w:rPr>
          <w:rFonts w:ascii="Arial" w:cs="Arial" w:eastAsia="Arial" w:hAnsi="Arial"/>
          <w:sz w:val="16"/>
          <w:szCs w:val="16"/>
          <w:color w:val="auto"/>
        </w:rPr>
        <w:t>100% of the restricted stock units vest on December 31, 2017. This amount represents Mr. Kapoor’s Stock Price Performance Award and reflects maximum performance.</w:t>
      </w:r>
    </w:p>
    <w:p>
      <w:pPr>
        <w:ind w:left="642" w:right="180" w:hanging="317"/>
        <w:spacing w:after="0" w:line="246" w:lineRule="auto"/>
        <w:tabs>
          <w:tab w:leader="none" w:pos="642" w:val="left"/>
        </w:tabs>
        <w:numPr>
          <w:ilvl w:val="1"/>
          <w:numId w:val="49"/>
        </w:numPr>
        <w:rPr>
          <w:rFonts w:ascii="Arial" w:cs="Arial" w:eastAsia="Arial" w:hAnsi="Arial"/>
          <w:sz w:val="16"/>
          <w:szCs w:val="16"/>
          <w:color w:val="auto"/>
        </w:rPr>
      </w:pPr>
      <w:r>
        <w:rPr>
          <w:rFonts w:ascii="Arial" w:cs="Arial" w:eastAsia="Arial" w:hAnsi="Arial"/>
          <w:sz w:val="16"/>
          <w:szCs w:val="16"/>
          <w:color w:val="auto"/>
        </w:rPr>
        <w:t>100% of the restricted stock units vest on December 31, 2018. This amount represents 2016 performance-based PRSUs and reflects target performance.</w:t>
      </w:r>
    </w:p>
    <w:p>
      <w:pPr>
        <w:ind w:left="322" w:hanging="322"/>
        <w:spacing w:after="0"/>
        <w:tabs>
          <w:tab w:leader="none" w:pos="32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price used in determining the market values set forth in this table is $50.44, which was the closing price of our stock on December 30, 2016.</w:t>
      </w:r>
    </w:p>
    <w:p>
      <w:pPr>
        <w:spacing w:after="0" w:line="200" w:lineRule="exact"/>
        <w:rPr>
          <w:sz w:val="20"/>
          <w:szCs w:val="20"/>
          <w:color w:val="auto"/>
        </w:rPr>
      </w:pPr>
    </w:p>
    <w:p>
      <w:pPr>
        <w:spacing w:after="0" w:line="221"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-1905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2"/>
          </w:cols>
          <w:pgMar w:left="538" w:top="695" w:right="5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508BC7"/>
        </w:rPr>
        <w:t>Option Exercises and Stock Vested During Fiscal Year 2016</w:t>
      </w:r>
    </w:p>
    <w:p>
      <w:pPr>
        <w:spacing w:after="0" w:line="220"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following table provides additional information about the value realized by our named executive officers on option award exercises and stock award vesting during fiscal year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shd w:val="clear" w:color="auto" w:fill="508BC7"/>
          </w:tcPr>
          <w:p>
            <w:pPr>
              <w:spacing w:after="0"/>
              <w:rPr>
                <w:sz w:val="16"/>
                <w:szCs w:val="16"/>
                <w:color w:val="auto"/>
              </w:rPr>
            </w:pPr>
          </w:p>
        </w:tc>
        <w:tc>
          <w:tcPr>
            <w:tcW w:w="2560" w:type="dxa"/>
            <w:vAlign w:val="bottom"/>
            <w:shd w:val="clear" w:color="auto" w:fill="508BC7"/>
          </w:tcPr>
          <w:p>
            <w:pPr>
              <w:jc w:val="right"/>
              <w:spacing w:after="0"/>
              <w:rPr>
                <w:sz w:val="20"/>
                <w:szCs w:val="20"/>
                <w:color w:val="auto"/>
              </w:rPr>
            </w:pPr>
            <w:r>
              <w:rPr>
                <w:rFonts w:ascii="Arial" w:cs="Arial" w:eastAsia="Arial" w:hAnsi="Arial"/>
                <w:sz w:val="14"/>
                <w:szCs w:val="14"/>
                <w:b w:val="1"/>
                <w:bCs w:val="1"/>
                <w:color w:val="FFFFFF"/>
              </w:rPr>
              <w:t>Option Awards</w:t>
            </w:r>
          </w:p>
        </w:tc>
        <w:tc>
          <w:tcPr>
            <w:tcW w:w="1500" w:type="dxa"/>
            <w:vAlign w:val="bottom"/>
            <w:shd w:val="clear" w:color="auto" w:fill="508BC7"/>
          </w:tcPr>
          <w:p>
            <w:pPr>
              <w:spacing w:after="0"/>
              <w:rPr>
                <w:sz w:val="16"/>
                <w:szCs w:val="16"/>
                <w:color w:val="auto"/>
              </w:rPr>
            </w:pPr>
          </w:p>
        </w:tc>
        <w:tc>
          <w:tcPr>
            <w:tcW w:w="2720" w:type="dxa"/>
            <w:vAlign w:val="bottom"/>
            <w:shd w:val="clear" w:color="auto" w:fill="508BC7"/>
          </w:tcPr>
          <w:p>
            <w:pPr>
              <w:jc w:val="right"/>
              <w:spacing w:after="0"/>
              <w:rPr>
                <w:sz w:val="20"/>
                <w:szCs w:val="20"/>
                <w:color w:val="auto"/>
              </w:rPr>
            </w:pPr>
            <w:r>
              <w:rPr>
                <w:rFonts w:ascii="Arial" w:cs="Arial" w:eastAsia="Arial" w:hAnsi="Arial"/>
                <w:sz w:val="14"/>
                <w:szCs w:val="14"/>
                <w:b w:val="1"/>
                <w:bCs w:val="1"/>
                <w:color w:val="FFFFFF"/>
              </w:rPr>
              <w:t>Stock Awards</w:t>
            </w:r>
          </w:p>
        </w:tc>
        <w:tc>
          <w:tcPr>
            <w:tcW w:w="1660" w:type="dxa"/>
            <w:vAlign w:val="bottom"/>
            <w:shd w:val="clear" w:color="auto" w:fill="508BC7"/>
          </w:tcPr>
          <w:p>
            <w:pPr>
              <w:spacing w:after="0"/>
              <w:rPr>
                <w:sz w:val="16"/>
                <w:szCs w:val="16"/>
                <w:color w:val="auto"/>
              </w:rPr>
            </w:pPr>
          </w:p>
        </w:tc>
      </w:tr>
      <w:tr>
        <w:trPr>
          <w:trHeight w:val="149"/>
        </w:trPr>
        <w:tc>
          <w:tcPr>
            <w:tcW w:w="2980" w:type="dxa"/>
            <w:vAlign w:val="bottom"/>
            <w:shd w:val="clear" w:color="auto" w:fill="508BC7"/>
          </w:tcPr>
          <w:p>
            <w:pPr>
              <w:spacing w:after="0"/>
              <w:rPr>
                <w:sz w:val="12"/>
                <w:szCs w:val="12"/>
                <w:color w:val="auto"/>
              </w:rPr>
            </w:pPr>
          </w:p>
        </w:tc>
        <w:tc>
          <w:tcPr>
            <w:tcW w:w="2560" w:type="dxa"/>
            <w:vAlign w:val="bottom"/>
            <w:shd w:val="clear" w:color="auto" w:fill="508BC7"/>
          </w:tcPr>
          <w:p>
            <w:pPr>
              <w:jc w:val="center"/>
              <w:ind w:right="193"/>
              <w:spacing w:after="0" w:line="149" w:lineRule="exact"/>
              <w:rPr>
                <w:sz w:val="20"/>
                <w:szCs w:val="20"/>
                <w:color w:val="auto"/>
              </w:rPr>
            </w:pPr>
            <w:r>
              <w:rPr>
                <w:rFonts w:ascii="Arial" w:cs="Arial" w:eastAsia="Arial" w:hAnsi="Arial"/>
                <w:sz w:val="14"/>
                <w:szCs w:val="14"/>
                <w:b w:val="1"/>
                <w:bCs w:val="1"/>
                <w:color w:val="FFFFFF"/>
              </w:rPr>
              <w:t>Number of Shares</w:t>
            </w:r>
          </w:p>
        </w:tc>
        <w:tc>
          <w:tcPr>
            <w:tcW w:w="1500" w:type="dxa"/>
            <w:vAlign w:val="bottom"/>
            <w:shd w:val="clear" w:color="auto" w:fill="508BC7"/>
          </w:tcPr>
          <w:p>
            <w:pPr>
              <w:jc w:val="center"/>
              <w:ind w:right="292"/>
              <w:spacing w:after="0" w:line="149" w:lineRule="exact"/>
              <w:rPr>
                <w:sz w:val="20"/>
                <w:szCs w:val="20"/>
                <w:color w:val="auto"/>
              </w:rPr>
            </w:pPr>
            <w:r>
              <w:rPr>
                <w:rFonts w:ascii="Arial" w:cs="Arial" w:eastAsia="Arial" w:hAnsi="Arial"/>
                <w:sz w:val="14"/>
                <w:szCs w:val="14"/>
                <w:b w:val="1"/>
                <w:bCs w:val="1"/>
                <w:color w:val="FFFFFF"/>
              </w:rPr>
              <w:t>Value Realized</w:t>
            </w:r>
          </w:p>
        </w:tc>
        <w:tc>
          <w:tcPr>
            <w:tcW w:w="2720" w:type="dxa"/>
            <w:vAlign w:val="bottom"/>
            <w:shd w:val="clear" w:color="auto" w:fill="508BC7"/>
          </w:tcPr>
          <w:p>
            <w:pPr>
              <w:jc w:val="center"/>
              <w:ind w:right="392"/>
              <w:spacing w:after="0" w:line="149" w:lineRule="exact"/>
              <w:rPr>
                <w:sz w:val="20"/>
                <w:szCs w:val="20"/>
                <w:color w:val="auto"/>
              </w:rPr>
            </w:pPr>
            <w:r>
              <w:rPr>
                <w:rFonts w:ascii="Arial" w:cs="Arial" w:eastAsia="Arial" w:hAnsi="Arial"/>
                <w:sz w:val="14"/>
                <w:szCs w:val="14"/>
                <w:b w:val="1"/>
                <w:bCs w:val="1"/>
                <w:color w:val="FFFFFF"/>
              </w:rPr>
              <w:t>Number of Shares</w:t>
            </w:r>
          </w:p>
        </w:tc>
        <w:tc>
          <w:tcPr>
            <w:tcW w:w="1660" w:type="dxa"/>
            <w:vAlign w:val="bottom"/>
            <w:shd w:val="clear" w:color="auto" w:fill="508BC7"/>
          </w:tcPr>
          <w:p>
            <w:pPr>
              <w:jc w:val="center"/>
              <w:ind w:right="231"/>
              <w:spacing w:after="0" w:line="149" w:lineRule="exact"/>
              <w:rPr>
                <w:sz w:val="20"/>
                <w:szCs w:val="20"/>
                <w:color w:val="auto"/>
              </w:rPr>
            </w:pPr>
            <w:r>
              <w:rPr>
                <w:rFonts w:ascii="Arial" w:cs="Arial" w:eastAsia="Arial" w:hAnsi="Arial"/>
                <w:sz w:val="14"/>
                <w:szCs w:val="14"/>
                <w:b w:val="1"/>
                <w:bCs w:val="1"/>
                <w:color w:val="FFFFFF"/>
              </w:rPr>
              <w:t>Value Realized on</w:t>
            </w:r>
          </w:p>
        </w:tc>
      </w:tr>
      <w:tr>
        <w:trPr>
          <w:trHeight w:val="162"/>
        </w:trPr>
        <w:tc>
          <w:tcPr>
            <w:tcW w:w="2980" w:type="dxa"/>
            <w:vAlign w:val="bottom"/>
            <w:shd w:val="clear" w:color="auto" w:fill="508BC7"/>
          </w:tcPr>
          <w:p>
            <w:pPr>
              <w:spacing w:after="0"/>
              <w:rPr>
                <w:sz w:val="14"/>
                <w:szCs w:val="14"/>
                <w:color w:val="auto"/>
              </w:rPr>
            </w:pPr>
          </w:p>
        </w:tc>
        <w:tc>
          <w:tcPr>
            <w:tcW w:w="2560" w:type="dxa"/>
            <w:vAlign w:val="bottom"/>
            <w:shd w:val="clear" w:color="auto" w:fill="508BC7"/>
          </w:tcPr>
          <w:p>
            <w:pPr>
              <w:jc w:val="center"/>
              <w:ind w:right="173"/>
              <w:spacing w:after="0"/>
              <w:rPr>
                <w:sz w:val="20"/>
                <w:szCs w:val="20"/>
                <w:color w:val="auto"/>
              </w:rPr>
            </w:pPr>
            <w:r>
              <w:rPr>
                <w:rFonts w:ascii="Arial" w:cs="Arial" w:eastAsia="Arial" w:hAnsi="Arial"/>
                <w:sz w:val="14"/>
                <w:szCs w:val="14"/>
                <w:b w:val="1"/>
                <w:bCs w:val="1"/>
                <w:color w:val="FFFFFF"/>
              </w:rPr>
              <w:t>Acquired on Exercise</w:t>
            </w:r>
          </w:p>
        </w:tc>
        <w:tc>
          <w:tcPr>
            <w:tcW w:w="1500" w:type="dxa"/>
            <w:vAlign w:val="bottom"/>
            <w:shd w:val="clear" w:color="auto" w:fill="508BC7"/>
          </w:tcPr>
          <w:p>
            <w:pPr>
              <w:jc w:val="center"/>
              <w:ind w:right="272"/>
              <w:spacing w:after="0"/>
              <w:rPr>
                <w:sz w:val="20"/>
                <w:szCs w:val="20"/>
                <w:color w:val="auto"/>
              </w:rPr>
            </w:pPr>
            <w:r>
              <w:rPr>
                <w:rFonts w:ascii="Arial" w:cs="Arial" w:eastAsia="Arial" w:hAnsi="Arial"/>
                <w:sz w:val="14"/>
                <w:szCs w:val="14"/>
                <w:b w:val="1"/>
                <w:bCs w:val="1"/>
                <w:color w:val="FFFFFF"/>
              </w:rPr>
              <w:t>on Exercise</w:t>
            </w:r>
          </w:p>
        </w:tc>
        <w:tc>
          <w:tcPr>
            <w:tcW w:w="2720" w:type="dxa"/>
            <w:vAlign w:val="bottom"/>
            <w:shd w:val="clear" w:color="auto" w:fill="508BC7"/>
          </w:tcPr>
          <w:p>
            <w:pPr>
              <w:jc w:val="center"/>
              <w:ind w:right="412"/>
              <w:spacing w:after="0"/>
              <w:rPr>
                <w:sz w:val="20"/>
                <w:szCs w:val="20"/>
                <w:color w:val="auto"/>
              </w:rPr>
            </w:pPr>
            <w:r>
              <w:rPr>
                <w:rFonts w:ascii="Arial" w:cs="Arial" w:eastAsia="Arial" w:hAnsi="Arial"/>
                <w:sz w:val="14"/>
                <w:szCs w:val="14"/>
                <w:b w:val="1"/>
                <w:bCs w:val="1"/>
                <w:color w:val="FFFFFF"/>
              </w:rPr>
              <w:t>Acquired on Vesting</w:t>
            </w:r>
          </w:p>
        </w:tc>
        <w:tc>
          <w:tcPr>
            <w:tcW w:w="1660" w:type="dxa"/>
            <w:vAlign w:val="bottom"/>
            <w:shd w:val="clear" w:color="auto" w:fill="508BC7"/>
          </w:tcPr>
          <w:p>
            <w:pPr>
              <w:jc w:val="center"/>
              <w:ind w:right="251"/>
              <w:spacing w:after="0"/>
              <w:rPr>
                <w:sz w:val="20"/>
                <w:szCs w:val="20"/>
                <w:color w:val="auto"/>
              </w:rPr>
            </w:pPr>
            <w:r>
              <w:rPr>
                <w:rFonts w:ascii="Arial" w:cs="Arial" w:eastAsia="Arial" w:hAnsi="Arial"/>
                <w:sz w:val="14"/>
                <w:szCs w:val="14"/>
                <w:b w:val="1"/>
                <w:bCs w:val="1"/>
                <w:color w:val="FFFFFF"/>
              </w:rPr>
              <w:t>Vesting</w:t>
            </w:r>
          </w:p>
        </w:tc>
      </w:tr>
      <w:tr>
        <w:trPr>
          <w:trHeight w:val="202"/>
        </w:trPr>
        <w:tc>
          <w:tcPr>
            <w:tcW w:w="2980" w:type="dxa"/>
            <w:vAlign w:val="bottom"/>
            <w:shd w:val="clear" w:color="auto" w:fill="508BC7"/>
          </w:tcPr>
          <w:p>
            <w:pPr>
              <w:ind w:left="1300"/>
              <w:spacing w:after="0"/>
              <w:rPr>
                <w:sz w:val="20"/>
                <w:szCs w:val="20"/>
                <w:color w:val="auto"/>
              </w:rPr>
            </w:pPr>
            <w:r>
              <w:rPr>
                <w:rFonts w:ascii="Arial" w:cs="Arial" w:eastAsia="Arial" w:hAnsi="Arial"/>
                <w:sz w:val="14"/>
                <w:szCs w:val="14"/>
                <w:b w:val="1"/>
                <w:bCs w:val="1"/>
                <w:color w:val="FFFFFF"/>
              </w:rPr>
              <w:t>Name</w:t>
            </w:r>
          </w:p>
        </w:tc>
        <w:tc>
          <w:tcPr>
            <w:tcW w:w="2560" w:type="dxa"/>
            <w:vAlign w:val="bottom"/>
            <w:shd w:val="clear" w:color="auto" w:fill="508BC7"/>
          </w:tcPr>
          <w:p>
            <w:pPr>
              <w:jc w:val="center"/>
              <w:ind w:right="173"/>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508BC7"/>
          </w:tcPr>
          <w:p>
            <w:pPr>
              <w:jc w:val="center"/>
              <w:ind w:right="232"/>
              <w:spacing w:after="0"/>
              <w:rPr>
                <w:sz w:val="20"/>
                <w:szCs w:val="20"/>
                <w:color w:val="auto"/>
              </w:rPr>
            </w:pPr>
            <w:r>
              <w:rPr>
                <w:rFonts w:ascii="Arial" w:cs="Arial" w:eastAsia="Arial" w:hAnsi="Arial"/>
                <w:sz w:val="14"/>
                <w:szCs w:val="14"/>
                <w:b w:val="1"/>
                <w:bCs w:val="1"/>
                <w:color w:val="FFFFFF"/>
              </w:rPr>
              <w:t>($)</w:t>
            </w:r>
          </w:p>
        </w:tc>
        <w:tc>
          <w:tcPr>
            <w:tcW w:w="2720" w:type="dxa"/>
            <w:vAlign w:val="bottom"/>
            <w:shd w:val="clear" w:color="auto" w:fill="508BC7"/>
          </w:tcPr>
          <w:p>
            <w:pPr>
              <w:jc w:val="center"/>
              <w:ind w:right="372"/>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508BC7"/>
          </w:tcPr>
          <w:p>
            <w:pPr>
              <w:jc w:val="center"/>
              <w:ind w:right="191"/>
              <w:spacing w:after="0"/>
              <w:rPr>
                <w:sz w:val="20"/>
                <w:szCs w:val="20"/>
                <w:color w:val="auto"/>
              </w:rPr>
            </w:pPr>
            <w:r>
              <w:rPr>
                <w:rFonts w:ascii="Arial" w:cs="Arial" w:eastAsia="Arial" w:hAnsi="Arial"/>
                <w:sz w:val="14"/>
                <w:szCs w:val="14"/>
                <w:b w:val="1"/>
                <w:bCs w:val="1"/>
                <w:color w:val="FFFFFF"/>
              </w:rPr>
              <w:t>($)</w:t>
            </w:r>
          </w:p>
        </w:tc>
      </w:tr>
      <w:tr>
        <w:trPr>
          <w:trHeight w:val="202"/>
        </w:trPr>
        <w:tc>
          <w:tcPr>
            <w:tcW w:w="2980" w:type="dxa"/>
            <w:vAlign w:val="bottom"/>
            <w:shd w:val="clear" w:color="auto" w:fill="D0E0F0"/>
          </w:tcPr>
          <w:p>
            <w:pPr>
              <w:ind w:left="100"/>
              <w:spacing w:after="0" w:line="201" w:lineRule="exact"/>
              <w:rPr>
                <w:sz w:val="20"/>
                <w:szCs w:val="20"/>
                <w:color w:val="auto"/>
              </w:rPr>
            </w:pPr>
            <w:r>
              <w:rPr>
                <w:rFonts w:ascii="Arial" w:cs="Arial" w:eastAsia="Arial" w:hAnsi="Arial"/>
                <w:sz w:val="18"/>
                <w:szCs w:val="18"/>
                <w:color w:val="auto"/>
              </w:rPr>
              <w:t>Rohit Kapoor</w:t>
            </w:r>
          </w:p>
        </w:tc>
        <w:tc>
          <w:tcPr>
            <w:tcW w:w="2560" w:type="dxa"/>
            <w:vAlign w:val="bottom"/>
            <w:shd w:val="clear" w:color="auto" w:fill="D0E0F0"/>
          </w:tcPr>
          <w:p>
            <w:pPr>
              <w:jc w:val="right"/>
              <w:ind w:right="533"/>
              <w:spacing w:after="0" w:line="201" w:lineRule="exact"/>
              <w:rPr>
                <w:sz w:val="20"/>
                <w:szCs w:val="20"/>
                <w:color w:val="auto"/>
              </w:rPr>
            </w:pPr>
            <w:r>
              <w:rPr>
                <w:rFonts w:ascii="Arial" w:cs="Arial" w:eastAsia="Arial" w:hAnsi="Arial"/>
                <w:sz w:val="18"/>
                <w:szCs w:val="18"/>
                <w:color w:val="auto"/>
              </w:rPr>
              <w:t>500</w:t>
            </w:r>
          </w:p>
        </w:tc>
        <w:tc>
          <w:tcPr>
            <w:tcW w:w="1500" w:type="dxa"/>
            <w:vAlign w:val="bottom"/>
            <w:shd w:val="clear" w:color="auto" w:fill="D0E0F0"/>
          </w:tcPr>
          <w:p>
            <w:pPr>
              <w:jc w:val="right"/>
              <w:ind w:right="332"/>
              <w:spacing w:after="0" w:line="201" w:lineRule="exact"/>
              <w:rPr>
                <w:sz w:val="20"/>
                <w:szCs w:val="20"/>
                <w:color w:val="auto"/>
              </w:rPr>
            </w:pPr>
            <w:r>
              <w:rPr>
                <w:rFonts w:ascii="Arial" w:cs="Arial" w:eastAsia="Arial" w:hAnsi="Arial"/>
                <w:sz w:val="18"/>
                <w:szCs w:val="18"/>
                <w:color w:val="auto"/>
              </w:rPr>
              <w:t>16,183</w:t>
            </w:r>
          </w:p>
        </w:tc>
        <w:tc>
          <w:tcPr>
            <w:tcW w:w="2720" w:type="dxa"/>
            <w:vAlign w:val="bottom"/>
            <w:shd w:val="clear" w:color="auto" w:fill="D0E0F0"/>
          </w:tcPr>
          <w:p>
            <w:pPr>
              <w:jc w:val="right"/>
              <w:ind w:right="672"/>
              <w:spacing w:after="0" w:line="201" w:lineRule="exact"/>
              <w:rPr>
                <w:sz w:val="20"/>
                <w:szCs w:val="20"/>
                <w:color w:val="auto"/>
              </w:rPr>
            </w:pPr>
            <w:r>
              <w:rPr>
                <w:rFonts w:ascii="Arial" w:cs="Arial" w:eastAsia="Arial" w:hAnsi="Arial"/>
                <w:sz w:val="18"/>
                <w:szCs w:val="18"/>
                <w:color w:val="auto"/>
              </w:rPr>
              <w:t>674</w:t>
            </w:r>
          </w:p>
        </w:tc>
        <w:tc>
          <w:tcPr>
            <w:tcW w:w="1660" w:type="dxa"/>
            <w:vAlign w:val="bottom"/>
            <w:shd w:val="clear" w:color="auto" w:fill="D0E0F0"/>
          </w:tcPr>
          <w:p>
            <w:pPr>
              <w:jc w:val="right"/>
              <w:ind w:right="271"/>
              <w:spacing w:after="0" w:line="201" w:lineRule="exact"/>
              <w:rPr>
                <w:sz w:val="20"/>
                <w:szCs w:val="20"/>
                <w:color w:val="auto"/>
              </w:rPr>
            </w:pPr>
            <w:r>
              <w:rPr>
                <w:rFonts w:ascii="Arial" w:cs="Arial" w:eastAsia="Arial" w:hAnsi="Arial"/>
                <w:sz w:val="18"/>
                <w:szCs w:val="18"/>
                <w:color w:val="auto"/>
              </w:rPr>
              <w:t>29,986</w:t>
            </w: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jc w:val="right"/>
              <w:ind w:right="533"/>
              <w:spacing w:after="0" w:line="202" w:lineRule="exact"/>
              <w:rPr>
                <w:sz w:val="20"/>
                <w:szCs w:val="20"/>
                <w:color w:val="auto"/>
              </w:rPr>
            </w:pPr>
            <w:r>
              <w:rPr>
                <w:rFonts w:ascii="Arial" w:cs="Arial" w:eastAsia="Arial" w:hAnsi="Arial"/>
                <w:sz w:val="18"/>
                <w:szCs w:val="18"/>
                <w:color w:val="auto"/>
              </w:rPr>
              <w:t>49,500</w:t>
            </w:r>
          </w:p>
        </w:tc>
        <w:tc>
          <w:tcPr>
            <w:tcW w:w="1500" w:type="dxa"/>
            <w:vAlign w:val="bottom"/>
            <w:shd w:val="clear" w:color="auto" w:fill="D0E0F0"/>
          </w:tcPr>
          <w:p>
            <w:pPr>
              <w:jc w:val="right"/>
              <w:ind w:right="332"/>
              <w:spacing w:after="0" w:line="202" w:lineRule="exact"/>
              <w:rPr>
                <w:sz w:val="20"/>
                <w:szCs w:val="20"/>
                <w:color w:val="auto"/>
              </w:rPr>
            </w:pPr>
            <w:r>
              <w:rPr>
                <w:rFonts w:ascii="Arial" w:cs="Arial" w:eastAsia="Arial" w:hAnsi="Arial"/>
                <w:sz w:val="18"/>
                <w:szCs w:val="18"/>
                <w:color w:val="auto"/>
              </w:rPr>
              <w:t>1,599,098</w:t>
            </w:r>
          </w:p>
        </w:tc>
        <w:tc>
          <w:tcPr>
            <w:tcW w:w="2720" w:type="dxa"/>
            <w:vAlign w:val="bottom"/>
            <w:shd w:val="clear" w:color="auto" w:fill="D0E0F0"/>
          </w:tcPr>
          <w:p>
            <w:pPr>
              <w:jc w:val="right"/>
              <w:ind w:right="672"/>
              <w:spacing w:after="0" w:line="202" w:lineRule="exact"/>
              <w:rPr>
                <w:sz w:val="20"/>
                <w:szCs w:val="20"/>
                <w:color w:val="auto"/>
              </w:rPr>
            </w:pPr>
            <w:r>
              <w:rPr>
                <w:rFonts w:ascii="Arial" w:cs="Arial" w:eastAsia="Arial" w:hAnsi="Arial"/>
                <w:sz w:val="18"/>
                <w:szCs w:val="18"/>
                <w:color w:val="auto"/>
              </w:rPr>
              <w:t>18,750</w:t>
            </w:r>
          </w:p>
        </w:tc>
        <w:tc>
          <w:tcPr>
            <w:tcW w:w="1660" w:type="dxa"/>
            <w:vAlign w:val="bottom"/>
            <w:shd w:val="clear" w:color="auto" w:fill="D0E0F0"/>
          </w:tcPr>
          <w:p>
            <w:pPr>
              <w:jc w:val="right"/>
              <w:ind w:right="271"/>
              <w:spacing w:after="0" w:line="202" w:lineRule="exact"/>
              <w:rPr>
                <w:sz w:val="20"/>
                <w:szCs w:val="20"/>
                <w:color w:val="auto"/>
              </w:rPr>
            </w:pPr>
            <w:r>
              <w:rPr>
                <w:rFonts w:ascii="Arial" w:cs="Arial" w:eastAsia="Arial" w:hAnsi="Arial"/>
                <w:sz w:val="18"/>
                <w:szCs w:val="18"/>
                <w:color w:val="auto"/>
              </w:rPr>
              <w:t>834,188</w:t>
            </w: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jc w:val="right"/>
              <w:ind w:right="533"/>
              <w:spacing w:after="0" w:line="202" w:lineRule="exact"/>
              <w:rPr>
                <w:sz w:val="20"/>
                <w:szCs w:val="20"/>
                <w:color w:val="auto"/>
              </w:rPr>
            </w:pPr>
            <w:r>
              <w:rPr>
                <w:rFonts w:ascii="Arial" w:cs="Arial" w:eastAsia="Arial" w:hAnsi="Arial"/>
                <w:sz w:val="18"/>
                <w:szCs w:val="18"/>
                <w:color w:val="auto"/>
              </w:rPr>
              <w:t>50,000</w:t>
            </w:r>
          </w:p>
        </w:tc>
        <w:tc>
          <w:tcPr>
            <w:tcW w:w="1500" w:type="dxa"/>
            <w:vAlign w:val="bottom"/>
            <w:shd w:val="clear" w:color="auto" w:fill="D0E0F0"/>
          </w:tcPr>
          <w:p>
            <w:pPr>
              <w:jc w:val="right"/>
              <w:ind w:right="332"/>
              <w:spacing w:after="0" w:line="202" w:lineRule="exact"/>
              <w:rPr>
                <w:sz w:val="20"/>
                <w:szCs w:val="20"/>
                <w:color w:val="auto"/>
              </w:rPr>
            </w:pPr>
            <w:r>
              <w:rPr>
                <w:rFonts w:ascii="Arial" w:cs="Arial" w:eastAsia="Arial" w:hAnsi="Arial"/>
                <w:sz w:val="18"/>
                <w:szCs w:val="18"/>
                <w:color w:val="auto"/>
              </w:rPr>
              <w:t>1,665,250</w:t>
            </w:r>
          </w:p>
        </w:tc>
        <w:tc>
          <w:tcPr>
            <w:tcW w:w="2720" w:type="dxa"/>
            <w:vAlign w:val="bottom"/>
            <w:shd w:val="clear" w:color="auto" w:fill="D0E0F0"/>
          </w:tcPr>
          <w:p>
            <w:pPr>
              <w:jc w:val="right"/>
              <w:ind w:right="672"/>
              <w:spacing w:after="0" w:line="202" w:lineRule="exact"/>
              <w:rPr>
                <w:sz w:val="20"/>
                <w:szCs w:val="20"/>
                <w:color w:val="auto"/>
              </w:rPr>
            </w:pPr>
            <w:r>
              <w:rPr>
                <w:rFonts w:ascii="Arial" w:cs="Arial" w:eastAsia="Arial" w:hAnsi="Arial"/>
                <w:sz w:val="18"/>
                <w:szCs w:val="18"/>
                <w:color w:val="auto"/>
              </w:rPr>
              <w:t>9,375</w:t>
            </w:r>
          </w:p>
        </w:tc>
        <w:tc>
          <w:tcPr>
            <w:tcW w:w="1660" w:type="dxa"/>
            <w:vAlign w:val="bottom"/>
            <w:shd w:val="clear" w:color="auto" w:fill="D0E0F0"/>
          </w:tcPr>
          <w:p>
            <w:pPr>
              <w:jc w:val="right"/>
              <w:ind w:right="271"/>
              <w:spacing w:after="0" w:line="202" w:lineRule="exact"/>
              <w:rPr>
                <w:sz w:val="20"/>
                <w:szCs w:val="20"/>
                <w:color w:val="auto"/>
              </w:rPr>
            </w:pPr>
            <w:r>
              <w:rPr>
                <w:rFonts w:ascii="Arial" w:cs="Arial" w:eastAsia="Arial" w:hAnsi="Arial"/>
                <w:sz w:val="18"/>
                <w:szCs w:val="18"/>
                <w:color w:val="auto"/>
              </w:rPr>
              <w:t>410,438</w:t>
            </w: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jc w:val="right"/>
              <w:ind w:right="533"/>
              <w:spacing w:after="0" w:line="202" w:lineRule="exact"/>
              <w:rPr>
                <w:sz w:val="20"/>
                <w:szCs w:val="20"/>
                <w:color w:val="auto"/>
              </w:rPr>
            </w:pPr>
            <w:r>
              <w:rPr>
                <w:rFonts w:ascii="Arial" w:cs="Arial" w:eastAsia="Arial" w:hAnsi="Arial"/>
                <w:sz w:val="18"/>
                <w:szCs w:val="18"/>
                <w:color w:val="auto"/>
              </w:rPr>
              <w:t>1,717</w:t>
            </w:r>
          </w:p>
        </w:tc>
        <w:tc>
          <w:tcPr>
            <w:tcW w:w="1500" w:type="dxa"/>
            <w:vAlign w:val="bottom"/>
            <w:shd w:val="clear" w:color="auto" w:fill="D0E0F0"/>
          </w:tcPr>
          <w:p>
            <w:pPr>
              <w:jc w:val="right"/>
              <w:ind w:right="332"/>
              <w:spacing w:after="0" w:line="202" w:lineRule="exact"/>
              <w:rPr>
                <w:sz w:val="20"/>
                <w:szCs w:val="20"/>
                <w:color w:val="auto"/>
              </w:rPr>
            </w:pPr>
            <w:r>
              <w:rPr>
                <w:rFonts w:ascii="Arial" w:cs="Arial" w:eastAsia="Arial" w:hAnsi="Arial"/>
                <w:sz w:val="18"/>
                <w:szCs w:val="18"/>
                <w:color w:val="auto"/>
              </w:rPr>
              <w:t>61,099</w:t>
            </w:r>
          </w:p>
        </w:tc>
        <w:tc>
          <w:tcPr>
            <w:tcW w:w="2720" w:type="dxa"/>
            <w:vAlign w:val="bottom"/>
            <w:shd w:val="clear" w:color="auto" w:fill="D0E0F0"/>
          </w:tcPr>
          <w:p>
            <w:pPr>
              <w:jc w:val="right"/>
              <w:ind w:right="672"/>
              <w:spacing w:after="0" w:line="202" w:lineRule="exact"/>
              <w:rPr>
                <w:sz w:val="20"/>
                <w:szCs w:val="20"/>
                <w:color w:val="auto"/>
              </w:rPr>
            </w:pPr>
            <w:r>
              <w:rPr>
                <w:rFonts w:ascii="Arial" w:cs="Arial" w:eastAsia="Arial" w:hAnsi="Arial"/>
                <w:sz w:val="18"/>
                <w:szCs w:val="18"/>
                <w:color w:val="auto"/>
              </w:rPr>
              <w:t>1,204</w:t>
            </w:r>
          </w:p>
        </w:tc>
        <w:tc>
          <w:tcPr>
            <w:tcW w:w="1660" w:type="dxa"/>
            <w:vAlign w:val="bottom"/>
            <w:shd w:val="clear" w:color="auto" w:fill="D0E0F0"/>
          </w:tcPr>
          <w:p>
            <w:pPr>
              <w:jc w:val="right"/>
              <w:ind w:right="271"/>
              <w:spacing w:after="0" w:line="202" w:lineRule="exact"/>
              <w:rPr>
                <w:sz w:val="20"/>
                <w:szCs w:val="20"/>
                <w:color w:val="auto"/>
              </w:rPr>
            </w:pPr>
            <w:r>
              <w:rPr>
                <w:rFonts w:ascii="Arial" w:cs="Arial" w:eastAsia="Arial" w:hAnsi="Arial"/>
                <w:sz w:val="18"/>
                <w:szCs w:val="18"/>
                <w:color w:val="auto"/>
              </w:rPr>
              <w:t>52,711</w:t>
            </w: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jc w:val="right"/>
              <w:ind w:right="533"/>
              <w:spacing w:after="0" w:line="202" w:lineRule="exact"/>
              <w:rPr>
                <w:sz w:val="20"/>
                <w:szCs w:val="20"/>
                <w:color w:val="auto"/>
              </w:rPr>
            </w:pPr>
            <w:r>
              <w:rPr>
                <w:rFonts w:ascii="Arial" w:cs="Arial" w:eastAsia="Arial" w:hAnsi="Arial"/>
                <w:sz w:val="18"/>
                <w:szCs w:val="18"/>
                <w:color w:val="auto"/>
              </w:rPr>
              <w:t>30,000</w:t>
            </w:r>
          </w:p>
        </w:tc>
        <w:tc>
          <w:tcPr>
            <w:tcW w:w="1500" w:type="dxa"/>
            <w:vAlign w:val="bottom"/>
            <w:shd w:val="clear" w:color="auto" w:fill="D0E0F0"/>
          </w:tcPr>
          <w:p>
            <w:pPr>
              <w:jc w:val="right"/>
              <w:ind w:right="332"/>
              <w:spacing w:after="0" w:line="202" w:lineRule="exact"/>
              <w:rPr>
                <w:sz w:val="20"/>
                <w:szCs w:val="20"/>
                <w:color w:val="auto"/>
              </w:rPr>
            </w:pPr>
            <w:r>
              <w:rPr>
                <w:rFonts w:ascii="Arial" w:cs="Arial" w:eastAsia="Arial" w:hAnsi="Arial"/>
                <w:sz w:val="18"/>
                <w:szCs w:val="18"/>
                <w:color w:val="auto"/>
              </w:rPr>
              <w:t>1,108,650</w:t>
            </w:r>
          </w:p>
        </w:tc>
        <w:tc>
          <w:tcPr>
            <w:tcW w:w="2720" w:type="dxa"/>
            <w:vAlign w:val="bottom"/>
            <w:shd w:val="clear" w:color="auto" w:fill="D0E0F0"/>
          </w:tcPr>
          <w:p>
            <w:pPr>
              <w:jc w:val="right"/>
              <w:ind w:right="672"/>
              <w:spacing w:after="0" w:line="202" w:lineRule="exact"/>
              <w:rPr>
                <w:sz w:val="20"/>
                <w:szCs w:val="20"/>
                <w:color w:val="auto"/>
              </w:rPr>
            </w:pPr>
            <w:r>
              <w:rPr>
                <w:rFonts w:ascii="Arial" w:cs="Arial" w:eastAsia="Arial" w:hAnsi="Arial"/>
                <w:sz w:val="18"/>
                <w:szCs w:val="18"/>
                <w:color w:val="auto"/>
              </w:rPr>
              <w:t>9,375</w:t>
            </w:r>
          </w:p>
        </w:tc>
        <w:tc>
          <w:tcPr>
            <w:tcW w:w="1660" w:type="dxa"/>
            <w:vAlign w:val="bottom"/>
            <w:shd w:val="clear" w:color="auto" w:fill="D0E0F0"/>
          </w:tcPr>
          <w:p>
            <w:pPr>
              <w:jc w:val="right"/>
              <w:ind w:right="271"/>
              <w:spacing w:after="0" w:line="202" w:lineRule="exact"/>
              <w:rPr>
                <w:sz w:val="20"/>
                <w:szCs w:val="20"/>
                <w:color w:val="auto"/>
              </w:rPr>
            </w:pPr>
            <w:r>
              <w:rPr>
                <w:rFonts w:ascii="Arial" w:cs="Arial" w:eastAsia="Arial" w:hAnsi="Arial"/>
                <w:sz w:val="18"/>
                <w:szCs w:val="18"/>
                <w:color w:val="auto"/>
              </w:rPr>
              <w:t>449,250</w:t>
            </w: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jc w:val="right"/>
              <w:ind w:right="533"/>
              <w:spacing w:after="0" w:line="202" w:lineRule="exact"/>
              <w:rPr>
                <w:sz w:val="20"/>
                <w:szCs w:val="20"/>
                <w:color w:val="auto"/>
              </w:rPr>
            </w:pPr>
            <w:r>
              <w:rPr>
                <w:rFonts w:ascii="Arial" w:cs="Arial" w:eastAsia="Arial" w:hAnsi="Arial"/>
                <w:sz w:val="18"/>
                <w:szCs w:val="18"/>
                <w:color w:val="auto"/>
              </w:rPr>
              <w:t>14,714</w:t>
            </w:r>
          </w:p>
        </w:tc>
        <w:tc>
          <w:tcPr>
            <w:tcW w:w="1500" w:type="dxa"/>
            <w:vAlign w:val="bottom"/>
            <w:shd w:val="clear" w:color="auto" w:fill="D0E0F0"/>
          </w:tcPr>
          <w:p>
            <w:pPr>
              <w:jc w:val="right"/>
              <w:ind w:right="332"/>
              <w:spacing w:after="0" w:line="202" w:lineRule="exact"/>
              <w:rPr>
                <w:sz w:val="20"/>
                <w:szCs w:val="20"/>
                <w:color w:val="auto"/>
              </w:rPr>
            </w:pPr>
            <w:r>
              <w:rPr>
                <w:rFonts w:ascii="Arial" w:cs="Arial" w:eastAsia="Arial" w:hAnsi="Arial"/>
                <w:sz w:val="18"/>
                <w:szCs w:val="18"/>
                <w:color w:val="auto"/>
              </w:rPr>
              <w:t>552,879</w:t>
            </w:r>
          </w:p>
        </w:tc>
        <w:tc>
          <w:tcPr>
            <w:tcW w:w="2720" w:type="dxa"/>
            <w:vAlign w:val="bottom"/>
            <w:shd w:val="clear" w:color="auto" w:fill="D0E0F0"/>
          </w:tcPr>
          <w:p>
            <w:pPr>
              <w:jc w:val="right"/>
              <w:ind w:right="672"/>
              <w:spacing w:after="0" w:line="202" w:lineRule="exact"/>
              <w:rPr>
                <w:sz w:val="20"/>
                <w:szCs w:val="20"/>
                <w:color w:val="auto"/>
              </w:rPr>
            </w:pPr>
            <w:r>
              <w:rPr>
                <w:rFonts w:ascii="Arial" w:cs="Arial" w:eastAsia="Arial" w:hAnsi="Arial"/>
                <w:sz w:val="18"/>
                <w:szCs w:val="18"/>
                <w:color w:val="auto"/>
              </w:rPr>
              <w:t>9,375</w:t>
            </w:r>
          </w:p>
        </w:tc>
        <w:tc>
          <w:tcPr>
            <w:tcW w:w="1660" w:type="dxa"/>
            <w:vAlign w:val="bottom"/>
            <w:shd w:val="clear" w:color="auto" w:fill="D0E0F0"/>
          </w:tcPr>
          <w:p>
            <w:pPr>
              <w:jc w:val="right"/>
              <w:ind w:right="271"/>
              <w:spacing w:after="0" w:line="202" w:lineRule="exact"/>
              <w:rPr>
                <w:sz w:val="20"/>
                <w:szCs w:val="20"/>
                <w:color w:val="auto"/>
              </w:rPr>
            </w:pPr>
            <w:r>
              <w:rPr>
                <w:rFonts w:ascii="Arial" w:cs="Arial" w:eastAsia="Arial" w:hAnsi="Arial"/>
                <w:sz w:val="18"/>
                <w:szCs w:val="18"/>
                <w:color w:val="auto"/>
              </w:rPr>
              <w:t>417,094</w:t>
            </w: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jc w:val="right"/>
              <w:ind w:right="533"/>
              <w:spacing w:after="0" w:line="202" w:lineRule="exact"/>
              <w:rPr>
                <w:sz w:val="20"/>
                <w:szCs w:val="20"/>
                <w:color w:val="auto"/>
              </w:rPr>
            </w:pPr>
            <w:r>
              <w:rPr>
                <w:rFonts w:ascii="Arial" w:cs="Arial" w:eastAsia="Arial" w:hAnsi="Arial"/>
                <w:sz w:val="18"/>
                <w:szCs w:val="18"/>
                <w:color w:val="auto"/>
              </w:rPr>
              <w:t>3,569</w:t>
            </w:r>
          </w:p>
        </w:tc>
        <w:tc>
          <w:tcPr>
            <w:tcW w:w="1500" w:type="dxa"/>
            <w:vAlign w:val="bottom"/>
            <w:shd w:val="clear" w:color="auto" w:fill="D0E0F0"/>
          </w:tcPr>
          <w:p>
            <w:pPr>
              <w:jc w:val="right"/>
              <w:ind w:right="332"/>
              <w:spacing w:after="0" w:line="202" w:lineRule="exact"/>
              <w:rPr>
                <w:sz w:val="20"/>
                <w:szCs w:val="20"/>
                <w:color w:val="auto"/>
              </w:rPr>
            </w:pPr>
            <w:r>
              <w:rPr>
                <w:rFonts w:ascii="Arial" w:cs="Arial" w:eastAsia="Arial" w:hAnsi="Arial"/>
                <w:sz w:val="18"/>
                <w:szCs w:val="18"/>
                <w:color w:val="auto"/>
              </w:rPr>
              <w:t>134,177</w:t>
            </w:r>
          </w:p>
        </w:tc>
        <w:tc>
          <w:tcPr>
            <w:tcW w:w="2720" w:type="dxa"/>
            <w:vAlign w:val="bottom"/>
            <w:shd w:val="clear" w:color="auto" w:fill="D0E0F0"/>
          </w:tcPr>
          <w:p>
            <w:pPr>
              <w:jc w:val="right"/>
              <w:ind w:right="672"/>
              <w:spacing w:after="0" w:line="202" w:lineRule="exact"/>
              <w:rPr>
                <w:sz w:val="20"/>
                <w:szCs w:val="20"/>
                <w:color w:val="auto"/>
              </w:rPr>
            </w:pPr>
            <w:r>
              <w:rPr>
                <w:rFonts w:ascii="Arial" w:cs="Arial" w:eastAsia="Arial" w:hAnsi="Arial"/>
                <w:sz w:val="18"/>
                <w:szCs w:val="18"/>
                <w:color w:val="auto"/>
              </w:rPr>
              <w:t>12,585</w:t>
            </w:r>
          </w:p>
        </w:tc>
        <w:tc>
          <w:tcPr>
            <w:tcW w:w="1660" w:type="dxa"/>
            <w:vAlign w:val="bottom"/>
            <w:shd w:val="clear" w:color="auto" w:fill="D0E0F0"/>
          </w:tcPr>
          <w:p>
            <w:pPr>
              <w:jc w:val="right"/>
              <w:ind w:right="271"/>
              <w:spacing w:after="0" w:line="202" w:lineRule="exact"/>
              <w:rPr>
                <w:sz w:val="20"/>
                <w:szCs w:val="20"/>
                <w:color w:val="auto"/>
              </w:rPr>
            </w:pPr>
            <w:r>
              <w:rPr>
                <w:rFonts w:ascii="Arial" w:cs="Arial" w:eastAsia="Arial" w:hAnsi="Arial"/>
                <w:sz w:val="18"/>
                <w:szCs w:val="18"/>
                <w:color w:val="auto"/>
              </w:rPr>
              <w:t>584,573</w:t>
            </w: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jc w:val="right"/>
              <w:ind w:right="533"/>
              <w:spacing w:after="0" w:line="202" w:lineRule="exact"/>
              <w:rPr>
                <w:sz w:val="20"/>
                <w:szCs w:val="20"/>
                <w:color w:val="auto"/>
              </w:rPr>
            </w:pPr>
            <w:r>
              <w:rPr>
                <w:rFonts w:ascii="Arial" w:cs="Arial" w:eastAsia="Arial" w:hAnsi="Arial"/>
                <w:sz w:val="18"/>
                <w:szCs w:val="18"/>
                <w:color w:val="auto"/>
              </w:rPr>
              <w:t>50,000</w:t>
            </w:r>
          </w:p>
        </w:tc>
        <w:tc>
          <w:tcPr>
            <w:tcW w:w="1500" w:type="dxa"/>
            <w:vAlign w:val="bottom"/>
            <w:shd w:val="clear" w:color="auto" w:fill="D0E0F0"/>
          </w:tcPr>
          <w:p>
            <w:pPr>
              <w:jc w:val="right"/>
              <w:ind w:right="332"/>
              <w:spacing w:after="0" w:line="202" w:lineRule="exact"/>
              <w:rPr>
                <w:sz w:val="20"/>
                <w:szCs w:val="20"/>
                <w:color w:val="auto"/>
              </w:rPr>
            </w:pPr>
            <w:r>
              <w:rPr>
                <w:rFonts w:ascii="Arial" w:cs="Arial" w:eastAsia="Arial" w:hAnsi="Arial"/>
                <w:sz w:val="18"/>
                <w:szCs w:val="18"/>
                <w:color w:val="auto"/>
              </w:rPr>
              <w:t>1,597,500</w:t>
            </w:r>
          </w:p>
        </w:tc>
        <w:tc>
          <w:tcPr>
            <w:tcW w:w="2720" w:type="dxa"/>
            <w:vAlign w:val="bottom"/>
            <w:shd w:val="clear" w:color="auto" w:fill="D0E0F0"/>
          </w:tcPr>
          <w:p>
            <w:pPr>
              <w:jc w:val="right"/>
              <w:ind w:right="672"/>
              <w:spacing w:after="0" w:line="202" w:lineRule="exact"/>
              <w:rPr>
                <w:sz w:val="20"/>
                <w:szCs w:val="20"/>
                <w:color w:val="auto"/>
              </w:rPr>
            </w:pPr>
            <w:r>
              <w:rPr>
                <w:rFonts w:ascii="Arial" w:cs="Arial" w:eastAsia="Arial" w:hAnsi="Arial"/>
                <w:sz w:val="18"/>
                <w:szCs w:val="18"/>
                <w:color w:val="auto"/>
              </w:rPr>
              <w:t>6,294</w:t>
            </w:r>
          </w:p>
        </w:tc>
        <w:tc>
          <w:tcPr>
            <w:tcW w:w="1660" w:type="dxa"/>
            <w:vAlign w:val="bottom"/>
            <w:shd w:val="clear" w:color="auto" w:fill="D0E0F0"/>
          </w:tcPr>
          <w:p>
            <w:pPr>
              <w:jc w:val="right"/>
              <w:ind w:right="271"/>
              <w:spacing w:after="0" w:line="202" w:lineRule="exact"/>
              <w:rPr>
                <w:sz w:val="20"/>
                <w:szCs w:val="20"/>
                <w:color w:val="auto"/>
              </w:rPr>
            </w:pPr>
            <w:r>
              <w:rPr>
                <w:rFonts w:ascii="Arial" w:cs="Arial" w:eastAsia="Arial" w:hAnsi="Arial"/>
                <w:sz w:val="18"/>
                <w:szCs w:val="18"/>
                <w:color w:val="auto"/>
              </w:rPr>
              <w:t>292,356</w:t>
            </w: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jc w:val="right"/>
              <w:ind w:right="533"/>
              <w:spacing w:after="0" w:line="202" w:lineRule="exact"/>
              <w:rPr>
                <w:sz w:val="20"/>
                <w:szCs w:val="20"/>
                <w:color w:val="auto"/>
              </w:rPr>
            </w:pPr>
            <w:r>
              <w:rPr>
                <w:rFonts w:ascii="Arial" w:cs="Arial" w:eastAsia="Arial" w:hAnsi="Arial"/>
                <w:sz w:val="18"/>
                <w:szCs w:val="18"/>
                <w:color w:val="auto"/>
              </w:rPr>
              <w:t>11,136</w:t>
            </w:r>
          </w:p>
        </w:tc>
        <w:tc>
          <w:tcPr>
            <w:tcW w:w="1500" w:type="dxa"/>
            <w:vAlign w:val="bottom"/>
            <w:shd w:val="clear" w:color="auto" w:fill="D0E0F0"/>
          </w:tcPr>
          <w:p>
            <w:pPr>
              <w:jc w:val="right"/>
              <w:ind w:right="332"/>
              <w:spacing w:after="0" w:line="202" w:lineRule="exact"/>
              <w:rPr>
                <w:sz w:val="20"/>
                <w:szCs w:val="20"/>
                <w:color w:val="auto"/>
              </w:rPr>
            </w:pPr>
            <w:r>
              <w:rPr>
                <w:rFonts w:ascii="Arial" w:cs="Arial" w:eastAsia="Arial" w:hAnsi="Arial"/>
                <w:sz w:val="18"/>
                <w:szCs w:val="18"/>
                <w:color w:val="auto"/>
              </w:rPr>
              <w:t>374,297</w:t>
            </w:r>
          </w:p>
        </w:tc>
        <w:tc>
          <w:tcPr>
            <w:tcW w:w="2720" w:type="dxa"/>
            <w:vAlign w:val="bottom"/>
            <w:shd w:val="clear" w:color="auto" w:fill="D0E0F0"/>
          </w:tcPr>
          <w:p>
            <w:pPr>
              <w:jc w:val="right"/>
              <w:ind w:right="672"/>
              <w:spacing w:after="0" w:line="202" w:lineRule="exact"/>
              <w:rPr>
                <w:sz w:val="20"/>
                <w:szCs w:val="20"/>
                <w:color w:val="auto"/>
              </w:rPr>
            </w:pPr>
            <w:r>
              <w:rPr>
                <w:rFonts w:ascii="Arial" w:cs="Arial" w:eastAsia="Arial" w:hAnsi="Arial"/>
                <w:sz w:val="18"/>
                <w:szCs w:val="18"/>
                <w:color w:val="auto"/>
              </w:rPr>
              <w:t>37,500</w:t>
            </w:r>
          </w:p>
        </w:tc>
        <w:tc>
          <w:tcPr>
            <w:tcW w:w="1660" w:type="dxa"/>
            <w:vAlign w:val="bottom"/>
            <w:shd w:val="clear" w:color="auto" w:fill="D0E0F0"/>
          </w:tcPr>
          <w:p>
            <w:pPr>
              <w:jc w:val="right"/>
              <w:ind w:right="271"/>
              <w:spacing w:after="0" w:line="202" w:lineRule="exact"/>
              <w:rPr>
                <w:sz w:val="20"/>
                <w:szCs w:val="20"/>
                <w:color w:val="auto"/>
              </w:rPr>
            </w:pPr>
            <w:r>
              <w:rPr>
                <w:rFonts w:ascii="Arial" w:cs="Arial" w:eastAsia="Arial" w:hAnsi="Arial"/>
                <w:sz w:val="18"/>
                <w:szCs w:val="18"/>
                <w:color w:val="auto"/>
              </w:rPr>
              <w:t>1,741,875</w:t>
            </w: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jc w:val="right"/>
              <w:ind w:right="533"/>
              <w:spacing w:after="0" w:line="202" w:lineRule="exact"/>
              <w:rPr>
                <w:sz w:val="20"/>
                <w:szCs w:val="20"/>
                <w:color w:val="auto"/>
              </w:rPr>
            </w:pPr>
            <w:r>
              <w:rPr>
                <w:rFonts w:ascii="Arial" w:cs="Arial" w:eastAsia="Arial" w:hAnsi="Arial"/>
                <w:sz w:val="18"/>
                <w:szCs w:val="18"/>
                <w:color w:val="auto"/>
              </w:rPr>
              <w:t>37,803</w:t>
            </w:r>
          </w:p>
        </w:tc>
        <w:tc>
          <w:tcPr>
            <w:tcW w:w="1500" w:type="dxa"/>
            <w:vAlign w:val="bottom"/>
            <w:shd w:val="clear" w:color="auto" w:fill="D0E0F0"/>
          </w:tcPr>
          <w:p>
            <w:pPr>
              <w:jc w:val="right"/>
              <w:ind w:right="332"/>
              <w:spacing w:after="0" w:line="202" w:lineRule="exact"/>
              <w:rPr>
                <w:sz w:val="20"/>
                <w:szCs w:val="20"/>
                <w:color w:val="auto"/>
              </w:rPr>
            </w:pPr>
            <w:r>
              <w:rPr>
                <w:rFonts w:ascii="Arial" w:cs="Arial" w:eastAsia="Arial" w:hAnsi="Arial"/>
                <w:sz w:val="18"/>
                <w:szCs w:val="18"/>
                <w:color w:val="auto"/>
              </w:rPr>
              <w:t>1,270,903</w:t>
            </w:r>
          </w:p>
        </w:tc>
        <w:tc>
          <w:tcPr>
            <w:tcW w:w="2720" w:type="dxa"/>
            <w:vAlign w:val="bottom"/>
            <w:shd w:val="clear" w:color="auto" w:fill="D0E0F0"/>
          </w:tcPr>
          <w:p>
            <w:pPr>
              <w:spacing w:after="0"/>
              <w:rPr>
                <w:sz w:val="17"/>
                <w:szCs w:val="17"/>
                <w:color w:val="auto"/>
              </w:rPr>
            </w:pPr>
          </w:p>
        </w:tc>
        <w:tc>
          <w:tcPr>
            <w:tcW w:w="1660" w:type="dxa"/>
            <w:vAlign w:val="bottom"/>
            <w:shd w:val="clear" w:color="auto" w:fill="D0E0F0"/>
          </w:tcPr>
          <w:p>
            <w:pPr>
              <w:spacing w:after="0"/>
              <w:rPr>
                <w:sz w:val="17"/>
                <w:szCs w:val="17"/>
                <w:color w:val="auto"/>
              </w:rPr>
            </w:pP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jc w:val="right"/>
              <w:ind w:right="533"/>
              <w:spacing w:after="0" w:line="203" w:lineRule="exact"/>
              <w:rPr>
                <w:sz w:val="20"/>
                <w:szCs w:val="20"/>
                <w:color w:val="auto"/>
              </w:rPr>
            </w:pPr>
            <w:r>
              <w:rPr>
                <w:rFonts w:ascii="Arial" w:cs="Arial" w:eastAsia="Arial" w:hAnsi="Arial"/>
                <w:sz w:val="18"/>
                <w:szCs w:val="18"/>
                <w:color w:val="auto"/>
              </w:rPr>
              <w:t>1,061</w:t>
            </w:r>
          </w:p>
        </w:tc>
        <w:tc>
          <w:tcPr>
            <w:tcW w:w="1500" w:type="dxa"/>
            <w:vAlign w:val="bottom"/>
            <w:shd w:val="clear" w:color="auto" w:fill="D0E0F0"/>
          </w:tcPr>
          <w:p>
            <w:pPr>
              <w:jc w:val="right"/>
              <w:ind w:right="332"/>
              <w:spacing w:after="0" w:line="203" w:lineRule="exact"/>
              <w:rPr>
                <w:sz w:val="20"/>
                <w:szCs w:val="20"/>
                <w:color w:val="auto"/>
              </w:rPr>
            </w:pPr>
            <w:r>
              <w:rPr>
                <w:rFonts w:ascii="Arial" w:cs="Arial" w:eastAsia="Arial" w:hAnsi="Arial"/>
                <w:sz w:val="18"/>
                <w:szCs w:val="18"/>
                <w:color w:val="auto"/>
              </w:rPr>
              <w:t>35,599</w:t>
            </w:r>
          </w:p>
        </w:tc>
        <w:tc>
          <w:tcPr>
            <w:tcW w:w="2720" w:type="dxa"/>
            <w:vAlign w:val="bottom"/>
            <w:shd w:val="clear" w:color="auto" w:fill="D0E0F0"/>
          </w:tcPr>
          <w:p>
            <w:pPr>
              <w:spacing w:after="0"/>
              <w:rPr>
                <w:sz w:val="17"/>
                <w:szCs w:val="17"/>
                <w:color w:val="auto"/>
              </w:rPr>
            </w:pPr>
          </w:p>
        </w:tc>
        <w:tc>
          <w:tcPr>
            <w:tcW w:w="1660" w:type="dxa"/>
            <w:vAlign w:val="bottom"/>
            <w:shd w:val="clear" w:color="auto" w:fill="D0E0F0"/>
          </w:tcPr>
          <w:p>
            <w:pPr>
              <w:spacing w:after="0"/>
              <w:rPr>
                <w:sz w:val="17"/>
                <w:szCs w:val="17"/>
                <w:color w:val="auto"/>
              </w:rPr>
            </w:pPr>
          </w:p>
        </w:tc>
      </w:tr>
      <w:tr>
        <w:trPr>
          <w:trHeight w:val="202"/>
        </w:trPr>
        <w:tc>
          <w:tcPr>
            <w:tcW w:w="2980" w:type="dxa"/>
            <w:vAlign w:val="bottom"/>
          </w:tcPr>
          <w:p>
            <w:pPr>
              <w:ind w:left="100"/>
              <w:spacing w:after="0" w:line="201" w:lineRule="exact"/>
              <w:rPr>
                <w:sz w:val="20"/>
                <w:szCs w:val="20"/>
                <w:color w:val="auto"/>
              </w:rPr>
            </w:pPr>
            <w:r>
              <w:rPr>
                <w:rFonts w:ascii="Arial" w:cs="Arial" w:eastAsia="Arial" w:hAnsi="Arial"/>
                <w:sz w:val="18"/>
                <w:szCs w:val="18"/>
                <w:color w:val="auto"/>
              </w:rPr>
              <w:t>Vishal Chhibbar</w:t>
            </w:r>
          </w:p>
        </w:tc>
        <w:tc>
          <w:tcPr>
            <w:tcW w:w="2560" w:type="dxa"/>
            <w:vAlign w:val="bottom"/>
          </w:tcPr>
          <w:p>
            <w:pPr>
              <w:jc w:val="right"/>
              <w:ind w:right="533"/>
              <w:spacing w:after="0" w:line="201" w:lineRule="exact"/>
              <w:rPr>
                <w:sz w:val="20"/>
                <w:szCs w:val="20"/>
                <w:color w:val="auto"/>
              </w:rPr>
            </w:pPr>
            <w:r>
              <w:rPr>
                <w:rFonts w:ascii="Arial" w:cs="Arial" w:eastAsia="Arial" w:hAnsi="Arial"/>
                <w:sz w:val="18"/>
                <w:szCs w:val="18"/>
                <w:color w:val="auto"/>
              </w:rPr>
              <w:t>2,700</w:t>
            </w:r>
          </w:p>
        </w:tc>
        <w:tc>
          <w:tcPr>
            <w:tcW w:w="1500" w:type="dxa"/>
            <w:vAlign w:val="bottom"/>
          </w:tcPr>
          <w:p>
            <w:pPr>
              <w:jc w:val="right"/>
              <w:ind w:right="332"/>
              <w:spacing w:after="0" w:line="201" w:lineRule="exact"/>
              <w:rPr>
                <w:sz w:val="20"/>
                <w:szCs w:val="20"/>
                <w:color w:val="auto"/>
              </w:rPr>
            </w:pPr>
            <w:r>
              <w:rPr>
                <w:rFonts w:ascii="Arial" w:cs="Arial" w:eastAsia="Arial" w:hAnsi="Arial"/>
                <w:sz w:val="18"/>
                <w:szCs w:val="18"/>
                <w:color w:val="auto"/>
              </w:rPr>
              <w:t>70,784</w:t>
            </w:r>
          </w:p>
        </w:tc>
        <w:tc>
          <w:tcPr>
            <w:tcW w:w="2720" w:type="dxa"/>
            <w:vAlign w:val="bottom"/>
          </w:tcPr>
          <w:p>
            <w:pPr>
              <w:jc w:val="right"/>
              <w:ind w:right="672"/>
              <w:spacing w:after="0" w:line="201" w:lineRule="exact"/>
              <w:rPr>
                <w:sz w:val="20"/>
                <w:szCs w:val="20"/>
                <w:color w:val="auto"/>
              </w:rPr>
            </w:pPr>
            <w:r>
              <w:rPr>
                <w:rFonts w:ascii="Arial" w:cs="Arial" w:eastAsia="Arial" w:hAnsi="Arial"/>
                <w:sz w:val="18"/>
                <w:szCs w:val="18"/>
                <w:color w:val="auto"/>
              </w:rPr>
              <w:t>297</w:t>
            </w:r>
          </w:p>
        </w:tc>
        <w:tc>
          <w:tcPr>
            <w:tcW w:w="1660" w:type="dxa"/>
            <w:vAlign w:val="bottom"/>
          </w:tcPr>
          <w:p>
            <w:pPr>
              <w:jc w:val="right"/>
              <w:ind w:right="271"/>
              <w:spacing w:after="0" w:line="201" w:lineRule="exact"/>
              <w:rPr>
                <w:sz w:val="20"/>
                <w:szCs w:val="20"/>
                <w:color w:val="auto"/>
              </w:rPr>
            </w:pPr>
            <w:r>
              <w:rPr>
                <w:rFonts w:ascii="Arial" w:cs="Arial" w:eastAsia="Arial" w:hAnsi="Arial"/>
                <w:sz w:val="18"/>
                <w:szCs w:val="18"/>
                <w:color w:val="auto"/>
              </w:rPr>
              <w:t>13,214</w:t>
            </w:r>
          </w:p>
        </w:tc>
      </w:tr>
      <w:tr>
        <w:trPr>
          <w:trHeight w:val="203"/>
        </w:trPr>
        <w:tc>
          <w:tcPr>
            <w:tcW w:w="2980" w:type="dxa"/>
            <w:vAlign w:val="bottom"/>
          </w:tcPr>
          <w:p>
            <w:pPr>
              <w:spacing w:after="0"/>
              <w:rPr>
                <w:sz w:val="17"/>
                <w:szCs w:val="17"/>
                <w:color w:val="auto"/>
              </w:rPr>
            </w:pPr>
          </w:p>
        </w:tc>
        <w:tc>
          <w:tcPr>
            <w:tcW w:w="2560" w:type="dxa"/>
            <w:vAlign w:val="bottom"/>
          </w:tcPr>
          <w:p>
            <w:pPr>
              <w:jc w:val="right"/>
              <w:ind w:right="533"/>
              <w:spacing w:after="0" w:line="202" w:lineRule="exact"/>
              <w:rPr>
                <w:sz w:val="20"/>
                <w:szCs w:val="20"/>
                <w:color w:val="auto"/>
              </w:rPr>
            </w:pPr>
            <w:r>
              <w:rPr>
                <w:rFonts w:ascii="Arial" w:cs="Arial" w:eastAsia="Arial" w:hAnsi="Arial"/>
                <w:sz w:val="18"/>
                <w:szCs w:val="18"/>
                <w:color w:val="auto"/>
              </w:rPr>
              <w:t>3,600</w:t>
            </w:r>
          </w:p>
        </w:tc>
        <w:tc>
          <w:tcPr>
            <w:tcW w:w="150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113,544</w:t>
            </w:r>
          </w:p>
        </w:tc>
        <w:tc>
          <w:tcPr>
            <w:tcW w:w="27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1,400</w:t>
            </w:r>
          </w:p>
        </w:tc>
        <w:tc>
          <w:tcPr>
            <w:tcW w:w="16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61,292</w:t>
            </w:r>
          </w:p>
        </w:tc>
      </w:tr>
      <w:tr>
        <w:trPr>
          <w:trHeight w:val="203"/>
        </w:trPr>
        <w:tc>
          <w:tcPr>
            <w:tcW w:w="2980" w:type="dxa"/>
            <w:vAlign w:val="bottom"/>
          </w:tcPr>
          <w:p>
            <w:pPr>
              <w:spacing w:after="0"/>
              <w:rPr>
                <w:sz w:val="17"/>
                <w:szCs w:val="17"/>
                <w:color w:val="auto"/>
              </w:rPr>
            </w:pPr>
          </w:p>
        </w:tc>
        <w:tc>
          <w:tcPr>
            <w:tcW w:w="2560" w:type="dxa"/>
            <w:vAlign w:val="bottom"/>
          </w:tcPr>
          <w:p>
            <w:pPr>
              <w:jc w:val="right"/>
              <w:ind w:right="533"/>
              <w:spacing w:after="0" w:line="202" w:lineRule="exact"/>
              <w:rPr>
                <w:sz w:val="20"/>
                <w:szCs w:val="20"/>
                <w:color w:val="auto"/>
              </w:rPr>
            </w:pPr>
            <w:r>
              <w:rPr>
                <w:rFonts w:ascii="Arial" w:cs="Arial" w:eastAsia="Arial" w:hAnsi="Arial"/>
                <w:sz w:val="18"/>
                <w:szCs w:val="18"/>
                <w:color w:val="auto"/>
              </w:rPr>
              <w:t>2,750</w:t>
            </w:r>
          </w:p>
        </w:tc>
        <w:tc>
          <w:tcPr>
            <w:tcW w:w="150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92,510</w:t>
            </w:r>
          </w:p>
        </w:tc>
        <w:tc>
          <w:tcPr>
            <w:tcW w:w="27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375</w:t>
            </w:r>
          </w:p>
        </w:tc>
        <w:tc>
          <w:tcPr>
            <w:tcW w:w="16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16,418</w:t>
            </w:r>
          </w:p>
        </w:tc>
      </w:tr>
      <w:tr>
        <w:trPr>
          <w:trHeight w:val="203"/>
        </w:trPr>
        <w:tc>
          <w:tcPr>
            <w:tcW w:w="2980" w:type="dxa"/>
            <w:vAlign w:val="bottom"/>
          </w:tcPr>
          <w:p>
            <w:pPr>
              <w:spacing w:after="0"/>
              <w:rPr>
                <w:sz w:val="17"/>
                <w:szCs w:val="17"/>
                <w:color w:val="auto"/>
              </w:rPr>
            </w:pPr>
          </w:p>
        </w:tc>
        <w:tc>
          <w:tcPr>
            <w:tcW w:w="2560" w:type="dxa"/>
            <w:vAlign w:val="bottom"/>
          </w:tcPr>
          <w:p>
            <w:pPr>
              <w:jc w:val="right"/>
              <w:ind w:right="533"/>
              <w:spacing w:after="0" w:line="202" w:lineRule="exact"/>
              <w:rPr>
                <w:sz w:val="20"/>
                <w:szCs w:val="20"/>
                <w:color w:val="auto"/>
              </w:rPr>
            </w:pPr>
            <w:r>
              <w:rPr>
                <w:rFonts w:ascii="Arial" w:cs="Arial" w:eastAsia="Arial" w:hAnsi="Arial"/>
                <w:sz w:val="18"/>
                <w:szCs w:val="18"/>
                <w:color w:val="auto"/>
              </w:rPr>
              <w:t>4,500</w:t>
            </w:r>
          </w:p>
        </w:tc>
        <w:tc>
          <w:tcPr>
            <w:tcW w:w="150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131,535</w:t>
            </w:r>
          </w:p>
        </w:tc>
        <w:tc>
          <w:tcPr>
            <w:tcW w:w="27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750</w:t>
            </w:r>
          </w:p>
        </w:tc>
        <w:tc>
          <w:tcPr>
            <w:tcW w:w="16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35,940</w:t>
            </w:r>
          </w:p>
        </w:tc>
      </w:tr>
      <w:tr>
        <w:trPr>
          <w:trHeight w:val="203"/>
        </w:trPr>
        <w:tc>
          <w:tcPr>
            <w:tcW w:w="2980" w:type="dxa"/>
            <w:vAlign w:val="bottom"/>
          </w:tcPr>
          <w:p>
            <w:pPr>
              <w:spacing w:after="0"/>
              <w:rPr>
                <w:sz w:val="17"/>
                <w:szCs w:val="17"/>
                <w:color w:val="auto"/>
              </w:rPr>
            </w:pPr>
          </w:p>
        </w:tc>
        <w:tc>
          <w:tcPr>
            <w:tcW w:w="2560" w:type="dxa"/>
            <w:vAlign w:val="bottom"/>
          </w:tcPr>
          <w:p>
            <w:pPr>
              <w:jc w:val="right"/>
              <w:ind w:right="533"/>
              <w:spacing w:after="0" w:line="202" w:lineRule="exact"/>
              <w:rPr>
                <w:sz w:val="20"/>
                <w:szCs w:val="20"/>
                <w:color w:val="auto"/>
              </w:rPr>
            </w:pPr>
            <w:r>
              <w:rPr>
                <w:rFonts w:ascii="Arial" w:cs="Arial" w:eastAsia="Arial" w:hAnsi="Arial"/>
                <w:sz w:val="18"/>
                <w:szCs w:val="18"/>
                <w:color w:val="auto"/>
              </w:rPr>
              <w:t>2,209</w:t>
            </w:r>
          </w:p>
        </w:tc>
        <w:tc>
          <w:tcPr>
            <w:tcW w:w="150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94,788</w:t>
            </w:r>
          </w:p>
        </w:tc>
        <w:tc>
          <w:tcPr>
            <w:tcW w:w="27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1,700</w:t>
            </w:r>
          </w:p>
        </w:tc>
        <w:tc>
          <w:tcPr>
            <w:tcW w:w="16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75,633</w:t>
            </w:r>
          </w:p>
        </w:tc>
      </w:tr>
      <w:tr>
        <w:trPr>
          <w:trHeight w:val="203"/>
        </w:trPr>
        <w:tc>
          <w:tcPr>
            <w:tcW w:w="2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3,600</w:t>
            </w:r>
          </w:p>
        </w:tc>
        <w:tc>
          <w:tcPr>
            <w:tcW w:w="16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160,164</w:t>
            </w:r>
          </w:p>
        </w:tc>
      </w:tr>
      <w:tr>
        <w:trPr>
          <w:trHeight w:val="203"/>
        </w:trPr>
        <w:tc>
          <w:tcPr>
            <w:tcW w:w="2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2,349</w:t>
            </w:r>
          </w:p>
        </w:tc>
        <w:tc>
          <w:tcPr>
            <w:tcW w:w="16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109,111</w:t>
            </w:r>
          </w:p>
        </w:tc>
      </w:tr>
      <w:tr>
        <w:trPr>
          <w:trHeight w:val="203"/>
        </w:trPr>
        <w:tc>
          <w:tcPr>
            <w:tcW w:w="2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1,175</w:t>
            </w:r>
          </w:p>
        </w:tc>
        <w:tc>
          <w:tcPr>
            <w:tcW w:w="16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54,579</w:t>
            </w:r>
          </w:p>
        </w:tc>
      </w:tr>
      <w:tr>
        <w:trPr>
          <w:trHeight w:val="203"/>
        </w:trPr>
        <w:tc>
          <w:tcPr>
            <w:tcW w:w="2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20" w:type="dxa"/>
            <w:vAlign w:val="bottom"/>
          </w:tcPr>
          <w:p>
            <w:pPr>
              <w:jc w:val="right"/>
              <w:ind w:right="672"/>
              <w:spacing w:after="0" w:line="203" w:lineRule="exact"/>
              <w:rPr>
                <w:sz w:val="20"/>
                <w:szCs w:val="20"/>
                <w:color w:val="auto"/>
              </w:rPr>
            </w:pPr>
            <w:r>
              <w:rPr>
                <w:rFonts w:ascii="Arial" w:cs="Arial" w:eastAsia="Arial" w:hAnsi="Arial"/>
                <w:sz w:val="18"/>
                <w:szCs w:val="18"/>
                <w:color w:val="auto"/>
              </w:rPr>
              <w:t>7,000</w:t>
            </w:r>
          </w:p>
        </w:tc>
        <w:tc>
          <w:tcPr>
            <w:tcW w:w="1660" w:type="dxa"/>
            <w:vAlign w:val="bottom"/>
          </w:tcPr>
          <w:p>
            <w:pPr>
              <w:jc w:val="right"/>
              <w:ind w:right="271"/>
              <w:spacing w:after="0" w:line="203" w:lineRule="exact"/>
              <w:rPr>
                <w:sz w:val="20"/>
                <w:szCs w:val="20"/>
                <w:color w:val="auto"/>
              </w:rPr>
            </w:pPr>
            <w:r>
              <w:rPr>
                <w:rFonts w:ascii="Arial" w:cs="Arial" w:eastAsia="Arial" w:hAnsi="Arial"/>
                <w:sz w:val="18"/>
                <w:szCs w:val="18"/>
                <w:color w:val="auto"/>
              </w:rPr>
              <w:t>325,150</w:t>
            </w:r>
          </w:p>
        </w:tc>
      </w:tr>
      <w:tr>
        <w:trPr>
          <w:trHeight w:val="202"/>
        </w:trPr>
        <w:tc>
          <w:tcPr>
            <w:tcW w:w="2980" w:type="dxa"/>
            <w:vAlign w:val="bottom"/>
            <w:shd w:val="clear" w:color="auto" w:fill="D0E0F0"/>
          </w:tcPr>
          <w:p>
            <w:pPr>
              <w:ind w:left="100"/>
              <w:spacing w:after="0" w:line="201" w:lineRule="exact"/>
              <w:rPr>
                <w:sz w:val="20"/>
                <w:szCs w:val="20"/>
                <w:color w:val="auto"/>
              </w:rPr>
            </w:pPr>
            <w:r>
              <w:rPr>
                <w:rFonts w:ascii="Arial" w:cs="Arial" w:eastAsia="Arial" w:hAnsi="Arial"/>
                <w:sz w:val="18"/>
                <w:szCs w:val="18"/>
                <w:color w:val="auto"/>
              </w:rPr>
              <w:t>Pavan Bagai</w:t>
            </w:r>
          </w:p>
        </w:tc>
        <w:tc>
          <w:tcPr>
            <w:tcW w:w="2560" w:type="dxa"/>
            <w:vAlign w:val="bottom"/>
            <w:shd w:val="clear" w:color="auto" w:fill="D0E0F0"/>
          </w:tcPr>
          <w:p>
            <w:pPr>
              <w:jc w:val="right"/>
              <w:ind w:right="533"/>
              <w:spacing w:after="0" w:line="201" w:lineRule="exact"/>
              <w:rPr>
                <w:sz w:val="20"/>
                <w:szCs w:val="20"/>
                <w:color w:val="auto"/>
              </w:rPr>
            </w:pPr>
            <w:r>
              <w:rPr>
                <w:rFonts w:ascii="Arial" w:cs="Arial" w:eastAsia="Arial" w:hAnsi="Arial"/>
                <w:sz w:val="18"/>
                <w:szCs w:val="18"/>
                <w:color w:val="auto"/>
              </w:rPr>
              <w:t>13,000</w:t>
            </w:r>
          </w:p>
        </w:tc>
        <w:tc>
          <w:tcPr>
            <w:tcW w:w="1500" w:type="dxa"/>
            <w:vAlign w:val="bottom"/>
            <w:shd w:val="clear" w:color="auto" w:fill="D0E0F0"/>
          </w:tcPr>
          <w:p>
            <w:pPr>
              <w:jc w:val="right"/>
              <w:ind w:right="332"/>
              <w:spacing w:after="0" w:line="201" w:lineRule="exact"/>
              <w:rPr>
                <w:sz w:val="20"/>
                <w:szCs w:val="20"/>
                <w:color w:val="auto"/>
              </w:rPr>
            </w:pPr>
            <w:r>
              <w:rPr>
                <w:rFonts w:ascii="Arial" w:cs="Arial" w:eastAsia="Arial" w:hAnsi="Arial"/>
                <w:sz w:val="18"/>
                <w:szCs w:val="18"/>
                <w:color w:val="auto"/>
              </w:rPr>
              <w:t>404,915</w:t>
            </w:r>
          </w:p>
        </w:tc>
        <w:tc>
          <w:tcPr>
            <w:tcW w:w="2720" w:type="dxa"/>
            <w:vAlign w:val="bottom"/>
            <w:shd w:val="clear" w:color="auto" w:fill="D0E0F0"/>
          </w:tcPr>
          <w:p>
            <w:pPr>
              <w:jc w:val="right"/>
              <w:ind w:right="672"/>
              <w:spacing w:after="0" w:line="201" w:lineRule="exact"/>
              <w:rPr>
                <w:sz w:val="20"/>
                <w:szCs w:val="20"/>
                <w:color w:val="auto"/>
              </w:rPr>
            </w:pPr>
            <w:r>
              <w:rPr>
                <w:rFonts w:ascii="Arial" w:cs="Arial" w:eastAsia="Arial" w:hAnsi="Arial"/>
                <w:sz w:val="18"/>
                <w:szCs w:val="18"/>
                <w:color w:val="auto"/>
              </w:rPr>
              <w:t>461</w:t>
            </w:r>
          </w:p>
        </w:tc>
        <w:tc>
          <w:tcPr>
            <w:tcW w:w="1660" w:type="dxa"/>
            <w:vAlign w:val="bottom"/>
            <w:shd w:val="clear" w:color="auto" w:fill="D0E0F0"/>
          </w:tcPr>
          <w:p>
            <w:pPr>
              <w:jc w:val="right"/>
              <w:ind w:right="271"/>
              <w:spacing w:after="0" w:line="201" w:lineRule="exact"/>
              <w:rPr>
                <w:sz w:val="20"/>
                <w:szCs w:val="20"/>
                <w:color w:val="auto"/>
              </w:rPr>
            </w:pPr>
            <w:r>
              <w:rPr>
                <w:rFonts w:ascii="Arial" w:cs="Arial" w:eastAsia="Arial" w:hAnsi="Arial"/>
                <w:sz w:val="18"/>
                <w:szCs w:val="18"/>
                <w:color w:val="auto"/>
              </w:rPr>
              <w:t>20,510</w:t>
            </w: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jc w:val="right"/>
              <w:ind w:right="533"/>
              <w:spacing w:after="0" w:line="202" w:lineRule="exact"/>
              <w:rPr>
                <w:sz w:val="20"/>
                <w:szCs w:val="20"/>
                <w:color w:val="auto"/>
              </w:rPr>
            </w:pPr>
            <w:r>
              <w:rPr>
                <w:rFonts w:ascii="Arial" w:cs="Arial" w:eastAsia="Arial" w:hAnsi="Arial"/>
                <w:sz w:val="18"/>
                <w:szCs w:val="18"/>
                <w:color w:val="auto"/>
              </w:rPr>
              <w:t>5,316</w:t>
            </w:r>
          </w:p>
        </w:tc>
        <w:tc>
          <w:tcPr>
            <w:tcW w:w="1500" w:type="dxa"/>
            <w:vAlign w:val="bottom"/>
            <w:shd w:val="clear" w:color="auto" w:fill="D0E0F0"/>
          </w:tcPr>
          <w:p>
            <w:pPr>
              <w:jc w:val="right"/>
              <w:ind w:right="332"/>
              <w:spacing w:after="0" w:line="202" w:lineRule="exact"/>
              <w:rPr>
                <w:sz w:val="20"/>
                <w:szCs w:val="20"/>
                <w:color w:val="auto"/>
              </w:rPr>
            </w:pPr>
            <w:r>
              <w:rPr>
                <w:rFonts w:ascii="Arial" w:cs="Arial" w:eastAsia="Arial" w:hAnsi="Arial"/>
                <w:sz w:val="18"/>
                <w:szCs w:val="18"/>
                <w:color w:val="auto"/>
              </w:rPr>
              <w:t>138,946</w:t>
            </w:r>
          </w:p>
        </w:tc>
        <w:tc>
          <w:tcPr>
            <w:tcW w:w="2720" w:type="dxa"/>
            <w:vAlign w:val="bottom"/>
            <w:shd w:val="clear" w:color="auto" w:fill="D0E0F0"/>
          </w:tcPr>
          <w:p>
            <w:pPr>
              <w:jc w:val="right"/>
              <w:ind w:right="672"/>
              <w:spacing w:after="0" w:line="202" w:lineRule="exact"/>
              <w:rPr>
                <w:sz w:val="20"/>
                <w:szCs w:val="20"/>
                <w:color w:val="auto"/>
              </w:rPr>
            </w:pPr>
            <w:r>
              <w:rPr>
                <w:rFonts w:ascii="Arial" w:cs="Arial" w:eastAsia="Arial" w:hAnsi="Arial"/>
                <w:sz w:val="18"/>
                <w:szCs w:val="18"/>
                <w:color w:val="auto"/>
              </w:rPr>
              <w:t>6,900</w:t>
            </w:r>
          </w:p>
        </w:tc>
        <w:tc>
          <w:tcPr>
            <w:tcW w:w="1660" w:type="dxa"/>
            <w:vAlign w:val="bottom"/>
            <w:shd w:val="clear" w:color="auto" w:fill="D0E0F0"/>
          </w:tcPr>
          <w:p>
            <w:pPr>
              <w:jc w:val="right"/>
              <w:ind w:right="271"/>
              <w:spacing w:after="0" w:line="202" w:lineRule="exact"/>
              <w:rPr>
                <w:sz w:val="20"/>
                <w:szCs w:val="20"/>
                <w:color w:val="auto"/>
              </w:rPr>
            </w:pPr>
            <w:r>
              <w:rPr>
                <w:rFonts w:ascii="Arial" w:cs="Arial" w:eastAsia="Arial" w:hAnsi="Arial"/>
                <w:sz w:val="18"/>
                <w:szCs w:val="18"/>
                <w:color w:val="auto"/>
              </w:rPr>
              <w:t>306,981</w:t>
            </w: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jc w:val="right"/>
              <w:ind w:right="533"/>
              <w:spacing w:after="0" w:line="202" w:lineRule="exact"/>
              <w:rPr>
                <w:sz w:val="20"/>
                <w:szCs w:val="20"/>
                <w:color w:val="auto"/>
              </w:rPr>
            </w:pPr>
            <w:r>
              <w:rPr>
                <w:rFonts w:ascii="Arial" w:cs="Arial" w:eastAsia="Arial" w:hAnsi="Arial"/>
                <w:sz w:val="18"/>
                <w:szCs w:val="18"/>
                <w:color w:val="auto"/>
              </w:rPr>
              <w:t>27,184</w:t>
            </w:r>
          </w:p>
        </w:tc>
        <w:tc>
          <w:tcPr>
            <w:tcW w:w="1500" w:type="dxa"/>
            <w:vAlign w:val="bottom"/>
            <w:shd w:val="clear" w:color="auto" w:fill="D0E0F0"/>
          </w:tcPr>
          <w:p>
            <w:pPr>
              <w:jc w:val="right"/>
              <w:ind w:right="332"/>
              <w:spacing w:after="0" w:line="202" w:lineRule="exact"/>
              <w:rPr>
                <w:sz w:val="20"/>
                <w:szCs w:val="20"/>
                <w:color w:val="auto"/>
              </w:rPr>
            </w:pPr>
            <w:r>
              <w:rPr>
                <w:rFonts w:ascii="Arial" w:cs="Arial" w:eastAsia="Arial" w:hAnsi="Arial"/>
                <w:sz w:val="18"/>
                <w:szCs w:val="18"/>
                <w:color w:val="auto"/>
              </w:rPr>
              <w:t>718,283</w:t>
            </w:r>
          </w:p>
        </w:tc>
        <w:tc>
          <w:tcPr>
            <w:tcW w:w="2720" w:type="dxa"/>
            <w:vAlign w:val="bottom"/>
            <w:shd w:val="clear" w:color="auto" w:fill="D0E0F0"/>
          </w:tcPr>
          <w:p>
            <w:pPr>
              <w:jc w:val="right"/>
              <w:ind w:right="672"/>
              <w:spacing w:after="0" w:line="202" w:lineRule="exact"/>
              <w:rPr>
                <w:sz w:val="20"/>
                <w:szCs w:val="20"/>
                <w:color w:val="auto"/>
              </w:rPr>
            </w:pPr>
            <w:r>
              <w:rPr>
                <w:rFonts w:ascii="Arial" w:cs="Arial" w:eastAsia="Arial" w:hAnsi="Arial"/>
                <w:sz w:val="18"/>
                <w:szCs w:val="18"/>
                <w:color w:val="auto"/>
              </w:rPr>
              <w:t>2,300</w:t>
            </w:r>
          </w:p>
        </w:tc>
        <w:tc>
          <w:tcPr>
            <w:tcW w:w="1660" w:type="dxa"/>
            <w:vAlign w:val="bottom"/>
            <w:shd w:val="clear" w:color="auto" w:fill="D0E0F0"/>
          </w:tcPr>
          <w:p>
            <w:pPr>
              <w:jc w:val="right"/>
              <w:ind w:right="271"/>
              <w:spacing w:after="0" w:line="202" w:lineRule="exact"/>
              <w:rPr>
                <w:sz w:val="20"/>
                <w:szCs w:val="20"/>
                <w:color w:val="auto"/>
              </w:rPr>
            </w:pPr>
            <w:r>
              <w:rPr>
                <w:rFonts w:ascii="Arial" w:cs="Arial" w:eastAsia="Arial" w:hAnsi="Arial"/>
                <w:sz w:val="18"/>
                <w:szCs w:val="18"/>
                <w:color w:val="auto"/>
              </w:rPr>
              <w:t>100,694</w:t>
            </w: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spacing w:after="0"/>
              <w:rPr>
                <w:sz w:val="17"/>
                <w:szCs w:val="17"/>
                <w:color w:val="auto"/>
              </w:rPr>
            </w:pPr>
          </w:p>
        </w:tc>
        <w:tc>
          <w:tcPr>
            <w:tcW w:w="1500" w:type="dxa"/>
            <w:vAlign w:val="bottom"/>
            <w:shd w:val="clear" w:color="auto" w:fill="D0E0F0"/>
          </w:tcPr>
          <w:p>
            <w:pPr>
              <w:spacing w:after="0"/>
              <w:rPr>
                <w:sz w:val="17"/>
                <w:szCs w:val="17"/>
                <w:color w:val="auto"/>
              </w:rPr>
            </w:pPr>
          </w:p>
        </w:tc>
        <w:tc>
          <w:tcPr>
            <w:tcW w:w="2720" w:type="dxa"/>
            <w:vAlign w:val="bottom"/>
            <w:shd w:val="clear" w:color="auto" w:fill="D0E0F0"/>
          </w:tcPr>
          <w:p>
            <w:pPr>
              <w:jc w:val="right"/>
              <w:ind w:right="672"/>
              <w:spacing w:after="0" w:line="202" w:lineRule="exact"/>
              <w:rPr>
                <w:sz w:val="20"/>
                <w:szCs w:val="20"/>
                <w:color w:val="auto"/>
              </w:rPr>
            </w:pPr>
            <w:r>
              <w:rPr>
                <w:rFonts w:ascii="Arial" w:cs="Arial" w:eastAsia="Arial" w:hAnsi="Arial"/>
                <w:sz w:val="18"/>
                <w:szCs w:val="18"/>
                <w:color w:val="auto"/>
              </w:rPr>
              <w:t>601</w:t>
            </w:r>
          </w:p>
        </w:tc>
        <w:tc>
          <w:tcPr>
            <w:tcW w:w="1660" w:type="dxa"/>
            <w:vAlign w:val="bottom"/>
            <w:shd w:val="clear" w:color="auto" w:fill="D0E0F0"/>
          </w:tcPr>
          <w:p>
            <w:pPr>
              <w:jc w:val="right"/>
              <w:ind w:right="271"/>
              <w:spacing w:after="0" w:line="202" w:lineRule="exact"/>
              <w:rPr>
                <w:sz w:val="20"/>
                <w:szCs w:val="20"/>
                <w:color w:val="auto"/>
              </w:rPr>
            </w:pPr>
            <w:r>
              <w:rPr>
                <w:rFonts w:ascii="Arial" w:cs="Arial" w:eastAsia="Arial" w:hAnsi="Arial"/>
                <w:sz w:val="18"/>
                <w:szCs w:val="18"/>
                <w:color w:val="auto"/>
              </w:rPr>
              <w:t>26,312</w:t>
            </w: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spacing w:after="0"/>
              <w:rPr>
                <w:sz w:val="17"/>
                <w:szCs w:val="17"/>
                <w:color w:val="auto"/>
              </w:rPr>
            </w:pPr>
          </w:p>
        </w:tc>
        <w:tc>
          <w:tcPr>
            <w:tcW w:w="1500" w:type="dxa"/>
            <w:vAlign w:val="bottom"/>
            <w:shd w:val="clear" w:color="auto" w:fill="D0E0F0"/>
          </w:tcPr>
          <w:p>
            <w:pPr>
              <w:spacing w:after="0"/>
              <w:rPr>
                <w:sz w:val="17"/>
                <w:szCs w:val="17"/>
                <w:color w:val="auto"/>
              </w:rPr>
            </w:pPr>
          </w:p>
        </w:tc>
        <w:tc>
          <w:tcPr>
            <w:tcW w:w="2720" w:type="dxa"/>
            <w:vAlign w:val="bottom"/>
            <w:shd w:val="clear" w:color="auto" w:fill="D0E0F0"/>
          </w:tcPr>
          <w:p>
            <w:pPr>
              <w:jc w:val="right"/>
              <w:ind w:right="672"/>
              <w:spacing w:after="0" w:line="202" w:lineRule="exact"/>
              <w:rPr>
                <w:sz w:val="20"/>
                <w:szCs w:val="20"/>
                <w:color w:val="auto"/>
              </w:rPr>
            </w:pPr>
            <w:r>
              <w:rPr>
                <w:rFonts w:ascii="Arial" w:cs="Arial" w:eastAsia="Arial" w:hAnsi="Arial"/>
                <w:sz w:val="18"/>
                <w:szCs w:val="18"/>
                <w:color w:val="auto"/>
              </w:rPr>
              <w:t>1,250</w:t>
            </w:r>
          </w:p>
        </w:tc>
        <w:tc>
          <w:tcPr>
            <w:tcW w:w="1660" w:type="dxa"/>
            <w:vAlign w:val="bottom"/>
            <w:shd w:val="clear" w:color="auto" w:fill="D0E0F0"/>
          </w:tcPr>
          <w:p>
            <w:pPr>
              <w:jc w:val="right"/>
              <w:ind w:right="271"/>
              <w:spacing w:after="0" w:line="202" w:lineRule="exact"/>
              <w:rPr>
                <w:sz w:val="20"/>
                <w:szCs w:val="20"/>
                <w:color w:val="auto"/>
              </w:rPr>
            </w:pPr>
            <w:r>
              <w:rPr>
                <w:rFonts w:ascii="Arial" w:cs="Arial" w:eastAsia="Arial" w:hAnsi="Arial"/>
                <w:sz w:val="18"/>
                <w:szCs w:val="18"/>
                <w:color w:val="auto"/>
              </w:rPr>
              <w:t>59,900</w:t>
            </w: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spacing w:after="0"/>
              <w:rPr>
                <w:sz w:val="17"/>
                <w:szCs w:val="17"/>
                <w:color w:val="auto"/>
              </w:rPr>
            </w:pPr>
          </w:p>
        </w:tc>
        <w:tc>
          <w:tcPr>
            <w:tcW w:w="1500" w:type="dxa"/>
            <w:vAlign w:val="bottom"/>
            <w:shd w:val="clear" w:color="auto" w:fill="D0E0F0"/>
          </w:tcPr>
          <w:p>
            <w:pPr>
              <w:spacing w:after="0"/>
              <w:rPr>
                <w:sz w:val="17"/>
                <w:szCs w:val="17"/>
                <w:color w:val="auto"/>
              </w:rPr>
            </w:pPr>
          </w:p>
        </w:tc>
        <w:tc>
          <w:tcPr>
            <w:tcW w:w="2720" w:type="dxa"/>
            <w:vAlign w:val="bottom"/>
            <w:shd w:val="clear" w:color="auto" w:fill="D0E0F0"/>
          </w:tcPr>
          <w:p>
            <w:pPr>
              <w:jc w:val="right"/>
              <w:ind w:right="672"/>
              <w:spacing w:after="0" w:line="202" w:lineRule="exact"/>
              <w:rPr>
                <w:sz w:val="20"/>
                <w:szCs w:val="20"/>
                <w:color w:val="auto"/>
              </w:rPr>
            </w:pPr>
            <w:r>
              <w:rPr>
                <w:rFonts w:ascii="Arial" w:cs="Arial" w:eastAsia="Arial" w:hAnsi="Arial"/>
                <w:sz w:val="18"/>
                <w:szCs w:val="18"/>
                <w:color w:val="auto"/>
              </w:rPr>
              <w:t>5,000</w:t>
            </w:r>
          </w:p>
        </w:tc>
        <w:tc>
          <w:tcPr>
            <w:tcW w:w="1660" w:type="dxa"/>
            <w:vAlign w:val="bottom"/>
            <w:shd w:val="clear" w:color="auto" w:fill="D0E0F0"/>
          </w:tcPr>
          <w:p>
            <w:pPr>
              <w:jc w:val="right"/>
              <w:ind w:right="271"/>
              <w:spacing w:after="0" w:line="202" w:lineRule="exact"/>
              <w:rPr>
                <w:sz w:val="20"/>
                <w:szCs w:val="20"/>
                <w:color w:val="auto"/>
              </w:rPr>
            </w:pPr>
            <w:r>
              <w:rPr>
                <w:rFonts w:ascii="Arial" w:cs="Arial" w:eastAsia="Arial" w:hAnsi="Arial"/>
                <w:sz w:val="18"/>
                <w:szCs w:val="18"/>
                <w:color w:val="auto"/>
              </w:rPr>
              <w:t>222,450</w:t>
            </w: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spacing w:after="0"/>
              <w:rPr>
                <w:sz w:val="17"/>
                <w:szCs w:val="17"/>
                <w:color w:val="auto"/>
              </w:rPr>
            </w:pPr>
          </w:p>
        </w:tc>
        <w:tc>
          <w:tcPr>
            <w:tcW w:w="1500" w:type="dxa"/>
            <w:vAlign w:val="bottom"/>
            <w:shd w:val="clear" w:color="auto" w:fill="D0E0F0"/>
          </w:tcPr>
          <w:p>
            <w:pPr>
              <w:spacing w:after="0"/>
              <w:rPr>
                <w:sz w:val="17"/>
                <w:szCs w:val="17"/>
                <w:color w:val="auto"/>
              </w:rPr>
            </w:pPr>
          </w:p>
        </w:tc>
        <w:tc>
          <w:tcPr>
            <w:tcW w:w="2720" w:type="dxa"/>
            <w:vAlign w:val="bottom"/>
            <w:shd w:val="clear" w:color="auto" w:fill="D0E0F0"/>
          </w:tcPr>
          <w:p>
            <w:pPr>
              <w:jc w:val="right"/>
              <w:ind w:right="672"/>
              <w:spacing w:after="0" w:line="202" w:lineRule="exact"/>
              <w:rPr>
                <w:sz w:val="20"/>
                <w:szCs w:val="20"/>
                <w:color w:val="auto"/>
              </w:rPr>
            </w:pPr>
            <w:r>
              <w:rPr>
                <w:rFonts w:ascii="Arial" w:cs="Arial" w:eastAsia="Arial" w:hAnsi="Arial"/>
                <w:sz w:val="18"/>
                <w:szCs w:val="18"/>
                <w:color w:val="auto"/>
              </w:rPr>
              <w:t>3,859</w:t>
            </w:r>
          </w:p>
        </w:tc>
        <w:tc>
          <w:tcPr>
            <w:tcW w:w="1660" w:type="dxa"/>
            <w:vAlign w:val="bottom"/>
            <w:shd w:val="clear" w:color="auto" w:fill="D0E0F0"/>
          </w:tcPr>
          <w:p>
            <w:pPr>
              <w:jc w:val="right"/>
              <w:ind w:right="271"/>
              <w:spacing w:after="0" w:line="202" w:lineRule="exact"/>
              <w:rPr>
                <w:sz w:val="20"/>
                <w:szCs w:val="20"/>
                <w:color w:val="auto"/>
              </w:rPr>
            </w:pPr>
            <w:r>
              <w:rPr>
                <w:rFonts w:ascii="Arial" w:cs="Arial" w:eastAsia="Arial" w:hAnsi="Arial"/>
                <w:sz w:val="18"/>
                <w:szCs w:val="18"/>
                <w:color w:val="auto"/>
              </w:rPr>
              <w:t>179,251</w:t>
            </w: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spacing w:after="0"/>
              <w:rPr>
                <w:sz w:val="17"/>
                <w:szCs w:val="17"/>
                <w:color w:val="auto"/>
              </w:rPr>
            </w:pPr>
          </w:p>
        </w:tc>
        <w:tc>
          <w:tcPr>
            <w:tcW w:w="1500" w:type="dxa"/>
            <w:vAlign w:val="bottom"/>
            <w:shd w:val="clear" w:color="auto" w:fill="D0E0F0"/>
          </w:tcPr>
          <w:p>
            <w:pPr>
              <w:spacing w:after="0"/>
              <w:rPr>
                <w:sz w:val="17"/>
                <w:szCs w:val="17"/>
                <w:color w:val="auto"/>
              </w:rPr>
            </w:pPr>
          </w:p>
        </w:tc>
        <w:tc>
          <w:tcPr>
            <w:tcW w:w="2720" w:type="dxa"/>
            <w:vAlign w:val="bottom"/>
            <w:shd w:val="clear" w:color="auto" w:fill="D0E0F0"/>
          </w:tcPr>
          <w:p>
            <w:pPr>
              <w:jc w:val="right"/>
              <w:ind w:right="672"/>
              <w:spacing w:after="0" w:line="202" w:lineRule="exact"/>
              <w:rPr>
                <w:sz w:val="20"/>
                <w:szCs w:val="20"/>
                <w:color w:val="auto"/>
              </w:rPr>
            </w:pPr>
            <w:r>
              <w:rPr>
                <w:rFonts w:ascii="Arial" w:cs="Arial" w:eastAsia="Arial" w:hAnsi="Arial"/>
                <w:sz w:val="18"/>
                <w:szCs w:val="18"/>
                <w:color w:val="auto"/>
              </w:rPr>
              <w:t>1,930</w:t>
            </w:r>
          </w:p>
        </w:tc>
        <w:tc>
          <w:tcPr>
            <w:tcW w:w="1660" w:type="dxa"/>
            <w:vAlign w:val="bottom"/>
            <w:shd w:val="clear" w:color="auto" w:fill="D0E0F0"/>
          </w:tcPr>
          <w:p>
            <w:pPr>
              <w:jc w:val="right"/>
              <w:ind w:right="271"/>
              <w:spacing w:after="0" w:line="202" w:lineRule="exact"/>
              <w:rPr>
                <w:sz w:val="20"/>
                <w:szCs w:val="20"/>
                <w:color w:val="auto"/>
              </w:rPr>
            </w:pPr>
            <w:r>
              <w:rPr>
                <w:rFonts w:ascii="Arial" w:cs="Arial" w:eastAsia="Arial" w:hAnsi="Arial"/>
                <w:sz w:val="18"/>
                <w:szCs w:val="18"/>
                <w:color w:val="auto"/>
              </w:rPr>
              <w:t>89,649</w:t>
            </w: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spacing w:after="0"/>
              <w:rPr>
                <w:sz w:val="17"/>
                <w:szCs w:val="17"/>
                <w:color w:val="auto"/>
              </w:rPr>
            </w:pPr>
          </w:p>
        </w:tc>
        <w:tc>
          <w:tcPr>
            <w:tcW w:w="1500" w:type="dxa"/>
            <w:vAlign w:val="bottom"/>
            <w:shd w:val="clear" w:color="auto" w:fill="D0E0F0"/>
          </w:tcPr>
          <w:p>
            <w:pPr>
              <w:spacing w:after="0"/>
              <w:rPr>
                <w:sz w:val="17"/>
                <w:szCs w:val="17"/>
                <w:color w:val="auto"/>
              </w:rPr>
            </w:pPr>
          </w:p>
        </w:tc>
        <w:tc>
          <w:tcPr>
            <w:tcW w:w="2720" w:type="dxa"/>
            <w:vAlign w:val="bottom"/>
            <w:shd w:val="clear" w:color="auto" w:fill="D0E0F0"/>
          </w:tcPr>
          <w:p>
            <w:pPr>
              <w:jc w:val="right"/>
              <w:ind w:right="672"/>
              <w:spacing w:after="0" w:line="203" w:lineRule="exact"/>
              <w:rPr>
                <w:sz w:val="20"/>
                <w:szCs w:val="20"/>
                <w:color w:val="auto"/>
              </w:rPr>
            </w:pPr>
            <w:r>
              <w:rPr>
                <w:rFonts w:ascii="Arial" w:cs="Arial" w:eastAsia="Arial" w:hAnsi="Arial"/>
                <w:sz w:val="18"/>
                <w:szCs w:val="18"/>
                <w:color w:val="auto"/>
              </w:rPr>
              <w:t>11,500</w:t>
            </w:r>
          </w:p>
        </w:tc>
        <w:tc>
          <w:tcPr>
            <w:tcW w:w="1660" w:type="dxa"/>
            <w:vAlign w:val="bottom"/>
            <w:shd w:val="clear" w:color="auto" w:fill="D0E0F0"/>
          </w:tcPr>
          <w:p>
            <w:pPr>
              <w:jc w:val="right"/>
              <w:ind w:right="271"/>
              <w:spacing w:after="0" w:line="203" w:lineRule="exact"/>
              <w:rPr>
                <w:sz w:val="20"/>
                <w:szCs w:val="20"/>
                <w:color w:val="auto"/>
              </w:rPr>
            </w:pPr>
            <w:r>
              <w:rPr>
                <w:rFonts w:ascii="Arial" w:cs="Arial" w:eastAsia="Arial" w:hAnsi="Arial"/>
                <w:sz w:val="18"/>
                <w:szCs w:val="18"/>
                <w:color w:val="auto"/>
              </w:rPr>
              <w:t>534,175</w:t>
            </w:r>
          </w:p>
        </w:tc>
      </w:tr>
      <w:tr>
        <w:trPr>
          <w:trHeight w:val="202"/>
        </w:trPr>
        <w:tc>
          <w:tcPr>
            <w:tcW w:w="2980" w:type="dxa"/>
            <w:vAlign w:val="bottom"/>
          </w:tcPr>
          <w:p>
            <w:pPr>
              <w:ind w:left="100"/>
              <w:spacing w:after="0" w:line="201" w:lineRule="exact"/>
              <w:rPr>
                <w:sz w:val="20"/>
                <w:szCs w:val="20"/>
                <w:color w:val="auto"/>
              </w:rPr>
            </w:pPr>
            <w:r>
              <w:rPr>
                <w:rFonts w:ascii="Arial" w:cs="Arial" w:eastAsia="Arial" w:hAnsi="Arial"/>
                <w:sz w:val="18"/>
                <w:szCs w:val="18"/>
                <w:color w:val="auto"/>
              </w:rPr>
              <w:t>Rembert de Villa</w:t>
            </w:r>
          </w:p>
        </w:tc>
        <w:tc>
          <w:tcPr>
            <w:tcW w:w="2560" w:type="dxa"/>
            <w:vAlign w:val="bottom"/>
          </w:tcPr>
          <w:p>
            <w:pPr>
              <w:jc w:val="right"/>
              <w:ind w:right="733"/>
              <w:spacing w:after="0" w:line="201"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532"/>
              <w:spacing w:after="0" w:line="201" w:lineRule="exact"/>
              <w:rPr>
                <w:sz w:val="20"/>
                <w:szCs w:val="20"/>
                <w:color w:val="auto"/>
              </w:rPr>
            </w:pPr>
            <w:r>
              <w:rPr>
                <w:rFonts w:ascii="Arial" w:cs="Arial" w:eastAsia="Arial" w:hAnsi="Arial"/>
                <w:sz w:val="18"/>
                <w:szCs w:val="18"/>
                <w:color w:val="auto"/>
              </w:rPr>
              <w:t>—</w:t>
            </w:r>
          </w:p>
        </w:tc>
        <w:tc>
          <w:tcPr>
            <w:tcW w:w="2720" w:type="dxa"/>
            <w:vAlign w:val="bottom"/>
          </w:tcPr>
          <w:p>
            <w:pPr>
              <w:jc w:val="right"/>
              <w:ind w:right="672"/>
              <w:spacing w:after="0" w:line="201" w:lineRule="exact"/>
              <w:rPr>
                <w:sz w:val="20"/>
                <w:szCs w:val="20"/>
                <w:color w:val="auto"/>
              </w:rPr>
            </w:pPr>
            <w:r>
              <w:rPr>
                <w:rFonts w:ascii="Arial" w:cs="Arial" w:eastAsia="Arial" w:hAnsi="Arial"/>
                <w:sz w:val="18"/>
                <w:szCs w:val="18"/>
                <w:color w:val="auto"/>
              </w:rPr>
              <w:t>564</w:t>
            </w:r>
          </w:p>
        </w:tc>
        <w:tc>
          <w:tcPr>
            <w:tcW w:w="1660" w:type="dxa"/>
            <w:vAlign w:val="bottom"/>
          </w:tcPr>
          <w:p>
            <w:pPr>
              <w:jc w:val="right"/>
              <w:ind w:right="271"/>
              <w:spacing w:after="0" w:line="201" w:lineRule="exact"/>
              <w:rPr>
                <w:sz w:val="20"/>
                <w:szCs w:val="20"/>
                <w:color w:val="auto"/>
              </w:rPr>
            </w:pPr>
            <w:r>
              <w:rPr>
                <w:rFonts w:ascii="Arial" w:cs="Arial" w:eastAsia="Arial" w:hAnsi="Arial"/>
                <w:sz w:val="18"/>
                <w:szCs w:val="18"/>
                <w:color w:val="auto"/>
              </w:rPr>
              <w:t>25,092</w:t>
            </w:r>
          </w:p>
        </w:tc>
      </w:tr>
      <w:tr>
        <w:trPr>
          <w:trHeight w:val="203"/>
        </w:trPr>
        <w:tc>
          <w:tcPr>
            <w:tcW w:w="2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2,700</w:t>
            </w:r>
          </w:p>
        </w:tc>
        <w:tc>
          <w:tcPr>
            <w:tcW w:w="16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120,123</w:t>
            </w:r>
          </w:p>
        </w:tc>
      </w:tr>
      <w:tr>
        <w:trPr>
          <w:trHeight w:val="203"/>
        </w:trPr>
        <w:tc>
          <w:tcPr>
            <w:tcW w:w="2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1,000</w:t>
            </w:r>
          </w:p>
        </w:tc>
        <w:tc>
          <w:tcPr>
            <w:tcW w:w="16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43,780</w:t>
            </w:r>
          </w:p>
        </w:tc>
      </w:tr>
      <w:tr>
        <w:trPr>
          <w:trHeight w:val="203"/>
        </w:trPr>
        <w:tc>
          <w:tcPr>
            <w:tcW w:w="2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734</w:t>
            </w:r>
          </w:p>
        </w:tc>
        <w:tc>
          <w:tcPr>
            <w:tcW w:w="16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32,135</w:t>
            </w:r>
          </w:p>
        </w:tc>
      </w:tr>
      <w:tr>
        <w:trPr>
          <w:trHeight w:val="203"/>
        </w:trPr>
        <w:tc>
          <w:tcPr>
            <w:tcW w:w="2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600</w:t>
            </w:r>
          </w:p>
        </w:tc>
        <w:tc>
          <w:tcPr>
            <w:tcW w:w="16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28,752</w:t>
            </w:r>
          </w:p>
        </w:tc>
      </w:tr>
      <w:tr>
        <w:trPr>
          <w:trHeight w:val="203"/>
        </w:trPr>
        <w:tc>
          <w:tcPr>
            <w:tcW w:w="2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1,500</w:t>
            </w:r>
          </w:p>
        </w:tc>
        <w:tc>
          <w:tcPr>
            <w:tcW w:w="16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66,735</w:t>
            </w:r>
          </w:p>
        </w:tc>
      </w:tr>
      <w:tr>
        <w:trPr>
          <w:trHeight w:val="203"/>
        </w:trPr>
        <w:tc>
          <w:tcPr>
            <w:tcW w:w="2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1,677</w:t>
            </w:r>
          </w:p>
        </w:tc>
        <w:tc>
          <w:tcPr>
            <w:tcW w:w="16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77,897</w:t>
            </w:r>
          </w:p>
        </w:tc>
      </w:tr>
      <w:tr>
        <w:trPr>
          <w:trHeight w:val="203"/>
        </w:trPr>
        <w:tc>
          <w:tcPr>
            <w:tcW w:w="2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840</w:t>
            </w:r>
          </w:p>
        </w:tc>
        <w:tc>
          <w:tcPr>
            <w:tcW w:w="16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39,018</w:t>
            </w:r>
          </w:p>
        </w:tc>
      </w:tr>
      <w:tr>
        <w:trPr>
          <w:trHeight w:val="203"/>
        </w:trPr>
        <w:tc>
          <w:tcPr>
            <w:tcW w:w="2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20" w:type="dxa"/>
            <w:vAlign w:val="bottom"/>
          </w:tcPr>
          <w:p>
            <w:pPr>
              <w:jc w:val="right"/>
              <w:ind w:right="672"/>
              <w:spacing w:after="0" w:line="203" w:lineRule="exact"/>
              <w:rPr>
                <w:sz w:val="20"/>
                <w:szCs w:val="20"/>
                <w:color w:val="auto"/>
              </w:rPr>
            </w:pPr>
            <w:r>
              <w:rPr>
                <w:rFonts w:ascii="Arial" w:cs="Arial" w:eastAsia="Arial" w:hAnsi="Arial"/>
                <w:sz w:val="18"/>
                <w:szCs w:val="18"/>
                <w:color w:val="auto"/>
              </w:rPr>
              <w:t>5,000</w:t>
            </w:r>
          </w:p>
        </w:tc>
        <w:tc>
          <w:tcPr>
            <w:tcW w:w="1660" w:type="dxa"/>
            <w:vAlign w:val="bottom"/>
          </w:tcPr>
          <w:p>
            <w:pPr>
              <w:jc w:val="right"/>
              <w:ind w:right="271"/>
              <w:spacing w:after="0" w:line="203" w:lineRule="exact"/>
              <w:rPr>
                <w:sz w:val="20"/>
                <w:szCs w:val="20"/>
                <w:color w:val="auto"/>
              </w:rPr>
            </w:pPr>
            <w:r>
              <w:rPr>
                <w:rFonts w:ascii="Arial" w:cs="Arial" w:eastAsia="Arial" w:hAnsi="Arial"/>
                <w:sz w:val="18"/>
                <w:szCs w:val="18"/>
                <w:color w:val="auto"/>
              </w:rPr>
              <w:t>232,250</w:t>
            </w:r>
          </w:p>
        </w:tc>
      </w:tr>
      <w:tr>
        <w:trPr>
          <w:trHeight w:val="202"/>
        </w:trPr>
        <w:tc>
          <w:tcPr>
            <w:tcW w:w="2980" w:type="dxa"/>
            <w:vAlign w:val="bottom"/>
            <w:shd w:val="clear" w:color="auto" w:fill="D0E0F0"/>
          </w:tcPr>
          <w:p>
            <w:pPr>
              <w:ind w:left="100"/>
              <w:spacing w:after="0" w:line="201" w:lineRule="exact"/>
              <w:rPr>
                <w:sz w:val="20"/>
                <w:szCs w:val="20"/>
                <w:color w:val="auto"/>
              </w:rPr>
            </w:pPr>
            <w:r>
              <w:rPr>
                <w:rFonts w:ascii="Arial" w:cs="Arial" w:eastAsia="Arial" w:hAnsi="Arial"/>
                <w:sz w:val="18"/>
                <w:szCs w:val="18"/>
                <w:color w:val="auto"/>
              </w:rPr>
              <w:t>Nalin Miglani</w:t>
            </w:r>
          </w:p>
        </w:tc>
        <w:tc>
          <w:tcPr>
            <w:tcW w:w="2560" w:type="dxa"/>
            <w:vAlign w:val="bottom"/>
            <w:shd w:val="clear" w:color="auto" w:fill="D0E0F0"/>
          </w:tcPr>
          <w:p>
            <w:pPr>
              <w:jc w:val="right"/>
              <w:ind w:right="733"/>
              <w:spacing w:after="0" w:line="201" w:lineRule="exact"/>
              <w:rPr>
                <w:sz w:val="20"/>
                <w:szCs w:val="20"/>
                <w:color w:val="auto"/>
              </w:rPr>
            </w:pPr>
            <w:r>
              <w:rPr>
                <w:rFonts w:ascii="Arial" w:cs="Arial" w:eastAsia="Arial" w:hAnsi="Arial"/>
                <w:sz w:val="18"/>
                <w:szCs w:val="18"/>
                <w:color w:val="auto"/>
              </w:rPr>
              <w:t>—</w:t>
            </w:r>
          </w:p>
        </w:tc>
        <w:tc>
          <w:tcPr>
            <w:tcW w:w="1500" w:type="dxa"/>
            <w:vAlign w:val="bottom"/>
            <w:shd w:val="clear" w:color="auto" w:fill="D0E0F0"/>
          </w:tcPr>
          <w:p>
            <w:pPr>
              <w:jc w:val="right"/>
              <w:ind w:right="532"/>
              <w:spacing w:after="0" w:line="201" w:lineRule="exact"/>
              <w:rPr>
                <w:sz w:val="20"/>
                <w:szCs w:val="20"/>
                <w:color w:val="auto"/>
              </w:rPr>
            </w:pPr>
            <w:r>
              <w:rPr>
                <w:rFonts w:ascii="Arial" w:cs="Arial" w:eastAsia="Arial" w:hAnsi="Arial"/>
                <w:sz w:val="18"/>
                <w:szCs w:val="18"/>
                <w:color w:val="auto"/>
              </w:rPr>
              <w:t>—</w:t>
            </w:r>
          </w:p>
        </w:tc>
        <w:tc>
          <w:tcPr>
            <w:tcW w:w="2720" w:type="dxa"/>
            <w:vAlign w:val="bottom"/>
            <w:shd w:val="clear" w:color="auto" w:fill="D0E0F0"/>
          </w:tcPr>
          <w:p>
            <w:pPr>
              <w:jc w:val="right"/>
              <w:ind w:right="672"/>
              <w:spacing w:after="0" w:line="201" w:lineRule="exact"/>
              <w:rPr>
                <w:sz w:val="20"/>
                <w:szCs w:val="20"/>
                <w:color w:val="auto"/>
              </w:rPr>
            </w:pPr>
            <w:r>
              <w:rPr>
                <w:rFonts w:ascii="Arial" w:cs="Arial" w:eastAsia="Arial" w:hAnsi="Arial"/>
                <w:sz w:val="18"/>
                <w:szCs w:val="18"/>
                <w:color w:val="auto"/>
              </w:rPr>
              <w:t>600</w:t>
            </w:r>
          </w:p>
        </w:tc>
        <w:tc>
          <w:tcPr>
            <w:tcW w:w="1660" w:type="dxa"/>
            <w:vAlign w:val="bottom"/>
            <w:shd w:val="clear" w:color="auto" w:fill="D0E0F0"/>
          </w:tcPr>
          <w:p>
            <w:pPr>
              <w:jc w:val="right"/>
              <w:ind w:right="271"/>
              <w:spacing w:after="0" w:line="201" w:lineRule="exact"/>
              <w:rPr>
                <w:sz w:val="20"/>
                <w:szCs w:val="20"/>
                <w:color w:val="auto"/>
              </w:rPr>
            </w:pPr>
            <w:r>
              <w:rPr>
                <w:rFonts w:ascii="Arial" w:cs="Arial" w:eastAsia="Arial" w:hAnsi="Arial"/>
                <w:sz w:val="18"/>
                <w:szCs w:val="18"/>
                <w:color w:val="auto"/>
              </w:rPr>
              <w:t>28,752</w:t>
            </w:r>
          </w:p>
        </w:tc>
      </w:tr>
      <w:tr>
        <w:trPr>
          <w:trHeight w:val="203"/>
        </w:trPr>
        <w:tc>
          <w:tcPr>
            <w:tcW w:w="2980" w:type="dxa"/>
            <w:vAlign w:val="bottom"/>
            <w:shd w:val="clear" w:color="auto" w:fill="D0E0F0"/>
          </w:tcPr>
          <w:p>
            <w:pPr>
              <w:spacing w:after="0"/>
              <w:rPr>
                <w:sz w:val="17"/>
                <w:szCs w:val="17"/>
                <w:color w:val="auto"/>
              </w:rPr>
            </w:pPr>
          </w:p>
        </w:tc>
        <w:tc>
          <w:tcPr>
            <w:tcW w:w="2560" w:type="dxa"/>
            <w:vAlign w:val="bottom"/>
            <w:shd w:val="clear" w:color="auto" w:fill="D0E0F0"/>
          </w:tcPr>
          <w:p>
            <w:pPr>
              <w:spacing w:after="0"/>
              <w:rPr>
                <w:sz w:val="17"/>
                <w:szCs w:val="17"/>
                <w:color w:val="auto"/>
              </w:rPr>
            </w:pPr>
          </w:p>
        </w:tc>
        <w:tc>
          <w:tcPr>
            <w:tcW w:w="1500" w:type="dxa"/>
            <w:vAlign w:val="bottom"/>
            <w:shd w:val="clear" w:color="auto" w:fill="D0E0F0"/>
          </w:tcPr>
          <w:p>
            <w:pPr>
              <w:spacing w:after="0"/>
              <w:rPr>
                <w:sz w:val="17"/>
                <w:szCs w:val="17"/>
                <w:color w:val="auto"/>
              </w:rPr>
            </w:pPr>
          </w:p>
        </w:tc>
        <w:tc>
          <w:tcPr>
            <w:tcW w:w="2720" w:type="dxa"/>
            <w:vAlign w:val="bottom"/>
            <w:shd w:val="clear" w:color="auto" w:fill="D0E0F0"/>
          </w:tcPr>
          <w:p>
            <w:pPr>
              <w:jc w:val="right"/>
              <w:ind w:right="672"/>
              <w:spacing w:after="0" w:line="203" w:lineRule="exact"/>
              <w:rPr>
                <w:sz w:val="20"/>
                <w:szCs w:val="20"/>
                <w:color w:val="auto"/>
              </w:rPr>
            </w:pPr>
            <w:r>
              <w:rPr>
                <w:rFonts w:ascii="Arial" w:cs="Arial" w:eastAsia="Arial" w:hAnsi="Arial"/>
                <w:sz w:val="18"/>
                <w:szCs w:val="18"/>
                <w:color w:val="auto"/>
              </w:rPr>
              <w:t>4,000</w:t>
            </w:r>
          </w:p>
        </w:tc>
        <w:tc>
          <w:tcPr>
            <w:tcW w:w="1660" w:type="dxa"/>
            <w:vAlign w:val="bottom"/>
            <w:shd w:val="clear" w:color="auto" w:fill="D0E0F0"/>
          </w:tcPr>
          <w:p>
            <w:pPr>
              <w:jc w:val="right"/>
              <w:ind w:right="271"/>
              <w:spacing w:after="0" w:line="203" w:lineRule="exact"/>
              <w:rPr>
                <w:sz w:val="20"/>
                <w:szCs w:val="20"/>
                <w:color w:val="auto"/>
              </w:rPr>
            </w:pPr>
            <w:r>
              <w:rPr>
                <w:rFonts w:ascii="Arial" w:cs="Arial" w:eastAsia="Arial" w:hAnsi="Arial"/>
                <w:sz w:val="18"/>
                <w:szCs w:val="18"/>
                <w:color w:val="auto"/>
              </w:rPr>
              <w:t>191,040</w:t>
            </w:r>
          </w:p>
        </w:tc>
      </w:tr>
      <w:tr>
        <w:trPr>
          <w:trHeight w:val="621"/>
        </w:trPr>
        <w:tc>
          <w:tcPr>
            <w:tcW w:w="29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172"/>
              <w:spacing w:after="0"/>
              <w:rPr>
                <w:sz w:val="20"/>
                <w:szCs w:val="20"/>
                <w:color w:val="auto"/>
              </w:rPr>
            </w:pPr>
            <w:r>
              <w:rPr>
                <w:rFonts w:ascii="Arial" w:cs="Arial" w:eastAsia="Arial" w:hAnsi="Arial"/>
                <w:sz w:val="18"/>
                <w:szCs w:val="18"/>
                <w:color w:val="auto"/>
              </w:rPr>
              <w:t>49</w:t>
            </w:r>
          </w:p>
        </w:tc>
        <w:tc>
          <w:tcPr>
            <w:tcW w:w="27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-5890895</wp:posOffset>
            </wp:positionV>
            <wp:extent cx="52997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99710"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-5565140</wp:posOffset>
            </wp:positionV>
            <wp:extent cx="71862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508BC7"/>
        </w:rPr>
        <w:t>Pension Benefits For Fiscal Year 2016</w:t>
      </w:r>
    </w:p>
    <w:p>
      <w:pPr>
        <w:spacing w:after="0" w:line="220"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The following table discloses the present value of accumulated benefits payable to each of the named executive officers and the years of service credited to each named executive under the Gratuity Plan for Indian Employees as of December 31,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shd w:val="clear" w:color="auto" w:fill="508BC7"/>
          </w:tcPr>
          <w:p>
            <w:pPr>
              <w:spacing w:after="0"/>
              <w:rPr>
                <w:sz w:val="14"/>
                <w:szCs w:val="14"/>
                <w:color w:val="auto"/>
              </w:rPr>
            </w:pPr>
          </w:p>
        </w:tc>
        <w:tc>
          <w:tcPr>
            <w:tcW w:w="2720" w:type="dxa"/>
            <w:vAlign w:val="bottom"/>
            <w:shd w:val="clear" w:color="auto" w:fill="508BC7"/>
          </w:tcPr>
          <w:p>
            <w:pPr>
              <w:spacing w:after="0"/>
              <w:rPr>
                <w:sz w:val="14"/>
                <w:szCs w:val="14"/>
                <w:color w:val="auto"/>
              </w:rPr>
            </w:pPr>
          </w:p>
        </w:tc>
        <w:tc>
          <w:tcPr>
            <w:tcW w:w="20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Number of Years</w:t>
            </w:r>
          </w:p>
        </w:tc>
        <w:tc>
          <w:tcPr>
            <w:tcW w:w="20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Present Value of</w:t>
            </w:r>
          </w:p>
        </w:tc>
        <w:tc>
          <w:tcPr>
            <w:tcW w:w="22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Payments During</w:t>
            </w:r>
          </w:p>
        </w:tc>
      </w:tr>
      <w:tr>
        <w:trPr>
          <w:trHeight w:val="162"/>
        </w:trPr>
        <w:tc>
          <w:tcPr>
            <w:tcW w:w="2300" w:type="dxa"/>
            <w:vAlign w:val="bottom"/>
            <w:shd w:val="clear" w:color="auto" w:fill="508BC7"/>
          </w:tcPr>
          <w:p>
            <w:pPr>
              <w:spacing w:after="0"/>
              <w:rPr>
                <w:sz w:val="14"/>
                <w:szCs w:val="14"/>
                <w:color w:val="auto"/>
              </w:rPr>
            </w:pPr>
          </w:p>
        </w:tc>
        <w:tc>
          <w:tcPr>
            <w:tcW w:w="2720" w:type="dxa"/>
            <w:vAlign w:val="bottom"/>
            <w:shd w:val="clear" w:color="auto" w:fill="508BC7"/>
          </w:tcPr>
          <w:p>
            <w:pPr>
              <w:spacing w:after="0"/>
              <w:rPr>
                <w:sz w:val="14"/>
                <w:szCs w:val="14"/>
                <w:color w:val="auto"/>
              </w:rPr>
            </w:pPr>
          </w:p>
        </w:tc>
        <w:tc>
          <w:tcPr>
            <w:tcW w:w="20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Credited Service</w:t>
            </w:r>
          </w:p>
        </w:tc>
        <w:tc>
          <w:tcPr>
            <w:tcW w:w="20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Accumulated</w:t>
            </w:r>
          </w:p>
        </w:tc>
        <w:tc>
          <w:tcPr>
            <w:tcW w:w="22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Last Fiscal Year</w:t>
            </w:r>
          </w:p>
        </w:tc>
      </w:tr>
      <w:tr>
        <w:trPr>
          <w:trHeight w:val="216"/>
        </w:trPr>
        <w:tc>
          <w:tcPr>
            <w:tcW w:w="2300" w:type="dxa"/>
            <w:vAlign w:val="bottom"/>
            <w:shd w:val="clear" w:color="auto" w:fill="508BC7"/>
          </w:tcPr>
          <w:p>
            <w:pPr>
              <w:ind w:left="960"/>
              <w:spacing w:after="0"/>
              <w:rPr>
                <w:sz w:val="20"/>
                <w:szCs w:val="20"/>
                <w:color w:val="auto"/>
              </w:rPr>
            </w:pPr>
            <w:r>
              <w:rPr>
                <w:rFonts w:ascii="Arial" w:cs="Arial" w:eastAsia="Arial" w:hAnsi="Arial"/>
                <w:sz w:val="14"/>
                <w:szCs w:val="14"/>
                <w:b w:val="1"/>
                <w:bCs w:val="1"/>
                <w:color w:val="FFFFFF"/>
              </w:rPr>
              <w:t>Name</w:t>
            </w:r>
          </w:p>
        </w:tc>
        <w:tc>
          <w:tcPr>
            <w:tcW w:w="272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Plan Name</w:t>
            </w:r>
          </w:p>
        </w:tc>
        <w:tc>
          <w:tcPr>
            <w:tcW w:w="2060" w:type="dxa"/>
            <w:vAlign w:val="bottom"/>
            <w:shd w:val="clear" w:color="auto" w:fill="508BC7"/>
          </w:tcPr>
          <w:p>
            <w:pPr>
              <w:jc w:val="center"/>
              <w:spacing w:after="0" w:line="216"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(2)</w:t>
            </w:r>
          </w:p>
        </w:tc>
        <w:tc>
          <w:tcPr>
            <w:tcW w:w="20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Benefit ($)</w:t>
            </w:r>
          </w:p>
        </w:tc>
        <w:tc>
          <w:tcPr>
            <w:tcW w:w="22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203"/>
        </w:trPr>
        <w:tc>
          <w:tcPr>
            <w:tcW w:w="2300" w:type="dxa"/>
            <w:vAlign w:val="bottom"/>
            <w:shd w:val="clear" w:color="auto" w:fill="D0E0F0"/>
          </w:tcPr>
          <w:p>
            <w:pPr>
              <w:ind w:left="100"/>
              <w:spacing w:after="0" w:line="202" w:lineRule="exact"/>
              <w:rPr>
                <w:sz w:val="20"/>
                <w:szCs w:val="20"/>
                <w:color w:val="auto"/>
              </w:rPr>
            </w:pPr>
            <w:r>
              <w:rPr>
                <w:rFonts w:ascii="Arial" w:cs="Arial" w:eastAsia="Arial" w:hAnsi="Arial"/>
                <w:sz w:val="15"/>
                <w:szCs w:val="15"/>
                <w:color w:val="auto"/>
              </w:rPr>
              <w:t>Vishal Chhibbar</w:t>
            </w:r>
            <w:r>
              <w:rPr>
                <w:rFonts w:ascii="Arial" w:cs="Arial" w:eastAsia="Arial" w:hAnsi="Arial"/>
                <w:sz w:val="23"/>
                <w:szCs w:val="23"/>
                <w:b w:val="1"/>
                <w:bCs w:val="1"/>
                <w:color w:val="auto"/>
                <w:vertAlign w:val="superscript"/>
              </w:rPr>
              <w:t>(1)</w:t>
            </w:r>
          </w:p>
        </w:tc>
        <w:tc>
          <w:tcPr>
            <w:tcW w:w="2720" w:type="dxa"/>
            <w:vAlign w:val="bottom"/>
            <w:shd w:val="clear" w:color="auto" w:fill="D0E0F0"/>
          </w:tcPr>
          <w:p>
            <w:pPr>
              <w:jc w:val="center"/>
              <w:spacing w:after="0" w:line="202" w:lineRule="exact"/>
              <w:rPr>
                <w:sz w:val="20"/>
                <w:szCs w:val="20"/>
                <w:color w:val="auto"/>
              </w:rPr>
            </w:pPr>
            <w:r>
              <w:rPr>
                <w:rFonts w:ascii="Arial" w:cs="Arial" w:eastAsia="Arial" w:hAnsi="Arial"/>
                <w:sz w:val="18"/>
                <w:szCs w:val="18"/>
                <w:color w:val="auto"/>
                <w:w w:val="99"/>
              </w:rPr>
              <w:t>Gratuity Plan for Indian</w:t>
            </w:r>
          </w:p>
        </w:tc>
        <w:tc>
          <w:tcPr>
            <w:tcW w:w="2060" w:type="dxa"/>
            <w:vAlign w:val="bottom"/>
            <w:shd w:val="clear" w:color="auto" w:fill="D0E0F0"/>
          </w:tcPr>
          <w:p>
            <w:pPr>
              <w:jc w:val="center"/>
              <w:ind w:left="41"/>
              <w:spacing w:after="0" w:line="202" w:lineRule="exact"/>
              <w:rPr>
                <w:sz w:val="20"/>
                <w:szCs w:val="20"/>
                <w:color w:val="auto"/>
              </w:rPr>
            </w:pPr>
            <w:r>
              <w:rPr>
                <w:rFonts w:ascii="Arial" w:cs="Arial" w:eastAsia="Arial" w:hAnsi="Arial"/>
                <w:sz w:val="18"/>
                <w:szCs w:val="18"/>
                <w:color w:val="auto"/>
                <w:w w:val="99"/>
              </w:rPr>
              <w:t>—</w:t>
            </w:r>
          </w:p>
        </w:tc>
        <w:tc>
          <w:tcPr>
            <w:tcW w:w="2080" w:type="dxa"/>
            <w:vAlign w:val="bottom"/>
            <w:shd w:val="clear" w:color="auto" w:fill="D0E0F0"/>
          </w:tcPr>
          <w:p>
            <w:pPr>
              <w:jc w:val="center"/>
              <w:ind w:left="221"/>
              <w:spacing w:after="0" w:line="202" w:lineRule="exact"/>
              <w:rPr>
                <w:sz w:val="20"/>
                <w:szCs w:val="20"/>
                <w:color w:val="auto"/>
              </w:rPr>
            </w:pPr>
            <w:r>
              <w:rPr>
                <w:rFonts w:ascii="Arial" w:cs="Arial" w:eastAsia="Arial" w:hAnsi="Arial"/>
                <w:sz w:val="18"/>
                <w:szCs w:val="18"/>
                <w:color w:val="auto"/>
                <w:w w:val="99"/>
              </w:rPr>
              <w:t>—</w:t>
            </w:r>
          </w:p>
        </w:tc>
        <w:tc>
          <w:tcPr>
            <w:tcW w:w="2260" w:type="dxa"/>
            <w:vAlign w:val="bottom"/>
            <w:shd w:val="clear" w:color="auto" w:fill="D0E0F0"/>
          </w:tcPr>
          <w:p>
            <w:pPr>
              <w:jc w:val="center"/>
              <w:spacing w:after="0" w:line="202" w:lineRule="exact"/>
              <w:rPr>
                <w:sz w:val="20"/>
                <w:szCs w:val="20"/>
                <w:color w:val="auto"/>
              </w:rPr>
            </w:pPr>
            <w:r>
              <w:rPr>
                <w:rFonts w:ascii="Arial" w:cs="Arial" w:eastAsia="Arial" w:hAnsi="Arial"/>
                <w:sz w:val="18"/>
                <w:szCs w:val="18"/>
                <w:color w:val="auto"/>
              </w:rPr>
              <w:t>43,467</w:t>
            </w:r>
          </w:p>
        </w:tc>
      </w:tr>
      <w:tr>
        <w:trPr>
          <w:trHeight w:val="203"/>
        </w:trPr>
        <w:tc>
          <w:tcPr>
            <w:tcW w:w="2300" w:type="dxa"/>
            <w:vAlign w:val="bottom"/>
            <w:shd w:val="clear" w:color="auto" w:fill="D0E0F0"/>
          </w:tcPr>
          <w:p>
            <w:pPr>
              <w:spacing w:after="0"/>
              <w:rPr>
                <w:sz w:val="17"/>
                <w:szCs w:val="17"/>
                <w:color w:val="auto"/>
              </w:rPr>
            </w:pPr>
          </w:p>
        </w:tc>
        <w:tc>
          <w:tcPr>
            <w:tcW w:w="2720" w:type="dxa"/>
            <w:vAlign w:val="bottom"/>
            <w:shd w:val="clear" w:color="auto" w:fill="D0E0F0"/>
          </w:tcPr>
          <w:p>
            <w:pPr>
              <w:jc w:val="center"/>
              <w:spacing w:after="0" w:line="202" w:lineRule="exact"/>
              <w:rPr>
                <w:sz w:val="20"/>
                <w:szCs w:val="20"/>
                <w:color w:val="auto"/>
              </w:rPr>
            </w:pPr>
            <w:r>
              <w:rPr>
                <w:rFonts w:ascii="Arial" w:cs="Arial" w:eastAsia="Arial" w:hAnsi="Arial"/>
                <w:sz w:val="18"/>
                <w:szCs w:val="18"/>
                <w:color w:val="auto"/>
              </w:rPr>
              <w:t>Employees</w:t>
            </w:r>
          </w:p>
        </w:tc>
        <w:tc>
          <w:tcPr>
            <w:tcW w:w="2060" w:type="dxa"/>
            <w:vAlign w:val="bottom"/>
            <w:shd w:val="clear" w:color="auto" w:fill="D0E0F0"/>
          </w:tcPr>
          <w:p>
            <w:pPr>
              <w:spacing w:after="0"/>
              <w:rPr>
                <w:sz w:val="17"/>
                <w:szCs w:val="17"/>
                <w:color w:val="auto"/>
              </w:rPr>
            </w:pPr>
          </w:p>
        </w:tc>
        <w:tc>
          <w:tcPr>
            <w:tcW w:w="2080" w:type="dxa"/>
            <w:vAlign w:val="bottom"/>
            <w:shd w:val="clear" w:color="auto" w:fill="D0E0F0"/>
          </w:tcPr>
          <w:p>
            <w:pPr>
              <w:spacing w:after="0"/>
              <w:rPr>
                <w:sz w:val="17"/>
                <w:szCs w:val="17"/>
                <w:color w:val="auto"/>
              </w:rPr>
            </w:pPr>
          </w:p>
        </w:tc>
        <w:tc>
          <w:tcPr>
            <w:tcW w:w="2260" w:type="dxa"/>
            <w:vAlign w:val="bottom"/>
            <w:shd w:val="clear" w:color="auto" w:fill="D0E0F0"/>
          </w:tcPr>
          <w:p>
            <w:pPr>
              <w:spacing w:after="0"/>
              <w:rPr>
                <w:sz w:val="17"/>
                <w:szCs w:val="17"/>
                <w:color w:val="auto"/>
              </w:rPr>
            </w:pPr>
          </w:p>
        </w:tc>
      </w:tr>
      <w:tr>
        <w:trPr>
          <w:trHeight w:val="203"/>
        </w:trPr>
        <w:tc>
          <w:tcPr>
            <w:tcW w:w="2300" w:type="dxa"/>
            <w:vAlign w:val="bottom"/>
            <w:shd w:val="clear" w:color="auto" w:fill="D0E0F0"/>
          </w:tcPr>
          <w:p>
            <w:pPr>
              <w:spacing w:after="0"/>
              <w:rPr>
                <w:sz w:val="17"/>
                <w:szCs w:val="17"/>
                <w:color w:val="auto"/>
              </w:rPr>
            </w:pPr>
          </w:p>
        </w:tc>
        <w:tc>
          <w:tcPr>
            <w:tcW w:w="2720" w:type="dxa"/>
            <w:vAlign w:val="bottom"/>
            <w:shd w:val="clear" w:color="auto" w:fill="D0E0F0"/>
          </w:tcPr>
          <w:p>
            <w:pPr>
              <w:spacing w:after="0"/>
              <w:rPr>
                <w:sz w:val="17"/>
                <w:szCs w:val="17"/>
                <w:color w:val="auto"/>
              </w:rPr>
            </w:pPr>
          </w:p>
        </w:tc>
        <w:tc>
          <w:tcPr>
            <w:tcW w:w="2060" w:type="dxa"/>
            <w:vAlign w:val="bottom"/>
            <w:shd w:val="clear" w:color="auto" w:fill="D0E0F0"/>
          </w:tcPr>
          <w:p>
            <w:pPr>
              <w:spacing w:after="0"/>
              <w:rPr>
                <w:sz w:val="17"/>
                <w:szCs w:val="17"/>
                <w:color w:val="auto"/>
              </w:rPr>
            </w:pPr>
          </w:p>
        </w:tc>
        <w:tc>
          <w:tcPr>
            <w:tcW w:w="2080" w:type="dxa"/>
            <w:vAlign w:val="bottom"/>
            <w:shd w:val="clear" w:color="auto" w:fill="D0E0F0"/>
          </w:tcPr>
          <w:p>
            <w:pPr>
              <w:spacing w:after="0"/>
              <w:rPr>
                <w:sz w:val="17"/>
                <w:szCs w:val="17"/>
                <w:color w:val="auto"/>
              </w:rPr>
            </w:pPr>
          </w:p>
        </w:tc>
        <w:tc>
          <w:tcPr>
            <w:tcW w:w="2260" w:type="dxa"/>
            <w:vAlign w:val="bottom"/>
            <w:shd w:val="clear" w:color="auto" w:fill="D0E0F0"/>
          </w:tcPr>
          <w:p>
            <w:pPr>
              <w:spacing w:after="0"/>
              <w:rPr>
                <w:sz w:val="17"/>
                <w:szCs w:val="17"/>
                <w:color w:val="auto"/>
              </w:rPr>
            </w:pPr>
          </w:p>
        </w:tc>
      </w:tr>
      <w:tr>
        <w:trPr>
          <w:trHeight w:val="202"/>
        </w:trPr>
        <w:tc>
          <w:tcPr>
            <w:tcW w:w="2300" w:type="dxa"/>
            <w:vAlign w:val="bottom"/>
          </w:tcPr>
          <w:p>
            <w:pPr>
              <w:ind w:left="100"/>
              <w:spacing w:after="0" w:line="201" w:lineRule="exact"/>
              <w:rPr>
                <w:sz w:val="20"/>
                <w:szCs w:val="20"/>
                <w:color w:val="auto"/>
              </w:rPr>
            </w:pPr>
            <w:r>
              <w:rPr>
                <w:rFonts w:ascii="Arial" w:cs="Arial" w:eastAsia="Arial" w:hAnsi="Arial"/>
                <w:sz w:val="18"/>
                <w:szCs w:val="18"/>
                <w:color w:val="auto"/>
              </w:rPr>
              <w:t>Pavan Bagai</w:t>
            </w:r>
          </w:p>
        </w:tc>
        <w:tc>
          <w:tcPr>
            <w:tcW w:w="2720" w:type="dxa"/>
            <w:vAlign w:val="bottom"/>
          </w:tcPr>
          <w:p>
            <w:pPr>
              <w:jc w:val="center"/>
              <w:spacing w:after="0" w:line="201" w:lineRule="exact"/>
              <w:rPr>
                <w:sz w:val="20"/>
                <w:szCs w:val="20"/>
                <w:color w:val="auto"/>
              </w:rPr>
            </w:pPr>
            <w:r>
              <w:rPr>
                <w:rFonts w:ascii="Arial" w:cs="Arial" w:eastAsia="Arial" w:hAnsi="Arial"/>
                <w:sz w:val="18"/>
                <w:szCs w:val="18"/>
                <w:color w:val="auto"/>
                <w:w w:val="99"/>
              </w:rPr>
              <w:t>Gratuity Plan for Indian</w:t>
            </w:r>
          </w:p>
        </w:tc>
        <w:tc>
          <w:tcPr>
            <w:tcW w:w="2060" w:type="dxa"/>
            <w:vAlign w:val="bottom"/>
          </w:tcPr>
          <w:p>
            <w:pPr>
              <w:jc w:val="right"/>
              <w:ind w:right="801"/>
              <w:spacing w:after="0" w:line="201" w:lineRule="exact"/>
              <w:rPr>
                <w:sz w:val="20"/>
                <w:szCs w:val="20"/>
                <w:color w:val="auto"/>
              </w:rPr>
            </w:pPr>
            <w:r>
              <w:rPr>
                <w:rFonts w:ascii="Arial" w:cs="Arial" w:eastAsia="Arial" w:hAnsi="Arial"/>
                <w:sz w:val="18"/>
                <w:szCs w:val="18"/>
                <w:color w:val="auto"/>
              </w:rPr>
              <w:t>14</w:t>
            </w:r>
          </w:p>
        </w:tc>
        <w:tc>
          <w:tcPr>
            <w:tcW w:w="2080" w:type="dxa"/>
            <w:vAlign w:val="bottom"/>
          </w:tcPr>
          <w:p>
            <w:pPr>
              <w:jc w:val="right"/>
              <w:ind w:right="541"/>
              <w:spacing w:after="0" w:line="201" w:lineRule="exact"/>
              <w:rPr>
                <w:sz w:val="20"/>
                <w:szCs w:val="20"/>
                <w:color w:val="auto"/>
              </w:rPr>
            </w:pPr>
            <w:r>
              <w:rPr>
                <w:rFonts w:ascii="Arial" w:cs="Arial" w:eastAsia="Arial" w:hAnsi="Arial"/>
                <w:sz w:val="18"/>
                <w:szCs w:val="18"/>
                <w:color w:val="auto"/>
              </w:rPr>
              <w:t>79,751</w:t>
            </w:r>
          </w:p>
        </w:tc>
        <w:tc>
          <w:tcPr>
            <w:tcW w:w="22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7"/>
        </w:trPr>
        <w:tc>
          <w:tcPr>
            <w:tcW w:w="230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Employees</w:t>
            </w:r>
          </w:p>
        </w:tc>
        <w:tc>
          <w:tcPr>
            <w:tcW w:w="20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-668020</wp:posOffset>
            </wp:positionV>
            <wp:extent cx="71266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14490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8" w:lineRule="exact"/>
        <w:rPr>
          <w:sz w:val="20"/>
          <w:szCs w:val="20"/>
          <w:color w:val="auto"/>
        </w:rPr>
      </w:pPr>
    </w:p>
    <w:p>
      <w:pPr>
        <w:ind w:left="660" w:right="640" w:hanging="328"/>
        <w:spacing w:after="0" w:line="246"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Mr. Chhibbar is no longer accruing a benefit under the Gratuity Plan and received a distribution of his entire account balance as a result of his relocation from India to the United States.</w:t>
      </w:r>
    </w:p>
    <w:p>
      <w:pPr>
        <w:ind w:left="660" w:right="200" w:hanging="328"/>
        <w:spacing w:after="0" w:line="246"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Consists of the number of years of service credited as of December 31, 2016 for the purpose of determining benefit service under the Gratuity Plan. Credited service is determined based on the completed years of continuous employment (rounded to the nearest whole number of years) with the Company since the executive’s date of hire.</w:t>
      </w:r>
    </w:p>
    <w:p>
      <w:pPr>
        <w:spacing w:after="0" w:line="1" w:lineRule="exact"/>
        <w:rPr>
          <w:rFonts w:ascii="Arial" w:cs="Arial" w:eastAsia="Arial" w:hAnsi="Arial"/>
          <w:sz w:val="16"/>
          <w:szCs w:val="16"/>
          <w:color w:val="auto"/>
        </w:rPr>
      </w:pPr>
    </w:p>
    <w:p>
      <w:pPr>
        <w:ind w:left="660" w:hanging="328"/>
        <w:spacing w:after="0" w:line="249"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Liabilities with regard to the Gratuity Plans are determined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Details regarding the assumptions used in the calculation of these amounts are included in footnote 2 to the audited financial statements for the fiscal year ended December 31, 2016 included in the 2016 Form 10-K.</w:t>
      </w:r>
    </w:p>
    <w:p>
      <w:pPr>
        <w:spacing w:after="0" w:line="189"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We are required to provide all Indian employees with benefits under the Gratuity Plan, a defined benefit pension plan in India. Distributions from the Gratuity Plan are made in a single lump sum following retirement from the Company. An executive’s benefit under the Gratuity Plan is determined at any time as the executive’s annual base salary (determined based on the executive’s most recent monthly base salary) divided by 26, multiplied by 15, and the product multiplied by the executive’hs completed years of continuous service with the Company. An executive has a vested and nonforfeitable right to payment of his accrued Gratuity Plan benefit only after five years of service. The present value of Mr. Bagai’s accumulated benefits has been determined based on his monthly basic salary rates in effect on December 31, 2016, which is approximately $9,874.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Potential Payments upon Termination or Change in Control at Fiscal 2016 Year-End</w:t>
      </w:r>
    </w:p>
    <w:p>
      <w:pPr>
        <w:spacing w:after="0" w:line="220" w:lineRule="exact"/>
        <w:rPr>
          <w:sz w:val="20"/>
          <w:szCs w:val="20"/>
          <w:color w:val="auto"/>
        </w:rPr>
      </w:pPr>
    </w:p>
    <w:p>
      <w:pPr>
        <w:ind w:right="280" w:firstLine="648"/>
        <w:spacing w:after="0" w:line="239" w:lineRule="auto"/>
        <w:rPr>
          <w:sz w:val="20"/>
          <w:szCs w:val="20"/>
          <w:color w:val="auto"/>
        </w:rPr>
      </w:pPr>
      <w:r>
        <w:rPr>
          <w:rFonts w:ascii="Arial" w:cs="Arial" w:eastAsia="Arial" w:hAnsi="Arial"/>
          <w:sz w:val="18"/>
          <w:szCs w:val="18"/>
          <w:color w:val="auto"/>
        </w:rPr>
        <w:t>The following tables summarize the amounts payable to each named executive officer upon a change in control or termination of his employment with us on December 31, 2016. In calculating potential payments for purposes of this disclosure, we have quantified our equity-based payments using the closing stock price on December 20, 2016, which was $50.44. Certain defined terms used in the employment agreements for our named executive officers are defined following the description of Mr. Miglani’s potential payments.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b w:val="1"/>
          <w:bCs w:val="1"/>
          <w:i w:val="1"/>
          <w:iCs w:val="1"/>
          <w:color w:val="auto"/>
        </w:rPr>
        <w:t>Rohit Kapoor</w:t>
      </w:r>
    </w:p>
    <w:p>
      <w:pPr>
        <w:spacing w:after="0" w:line="202" w:lineRule="exact"/>
        <w:rPr>
          <w:sz w:val="20"/>
          <w:szCs w:val="20"/>
          <w:color w:val="auto"/>
        </w:rPr>
      </w:pPr>
    </w:p>
    <w:p>
      <w:pPr>
        <w:ind w:right="340" w:firstLine="648"/>
        <w:spacing w:after="0" w:line="267" w:lineRule="auto"/>
        <w:rPr>
          <w:sz w:val="20"/>
          <w:szCs w:val="20"/>
          <w:color w:val="auto"/>
        </w:rPr>
      </w:pPr>
      <w:r>
        <w:rPr>
          <w:rFonts w:ascii="Arial" w:cs="Arial" w:eastAsia="Arial" w:hAnsi="Arial"/>
          <w:sz w:val="18"/>
          <w:szCs w:val="18"/>
          <w:i w:val="1"/>
          <w:iCs w:val="1"/>
          <w:color w:val="auto"/>
        </w:rPr>
        <w:t>Cash Severance</w:t>
      </w:r>
      <w:r>
        <w:rPr>
          <w:rFonts w:ascii="Arial" w:cs="Arial" w:eastAsia="Arial" w:hAnsi="Arial"/>
          <w:sz w:val="18"/>
          <w:szCs w:val="18"/>
          <w:color w:val="auto"/>
        </w:rPr>
        <w:t>. If Mr. Kapoor’s employment were terminated by us without “cause” or by the executive for “good reason”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case, as described below) on December 31, 2016, he would have been entitled to cash severance consisting of:</w:t>
      </w:r>
    </w:p>
    <w:p>
      <w:pPr>
        <w:spacing w:after="0" w:line="165" w:lineRule="exact"/>
        <w:rPr>
          <w:sz w:val="20"/>
          <w:szCs w:val="20"/>
          <w:color w:val="auto"/>
        </w:rPr>
      </w:pPr>
    </w:p>
    <w:p>
      <w:pPr>
        <w:ind w:left="1360" w:hanging="461"/>
        <w:spacing w:after="0"/>
        <w:tabs>
          <w:tab w:leader="none" w:pos="1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continuation of his base salary for 24 months;</w:t>
      </w:r>
    </w:p>
    <w:p>
      <w:pPr>
        <w:spacing w:after="0" w:line="198" w:lineRule="exact"/>
        <w:rPr>
          <w:rFonts w:ascii="Arial" w:cs="Arial" w:eastAsia="Arial" w:hAnsi="Arial"/>
          <w:sz w:val="18"/>
          <w:szCs w:val="18"/>
          <w:color w:val="auto"/>
        </w:rPr>
      </w:pPr>
    </w:p>
    <w:p>
      <w:pPr>
        <w:ind w:left="580" w:right="760" w:firstLine="319"/>
        <w:spacing w:after="0" w:line="246" w:lineRule="auto"/>
        <w:tabs>
          <w:tab w:leader="none" w:pos="13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his actual bonus, if any, earned for the year of termination, determined as if he had been employed for the full year of termination, paid ratably over the remaining period of base salary payments;</w:t>
      </w:r>
    </w:p>
    <w:p>
      <w:pPr>
        <w:spacing w:after="0" w:line="183" w:lineRule="exact"/>
        <w:rPr>
          <w:rFonts w:ascii="Arial" w:cs="Arial" w:eastAsia="Arial" w:hAnsi="Arial"/>
          <w:sz w:val="18"/>
          <w:szCs w:val="18"/>
          <w:color w:val="auto"/>
        </w:rPr>
      </w:pPr>
    </w:p>
    <w:p>
      <w:pPr>
        <w:ind w:left="1360" w:hanging="461"/>
        <w:spacing w:after="0"/>
        <w:tabs>
          <w:tab w:leader="none" w:pos="1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unpaid bonus amounts from prior periods;</w:t>
      </w:r>
    </w:p>
    <w:p>
      <w:pPr>
        <w:spacing w:after="0" w:line="198" w:lineRule="exact"/>
        <w:rPr>
          <w:rFonts w:ascii="Arial" w:cs="Arial" w:eastAsia="Arial" w:hAnsi="Arial"/>
          <w:sz w:val="18"/>
          <w:szCs w:val="18"/>
          <w:color w:val="auto"/>
        </w:rPr>
      </w:pPr>
    </w:p>
    <w:p>
      <w:pPr>
        <w:ind w:left="1360" w:hanging="461"/>
        <w:spacing w:after="0"/>
        <w:tabs>
          <w:tab w:leader="none" w:pos="1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accrued but unpaid base salary and vacation days or unreimbursed expenses</w:t>
      </w:r>
    </w:p>
    <w:p>
      <w:pPr>
        <w:spacing w:after="0" w:line="198" w:lineRule="exact"/>
        <w:rPr>
          <w:rFonts w:ascii="Arial" w:cs="Arial" w:eastAsia="Arial" w:hAnsi="Arial"/>
          <w:sz w:val="18"/>
          <w:szCs w:val="18"/>
          <w:color w:val="auto"/>
        </w:rPr>
      </w:pPr>
    </w:p>
    <w:p>
      <w:pPr>
        <w:ind w:left="580" w:right="560" w:firstLine="319"/>
        <w:spacing w:after="0"/>
        <w:tabs>
          <w:tab w:leader="none" w:pos="13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of continued COBRA coverage under the Company’s group health plan on behalf of the executive and his eligible dependents (described in more detail below), until the earlier of (x) the 18-month anniversary of termination and (y) the date the executive becomes eligible to receive comparable benefits from a subsequent employer; and</w:t>
      </w:r>
    </w:p>
    <w:p>
      <w:pPr>
        <w:spacing w:after="0" w:line="189" w:lineRule="exact"/>
        <w:rPr>
          <w:rFonts w:ascii="Arial" w:cs="Arial" w:eastAsia="Arial" w:hAnsi="Arial"/>
          <w:sz w:val="18"/>
          <w:szCs w:val="18"/>
          <w:color w:val="auto"/>
        </w:rPr>
      </w:pPr>
    </w:p>
    <w:p>
      <w:pPr>
        <w:ind w:left="580" w:right="440" w:firstLine="319"/>
        <w:spacing w:after="0" w:line="246" w:lineRule="auto"/>
        <w:tabs>
          <w:tab w:leader="none" w:pos="13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continuation of life insurance coverage until the earlier of (x) the 18-month anniversary of termination and (y) the date the executive commences employment with a subsequent employer.</w:t>
      </w:r>
    </w:p>
    <w:p>
      <w:pPr>
        <w:spacing w:after="0" w:line="165"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i w:val="1"/>
          <w:iCs w:val="1"/>
          <w:color w:val="auto"/>
        </w:rPr>
        <w:t>Change-in-Control Cash Severance</w:t>
      </w:r>
      <w:r>
        <w:rPr>
          <w:rFonts w:ascii="Arial" w:cs="Arial" w:eastAsia="Arial" w:hAnsi="Arial"/>
          <w:sz w:val="18"/>
          <w:szCs w:val="18"/>
          <w:color w:val="auto"/>
        </w:rPr>
        <w:t>. If Mr. Kapoor’s employment is terminated by us without “cause” or by the executive for “good</w:t>
      </w:r>
      <w:r>
        <w:rPr>
          <w:rFonts w:ascii="Arial" w:cs="Arial" w:eastAsia="Arial" w:hAnsi="Arial"/>
          <w:sz w:val="18"/>
          <w:szCs w:val="18"/>
          <w:i w:val="1"/>
          <w:iCs w:val="1"/>
          <w:color w:val="auto"/>
        </w:rPr>
        <w:t xml:space="preserve"> </w:t>
      </w:r>
      <w:r>
        <w:rPr>
          <w:rFonts w:ascii="Arial" w:cs="Arial" w:eastAsia="Arial" w:hAnsi="Arial"/>
          <w:sz w:val="18"/>
          <w:szCs w:val="18"/>
          <w:color w:val="auto"/>
        </w:rPr>
        <w:t>reason” (in each case, as described above) within 12 months following a “change in control” or in specific contemplation of a change in control, the executive will receive, in lieu of the cash severance described above, (1) a lump sum payment equal to 24 months of base salary and (2) his actual bonus, if any, earned for the year of termination, determined as if he had been employed for the full year of termination, paid ratably over the remaining period of base salary payments.</w:t>
      </w:r>
    </w:p>
    <w:p>
      <w:pPr>
        <w:spacing w:after="0" w:line="172" w:lineRule="exact"/>
        <w:rPr>
          <w:sz w:val="20"/>
          <w:szCs w:val="20"/>
          <w:color w:val="auto"/>
        </w:rPr>
      </w:pPr>
    </w:p>
    <w:p>
      <w:pPr>
        <w:ind w:right="340" w:firstLine="648"/>
        <w:spacing w:after="0" w:line="267" w:lineRule="auto"/>
        <w:rPr>
          <w:sz w:val="20"/>
          <w:szCs w:val="20"/>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If Mr. Kapoor’s employment terminates due to his death or is terminated by either the executive or us due to his</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he (or his estate) will be entitled to a prorated portion of his projected bonus amount for the year of termination.</w:t>
      </w:r>
    </w:p>
    <w:p>
      <w:pPr>
        <w:spacing w:after="0" w:line="147" w:lineRule="exact"/>
        <w:rPr>
          <w:sz w:val="20"/>
          <w:szCs w:val="20"/>
          <w:color w:val="auto"/>
        </w:rPr>
      </w:pPr>
    </w:p>
    <w:p>
      <w:pPr>
        <w:ind w:right="140" w:firstLine="648"/>
        <w:spacing w:after="0" w:line="267" w:lineRule="auto"/>
        <w:rPr>
          <w:sz w:val="20"/>
          <w:szCs w:val="20"/>
          <w:color w:val="auto"/>
        </w:rPr>
      </w:pPr>
      <w:r>
        <w:rPr>
          <w:rFonts w:ascii="Arial" w:cs="Arial" w:eastAsia="Arial" w:hAnsi="Arial"/>
          <w:sz w:val="18"/>
          <w:szCs w:val="18"/>
          <w:i w:val="1"/>
          <w:iCs w:val="1"/>
          <w:color w:val="auto"/>
        </w:rPr>
        <w:t>Noncompetition and Nonsolicitation Provisions</w:t>
      </w:r>
      <w:r>
        <w:rPr>
          <w:rFonts w:ascii="Arial" w:cs="Arial" w:eastAsia="Arial" w:hAnsi="Arial"/>
          <w:sz w:val="18"/>
          <w:szCs w:val="18"/>
          <w:color w:val="auto"/>
        </w:rPr>
        <w:t>. Mr. Kapoor is subject to confidentiality and nondisparagement restrictions at all times,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noncompetition and nonsolicitation restrictions during his employment and for one year thereafter.</w:t>
      </w:r>
    </w:p>
    <w:p>
      <w:pPr>
        <w:spacing w:after="0" w:line="147" w:lineRule="exact"/>
        <w:rPr>
          <w:sz w:val="20"/>
          <w:szCs w:val="20"/>
          <w:color w:val="auto"/>
        </w:rPr>
      </w:pPr>
    </w:p>
    <w:p>
      <w:pPr>
        <w:ind w:right="180" w:firstLine="648"/>
        <w:spacing w:after="0" w:line="251" w:lineRule="auto"/>
        <w:rPr>
          <w:sz w:val="20"/>
          <w:szCs w:val="20"/>
          <w:color w:val="auto"/>
        </w:rPr>
      </w:pPr>
      <w:r>
        <w:rPr>
          <w:rFonts w:ascii="Arial" w:cs="Arial" w:eastAsia="Arial" w:hAnsi="Arial"/>
          <w:sz w:val="18"/>
          <w:szCs w:val="18"/>
          <w:i w:val="1"/>
          <w:iCs w:val="1"/>
          <w:color w:val="auto"/>
        </w:rPr>
        <w:t>Annual Equity Awards</w:t>
      </w:r>
      <w:r>
        <w:rPr>
          <w:rFonts w:ascii="Arial" w:cs="Arial" w:eastAsia="Arial" w:hAnsi="Arial"/>
          <w:sz w:val="18"/>
          <w:szCs w:val="18"/>
          <w:color w:val="auto"/>
        </w:rPr>
        <w:t>. If Mr. Kapoor’s employment is terminated by us without cause or by Mr. Kapoor for good reason, Mr. Kapoor</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treated as if he were still employed by the Company for a period of two years following the termination date. On a “change in control” (as defined in the 2006 Plan or 2015 Plan, as applicable), Mr. Kapoor’s outstanding annual equity awards will vest as described below:</w:t>
      </w:r>
    </w:p>
    <w:p>
      <w:pPr>
        <w:spacing w:after="0" w:line="161" w:lineRule="exact"/>
        <w:rPr>
          <w:sz w:val="20"/>
          <w:szCs w:val="20"/>
          <w:color w:val="auto"/>
        </w:rPr>
      </w:pPr>
    </w:p>
    <w:p>
      <w:pPr>
        <w:ind w:left="1300" w:hanging="320"/>
        <w:spacing w:after="0" w:line="245"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Time-Vested RSUs</w:t>
      </w:r>
      <w:r>
        <w:rPr>
          <w:rFonts w:ascii="Arial" w:cs="Arial" w:eastAsia="Arial" w:hAnsi="Arial"/>
          <w:sz w:val="18"/>
          <w:szCs w:val="18"/>
          <w:color w:val="auto"/>
        </w:rPr>
        <w:t>: If a change in control occurs prior to the end of the performance period, Mr. Kapoor’s Time-Vested RSUs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advanced by one year. In addition, all of Mr. Kapoor’s outstanding Time-Vested RSUs will become fully vested if, following or in specific contemplation of a change in control, he is terminated without cause or, following a change in control, he voluntarily terminates his employment for good reason.</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70" w:right="259" w:bottom="1440" w:gutter="0" w:footer="0" w:header="0"/>
        </w:sectPr>
      </w:pPr>
    </w:p>
    <w:bookmarkStart w:id="54" w:name="page55"/>
    <w:bookmarkEnd w:id="54"/>
    <w:p>
      <w:pPr>
        <w:ind w:left="1300" w:hanging="320"/>
        <w:spacing w:after="0" w:line="242"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If a change in control occurs prior to the end of the performance period, 100% of target of Mr.</w:t>
      </w:r>
      <w:r>
        <w:rPr>
          <w:rFonts w:ascii="Arial" w:cs="Arial" w:eastAsia="Arial" w:hAnsi="Arial"/>
          <w:sz w:val="18"/>
          <w:szCs w:val="18"/>
          <w:i w:val="1"/>
          <w:iCs w:val="1"/>
          <w:color w:val="auto"/>
        </w:rPr>
        <w:t xml:space="preserve"> </w:t>
      </w:r>
      <w:r>
        <w:rPr>
          <w:rFonts w:ascii="Arial" w:cs="Arial" w:eastAsia="Arial" w:hAnsi="Arial"/>
          <w:sz w:val="18"/>
          <w:szCs w:val="18"/>
          <w:color w:val="auto"/>
        </w:rPr>
        <w:t>Kapoor’s Revenue-Linked PRSUs will be deemed earned, will be subject to a three year installment vesting schedule and will be advanced by one year under such schedule. In addition, all of Mr. Kapoor’s outstanding Revenue-Linked PRSUs will become fully vested if, following or in specific contemplation of a change in control, he is terminated without cause or, following a change in control, he voluntarily terminates his employment for good reason.</w:t>
      </w:r>
    </w:p>
    <w:p>
      <w:pPr>
        <w:spacing w:after="0" w:line="171" w:lineRule="exact"/>
        <w:rPr>
          <w:rFonts w:ascii="Arial" w:cs="Arial" w:eastAsia="Arial" w:hAnsi="Arial"/>
          <w:sz w:val="18"/>
          <w:szCs w:val="18"/>
          <w:color w:val="auto"/>
        </w:rPr>
      </w:pPr>
    </w:p>
    <w:p>
      <w:pPr>
        <w:ind w:left="1300" w:right="40" w:hanging="320"/>
        <w:spacing w:after="0" w:line="238"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If a change in control occurs on or prior to the first anniversary of the grant date, 100% of target</w:t>
      </w:r>
      <w:r>
        <w:rPr>
          <w:rFonts w:ascii="Arial" w:cs="Arial" w:eastAsia="Arial" w:hAnsi="Arial"/>
          <w:sz w:val="18"/>
          <w:szCs w:val="18"/>
          <w:i w:val="1"/>
          <w:iCs w:val="1"/>
          <w:color w:val="auto"/>
        </w:rPr>
        <w:t xml:space="preserve"> </w:t>
      </w:r>
      <w:r>
        <w:rPr>
          <w:rFonts w:ascii="Arial" w:cs="Arial" w:eastAsia="Arial" w:hAnsi="Arial"/>
          <w:sz w:val="18"/>
          <w:szCs w:val="18"/>
          <w:color w:val="auto"/>
        </w:rPr>
        <w:t>of Mr. Kapoor’s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three year installment vesting schedule and will be advanced by one year under such schedule. In addition, all of Mr. Kapoor’s outstanding Revenue-Linked PRSUs will become fully vested if, within 12 months following or in specific contemplation of a change in control, he is terminated without cause or, within 12 months following a change in control, he voluntarily terminates his employment for good reason. Furthermore, all of Mr. Kapoor’s outstanding, earned TSR-Linked PRSUs will become fully vested if, at any time following a change in control, he is terminated without cause or he voluntarily terminates his employment for good reason.</w:t>
      </w:r>
    </w:p>
    <w:p>
      <w:pPr>
        <w:spacing w:after="0" w:line="173"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i w:val="1"/>
          <w:iCs w:val="1"/>
          <w:color w:val="auto"/>
        </w:rPr>
        <w:t>Stock Price Performance Award</w:t>
      </w:r>
      <w:r>
        <w:rPr>
          <w:rFonts w:ascii="Arial" w:cs="Arial" w:eastAsia="Arial" w:hAnsi="Arial"/>
          <w:sz w:val="18"/>
          <w:szCs w:val="18"/>
          <w:color w:val="auto"/>
        </w:rPr>
        <w:t>. Mr. Kapoor will vest in a portion of his Stock Price Performance Award representing his service from</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2015 through his termination date plus an additional year (the “Enhanced Pro-Rata Portion”) if his employment terminates prior to a change in control due to his death or disability. If, prior to a change in control, Mr. Kapoor is terminated by the Company without cause or he terminates his employment with good reason, a portion of the award will be considered earned based on the Company’s average stock price during the 60 days prior to Mr. Kapoor’s termination date (the “Earned PRSUs”). An Enhanced Pro-Rata Portion of any such Earned PRSUs will vest immediately upon Mr. Kapoor’s termination date.</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If a change in control occurs prior to the end of the performance period, a portion of the PRSUs outstanding as of the date of the change of control will be deemed earned and convert to Time-Vested RSUs (“CIC PRSUs”), based on the Company’s average stock price on the date of the change in control, that cliff-vest on December 31, 2017, contingent upon Mr. Kapoor’s continued employment through that date. One hundred percent of all PRSUs granted to Mr. Kapoor pursuant to the Stock Price Performance Award will become fully vested if (i) within 12 months following or in specific contemplation of a change in control, he is terminated without cause; (ii) within 12 months following a change in control, he terminates his employment for good reason or (iii) there is a failure to substitute, assume, exchange or otherwise continue the PRSUs by an acquirer. In addition, following the 12-month period described above, an Enhanced Pro-Rata Portion of any earned CIC PRSUs will vest immediately upon Mr. Kapoor’s termination of employment at any time after a change in control due to his termination without cause, death or disability, or resignation for good reason.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74" w:right="299" w:bottom="1440" w:gutter="0" w:footer="0" w:header="0"/>
        </w:sectPr>
      </w:pPr>
    </w:p>
    <w:bookmarkStart w:id="55" w:name="page56"/>
    <w:bookmarkEnd w:id="55"/>
    <w:p>
      <w:pPr>
        <w:ind w:right="280" w:firstLine="648"/>
        <w:spacing w:after="0" w:line="245" w:lineRule="auto"/>
        <w:rPr>
          <w:sz w:val="20"/>
          <w:szCs w:val="20"/>
          <w:color w:val="auto"/>
        </w:rPr>
      </w:pPr>
      <w:r>
        <w:rPr>
          <w:rFonts w:ascii="Arial" w:cs="Arial" w:eastAsia="Arial" w:hAnsi="Arial"/>
          <w:sz w:val="18"/>
          <w:szCs w:val="18"/>
          <w:i w:val="1"/>
          <w:iCs w:val="1"/>
          <w:color w:val="auto"/>
        </w:rPr>
        <w:t>Release of Claims</w:t>
      </w:r>
      <w:r>
        <w:rPr>
          <w:rFonts w:ascii="Arial" w:cs="Arial" w:eastAsia="Arial" w:hAnsi="Arial"/>
          <w:sz w:val="18"/>
          <w:szCs w:val="18"/>
          <w:color w:val="auto"/>
        </w:rPr>
        <w:t>. Mr. Kapoor’s severance payments and termination-related equity acceleration are subject to his execution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release of claims against us, his not having committed a material breach of the restrictive covenants that has remained uncured for 15 days after we have given him notice of such breach and his resignation from the board of directors and all committees thereof, if requested by the Company.</w:t>
      </w:r>
    </w:p>
    <w:p>
      <w:pPr>
        <w:spacing w:after="0" w:line="168" w:lineRule="exact"/>
        <w:rPr>
          <w:sz w:val="20"/>
          <w:szCs w:val="20"/>
          <w:color w:val="auto"/>
        </w:rPr>
      </w:pPr>
    </w:p>
    <w:p>
      <w:pPr>
        <w:ind w:right="240" w:firstLine="648"/>
        <w:spacing w:after="0" w:line="245" w:lineRule="auto"/>
        <w:rPr>
          <w:sz w:val="20"/>
          <w:szCs w:val="20"/>
          <w:color w:val="auto"/>
        </w:rPr>
      </w:pPr>
      <w:r>
        <w:rPr>
          <w:rFonts w:ascii="Arial" w:cs="Arial" w:eastAsia="Arial" w:hAnsi="Arial"/>
          <w:sz w:val="18"/>
          <w:szCs w:val="18"/>
          <w:i w:val="1"/>
          <w:iCs w:val="1"/>
          <w:color w:val="auto"/>
        </w:rPr>
        <w:t>Code Section 280G</w:t>
      </w:r>
      <w:r>
        <w:rPr>
          <w:rFonts w:ascii="Arial" w:cs="Arial" w:eastAsia="Arial" w:hAnsi="Arial"/>
          <w:sz w:val="18"/>
          <w:szCs w:val="18"/>
          <w:color w:val="auto"/>
        </w:rPr>
        <w:t>. Mr. Kapoor’s employment agreement also contains a “modified cut-back” provision such that any payments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“excess parachute payments” under Section 280G of the Code will be reduced to an amount that does not trigger the applicable excise taxes, to the extent such reduced amount is larger than the amount Mr. Kapoor would have received on a present-value net-after-tax basis (including excise taxes) absent such a reduction.</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Indicative Payouts for Rohit Kapoor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2900" w:type="dxa"/>
            <w:vAlign w:val="bottom"/>
            <w:shd w:val="clear" w:color="auto" w:fill="508BC7"/>
          </w:tcPr>
          <w:p>
            <w:pPr>
              <w:spacing w:after="0"/>
              <w:rPr>
                <w:sz w:val="24"/>
                <w:szCs w:val="24"/>
                <w:color w:val="auto"/>
              </w:rPr>
            </w:pPr>
          </w:p>
        </w:tc>
        <w:tc>
          <w:tcPr>
            <w:tcW w:w="1600" w:type="dxa"/>
            <w:vAlign w:val="bottom"/>
            <w:shd w:val="clear" w:color="auto" w:fill="508BC7"/>
          </w:tcPr>
          <w:p>
            <w:pPr>
              <w:spacing w:after="0"/>
              <w:rPr>
                <w:sz w:val="24"/>
                <w:szCs w:val="24"/>
                <w:color w:val="auto"/>
              </w:rPr>
            </w:pPr>
          </w:p>
        </w:tc>
        <w:tc>
          <w:tcPr>
            <w:tcW w:w="2140" w:type="dxa"/>
            <w:vAlign w:val="bottom"/>
            <w:shd w:val="clear" w:color="auto" w:fill="508BC7"/>
          </w:tcPr>
          <w:p>
            <w:pPr>
              <w:spacing w:after="0"/>
              <w:rPr>
                <w:sz w:val="24"/>
                <w:szCs w:val="24"/>
                <w:color w:val="auto"/>
              </w:rPr>
            </w:pPr>
          </w:p>
        </w:tc>
        <w:tc>
          <w:tcPr>
            <w:tcW w:w="1240" w:type="dxa"/>
            <w:vAlign w:val="bottom"/>
            <w:shd w:val="clear" w:color="auto" w:fill="508BC7"/>
          </w:tcPr>
          <w:p>
            <w:pPr>
              <w:spacing w:after="0"/>
              <w:rPr>
                <w:sz w:val="24"/>
                <w:szCs w:val="24"/>
                <w:color w:val="auto"/>
              </w:rPr>
            </w:pPr>
          </w:p>
        </w:tc>
        <w:tc>
          <w:tcPr>
            <w:tcW w:w="3540" w:type="dxa"/>
            <w:vAlign w:val="bottom"/>
            <w:shd w:val="clear" w:color="auto" w:fill="508BC7"/>
          </w:tcPr>
          <w:p>
            <w:pPr>
              <w:jc w:val="center"/>
              <w:ind w:right="48"/>
              <w:spacing w:after="0"/>
              <w:rPr>
                <w:sz w:val="20"/>
                <w:szCs w:val="20"/>
                <w:color w:val="auto"/>
              </w:rPr>
            </w:pPr>
            <w:r>
              <w:rPr>
                <w:rFonts w:ascii="Arial" w:cs="Arial" w:eastAsia="Arial" w:hAnsi="Arial"/>
                <w:sz w:val="14"/>
                <w:szCs w:val="14"/>
                <w:b w:val="1"/>
                <w:bCs w:val="1"/>
                <w:color w:val="FFFFFF"/>
              </w:rPr>
              <w:t>Termination Without Cause or for Good</w:t>
            </w:r>
          </w:p>
        </w:tc>
      </w:tr>
      <w:tr>
        <w:trPr>
          <w:trHeight w:val="162"/>
        </w:trPr>
        <w:tc>
          <w:tcPr>
            <w:tcW w:w="2900" w:type="dxa"/>
            <w:vAlign w:val="bottom"/>
            <w:shd w:val="clear" w:color="auto" w:fill="508BC7"/>
          </w:tcPr>
          <w:p>
            <w:pPr>
              <w:spacing w:after="0"/>
              <w:rPr>
                <w:sz w:val="14"/>
                <w:szCs w:val="14"/>
                <w:color w:val="auto"/>
              </w:rPr>
            </w:pPr>
          </w:p>
        </w:tc>
        <w:tc>
          <w:tcPr>
            <w:tcW w:w="1600" w:type="dxa"/>
            <w:vAlign w:val="bottom"/>
            <w:shd w:val="clear" w:color="auto" w:fill="508BC7"/>
          </w:tcPr>
          <w:p>
            <w:pPr>
              <w:spacing w:after="0"/>
              <w:rPr>
                <w:sz w:val="14"/>
                <w:szCs w:val="14"/>
                <w:color w:val="auto"/>
              </w:rPr>
            </w:pPr>
          </w:p>
        </w:tc>
        <w:tc>
          <w:tcPr>
            <w:tcW w:w="2140" w:type="dxa"/>
            <w:vAlign w:val="bottom"/>
            <w:shd w:val="clear" w:color="auto" w:fill="508BC7"/>
          </w:tcPr>
          <w:p>
            <w:pPr>
              <w:jc w:val="center"/>
              <w:ind w:left="48"/>
              <w:spacing w:after="0"/>
              <w:rPr>
                <w:sz w:val="20"/>
                <w:szCs w:val="20"/>
                <w:color w:val="auto"/>
              </w:rPr>
            </w:pPr>
            <w:r>
              <w:rPr>
                <w:rFonts w:ascii="Arial" w:cs="Arial" w:eastAsia="Arial" w:hAnsi="Arial"/>
                <w:sz w:val="14"/>
                <w:szCs w:val="14"/>
                <w:b w:val="1"/>
                <w:bCs w:val="1"/>
                <w:color w:val="FFFFFF"/>
              </w:rPr>
              <w:t>Termination for Good</w:t>
            </w:r>
          </w:p>
        </w:tc>
        <w:tc>
          <w:tcPr>
            <w:tcW w:w="1240" w:type="dxa"/>
            <w:vAlign w:val="bottom"/>
            <w:shd w:val="clear" w:color="auto" w:fill="508BC7"/>
          </w:tcPr>
          <w:p>
            <w:pPr>
              <w:jc w:val="center"/>
              <w:ind w:right="49"/>
              <w:spacing w:after="0"/>
              <w:rPr>
                <w:sz w:val="20"/>
                <w:szCs w:val="20"/>
                <w:color w:val="auto"/>
              </w:rPr>
            </w:pPr>
            <w:r>
              <w:rPr>
                <w:rFonts w:ascii="Arial" w:cs="Arial" w:eastAsia="Arial" w:hAnsi="Arial"/>
                <w:sz w:val="14"/>
                <w:szCs w:val="14"/>
                <w:b w:val="1"/>
                <w:bCs w:val="1"/>
                <w:color w:val="FFFFFF"/>
              </w:rPr>
              <w:t>Change</w:t>
            </w:r>
          </w:p>
        </w:tc>
        <w:tc>
          <w:tcPr>
            <w:tcW w:w="3540" w:type="dxa"/>
            <w:vAlign w:val="bottom"/>
            <w:shd w:val="clear" w:color="auto" w:fill="508BC7"/>
          </w:tcPr>
          <w:p>
            <w:pPr>
              <w:jc w:val="center"/>
              <w:ind w:right="48"/>
              <w:spacing w:after="0"/>
              <w:rPr>
                <w:sz w:val="20"/>
                <w:szCs w:val="20"/>
                <w:color w:val="auto"/>
              </w:rPr>
            </w:pPr>
            <w:r>
              <w:rPr>
                <w:rFonts w:ascii="Arial" w:cs="Arial" w:eastAsia="Arial" w:hAnsi="Arial"/>
                <w:sz w:val="14"/>
                <w:szCs w:val="14"/>
                <w:b w:val="1"/>
                <w:bCs w:val="1"/>
                <w:color w:val="FFFFFF"/>
              </w:rPr>
              <w:t>Reason Following Change in Control or</w:t>
            </w:r>
          </w:p>
        </w:tc>
      </w:tr>
      <w:tr>
        <w:trPr>
          <w:trHeight w:val="162"/>
        </w:trPr>
        <w:tc>
          <w:tcPr>
            <w:tcW w:w="2900" w:type="dxa"/>
            <w:vAlign w:val="bottom"/>
            <w:shd w:val="clear" w:color="auto" w:fill="508BC7"/>
          </w:tcPr>
          <w:p>
            <w:pPr>
              <w:spacing w:after="0"/>
              <w:rPr>
                <w:sz w:val="14"/>
                <w:szCs w:val="14"/>
                <w:color w:val="auto"/>
              </w:rPr>
            </w:pPr>
          </w:p>
        </w:tc>
        <w:tc>
          <w:tcPr>
            <w:tcW w:w="1600" w:type="dxa"/>
            <w:vAlign w:val="bottom"/>
            <w:shd w:val="clear" w:color="auto" w:fill="508BC7"/>
          </w:tcPr>
          <w:p>
            <w:pPr>
              <w:jc w:val="right"/>
              <w:ind w:right="368"/>
              <w:spacing w:after="0"/>
              <w:rPr>
                <w:sz w:val="20"/>
                <w:szCs w:val="20"/>
                <w:color w:val="auto"/>
              </w:rPr>
            </w:pPr>
            <w:r>
              <w:rPr>
                <w:rFonts w:ascii="Arial" w:cs="Arial" w:eastAsia="Arial" w:hAnsi="Arial"/>
                <w:sz w:val="14"/>
                <w:szCs w:val="14"/>
                <w:b w:val="1"/>
                <w:bCs w:val="1"/>
                <w:color w:val="FFFFFF"/>
              </w:rPr>
              <w:t>Death or</w:t>
            </w:r>
          </w:p>
        </w:tc>
        <w:tc>
          <w:tcPr>
            <w:tcW w:w="2140" w:type="dxa"/>
            <w:vAlign w:val="bottom"/>
            <w:shd w:val="clear" w:color="auto" w:fill="508BC7"/>
          </w:tcPr>
          <w:p>
            <w:pPr>
              <w:jc w:val="center"/>
              <w:ind w:left="28"/>
              <w:spacing w:after="0"/>
              <w:rPr>
                <w:sz w:val="20"/>
                <w:szCs w:val="20"/>
                <w:color w:val="auto"/>
              </w:rPr>
            </w:pPr>
            <w:r>
              <w:rPr>
                <w:rFonts w:ascii="Arial" w:cs="Arial" w:eastAsia="Arial" w:hAnsi="Arial"/>
                <w:sz w:val="14"/>
                <w:szCs w:val="14"/>
                <w:b w:val="1"/>
                <w:bCs w:val="1"/>
                <w:color w:val="FFFFFF"/>
              </w:rPr>
              <w:t>Reason or Without</w:t>
            </w:r>
          </w:p>
        </w:tc>
        <w:tc>
          <w:tcPr>
            <w:tcW w:w="1240" w:type="dxa"/>
            <w:vAlign w:val="bottom"/>
            <w:shd w:val="clear" w:color="auto" w:fill="508BC7"/>
          </w:tcPr>
          <w:p>
            <w:pPr>
              <w:jc w:val="center"/>
              <w:ind w:right="49"/>
              <w:spacing w:after="0"/>
              <w:rPr>
                <w:sz w:val="20"/>
                <w:szCs w:val="20"/>
                <w:color w:val="auto"/>
              </w:rPr>
            </w:pPr>
            <w:r>
              <w:rPr>
                <w:rFonts w:ascii="Arial" w:cs="Arial" w:eastAsia="Arial" w:hAnsi="Arial"/>
                <w:sz w:val="14"/>
                <w:szCs w:val="14"/>
                <w:b w:val="1"/>
                <w:bCs w:val="1"/>
                <w:color w:val="FFFFFF"/>
                <w:w w:val="96"/>
              </w:rPr>
              <w:t>in</w:t>
            </w:r>
          </w:p>
        </w:tc>
        <w:tc>
          <w:tcPr>
            <w:tcW w:w="3540" w:type="dxa"/>
            <w:vAlign w:val="bottom"/>
            <w:shd w:val="clear" w:color="auto" w:fill="508BC7"/>
          </w:tcPr>
          <w:p>
            <w:pPr>
              <w:jc w:val="center"/>
              <w:ind w:right="48"/>
              <w:spacing w:after="0"/>
              <w:rPr>
                <w:sz w:val="20"/>
                <w:szCs w:val="20"/>
                <w:color w:val="auto"/>
              </w:rPr>
            </w:pPr>
            <w:r>
              <w:rPr>
                <w:rFonts w:ascii="Arial" w:cs="Arial" w:eastAsia="Arial" w:hAnsi="Arial"/>
                <w:sz w:val="14"/>
                <w:szCs w:val="14"/>
                <w:b w:val="1"/>
                <w:bCs w:val="1"/>
                <w:color w:val="FFFFFF"/>
              </w:rPr>
              <w:t>Termination Without Cause in Specific</w:t>
            </w:r>
          </w:p>
        </w:tc>
      </w:tr>
      <w:tr>
        <w:trPr>
          <w:trHeight w:val="162"/>
        </w:trPr>
        <w:tc>
          <w:tcPr>
            <w:tcW w:w="2900" w:type="dxa"/>
            <w:vAlign w:val="bottom"/>
            <w:shd w:val="clear" w:color="auto" w:fill="508BC7"/>
          </w:tcPr>
          <w:p>
            <w:pPr>
              <w:ind w:left="960"/>
              <w:spacing w:after="0"/>
              <w:rPr>
                <w:sz w:val="20"/>
                <w:szCs w:val="20"/>
                <w:color w:val="auto"/>
              </w:rPr>
            </w:pPr>
            <w:r>
              <w:rPr>
                <w:rFonts w:ascii="Arial" w:cs="Arial" w:eastAsia="Arial" w:hAnsi="Arial"/>
                <w:sz w:val="14"/>
                <w:szCs w:val="14"/>
                <w:b w:val="1"/>
                <w:bCs w:val="1"/>
                <w:color w:val="FFFFFF"/>
              </w:rPr>
              <w:t>Payments upon</w:t>
            </w:r>
          </w:p>
        </w:tc>
        <w:tc>
          <w:tcPr>
            <w:tcW w:w="1600" w:type="dxa"/>
            <w:vAlign w:val="bottom"/>
            <w:shd w:val="clear" w:color="auto" w:fill="508BC7"/>
          </w:tcPr>
          <w:p>
            <w:pPr>
              <w:jc w:val="right"/>
              <w:ind w:right="308"/>
              <w:spacing w:after="0"/>
              <w:rPr>
                <w:sz w:val="20"/>
                <w:szCs w:val="20"/>
                <w:color w:val="auto"/>
              </w:rPr>
            </w:pPr>
            <w:r>
              <w:rPr>
                <w:rFonts w:ascii="Arial" w:cs="Arial" w:eastAsia="Arial" w:hAnsi="Arial"/>
                <w:sz w:val="14"/>
                <w:szCs w:val="14"/>
                <w:b w:val="1"/>
                <w:bCs w:val="1"/>
                <w:color w:val="FFFFFF"/>
              </w:rPr>
              <w:t>Disability</w:t>
            </w:r>
          </w:p>
        </w:tc>
        <w:tc>
          <w:tcPr>
            <w:tcW w:w="2140" w:type="dxa"/>
            <w:vAlign w:val="bottom"/>
            <w:shd w:val="clear" w:color="auto" w:fill="508BC7"/>
          </w:tcPr>
          <w:p>
            <w:pPr>
              <w:jc w:val="center"/>
              <w:ind w:left="48"/>
              <w:spacing w:after="0"/>
              <w:rPr>
                <w:sz w:val="20"/>
                <w:szCs w:val="20"/>
                <w:color w:val="auto"/>
              </w:rPr>
            </w:pPr>
            <w:r>
              <w:rPr>
                <w:rFonts w:ascii="Arial" w:cs="Arial" w:eastAsia="Arial" w:hAnsi="Arial"/>
                <w:sz w:val="14"/>
                <w:szCs w:val="14"/>
                <w:b w:val="1"/>
                <w:bCs w:val="1"/>
                <w:color w:val="FFFFFF"/>
                <w:w w:val="99"/>
              </w:rPr>
              <w:t>Cause</w:t>
            </w:r>
          </w:p>
        </w:tc>
        <w:tc>
          <w:tcPr>
            <w:tcW w:w="1240" w:type="dxa"/>
            <w:vAlign w:val="bottom"/>
            <w:shd w:val="clear" w:color="auto" w:fill="508BC7"/>
          </w:tcPr>
          <w:p>
            <w:pPr>
              <w:jc w:val="center"/>
              <w:ind w:right="9"/>
              <w:spacing w:after="0"/>
              <w:rPr>
                <w:sz w:val="20"/>
                <w:szCs w:val="20"/>
                <w:color w:val="auto"/>
              </w:rPr>
            </w:pPr>
            <w:r>
              <w:rPr>
                <w:rFonts w:ascii="Arial" w:cs="Arial" w:eastAsia="Arial" w:hAnsi="Arial"/>
                <w:sz w:val="14"/>
                <w:szCs w:val="14"/>
                <w:b w:val="1"/>
                <w:bCs w:val="1"/>
                <w:color w:val="FFFFFF"/>
              </w:rPr>
              <w:t>Control</w:t>
            </w:r>
          </w:p>
        </w:tc>
        <w:tc>
          <w:tcPr>
            <w:tcW w:w="354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Contemplation of Change in Control</w:t>
            </w:r>
          </w:p>
        </w:tc>
      </w:tr>
      <w:tr>
        <w:trPr>
          <w:trHeight w:val="202"/>
        </w:trPr>
        <w:tc>
          <w:tcPr>
            <w:tcW w:w="2900" w:type="dxa"/>
            <w:vAlign w:val="bottom"/>
            <w:shd w:val="clear" w:color="auto" w:fill="508BC7"/>
          </w:tcPr>
          <w:p>
            <w:pPr>
              <w:ind w:left="1080"/>
              <w:spacing w:after="0"/>
              <w:rPr>
                <w:sz w:val="20"/>
                <w:szCs w:val="20"/>
                <w:color w:val="auto"/>
              </w:rPr>
            </w:pPr>
            <w:r>
              <w:rPr>
                <w:rFonts w:ascii="Arial" w:cs="Arial" w:eastAsia="Arial" w:hAnsi="Arial"/>
                <w:sz w:val="14"/>
                <w:szCs w:val="14"/>
                <w:b w:val="1"/>
                <w:bCs w:val="1"/>
                <w:color w:val="FFFFFF"/>
              </w:rPr>
              <w:t>Termination</w:t>
            </w:r>
          </w:p>
        </w:tc>
        <w:tc>
          <w:tcPr>
            <w:tcW w:w="1600" w:type="dxa"/>
            <w:vAlign w:val="bottom"/>
            <w:shd w:val="clear" w:color="auto" w:fill="508BC7"/>
          </w:tcPr>
          <w:p>
            <w:pPr>
              <w:jc w:val="center"/>
              <w:ind w:left="108"/>
              <w:spacing w:after="0"/>
              <w:rPr>
                <w:sz w:val="20"/>
                <w:szCs w:val="20"/>
                <w:color w:val="auto"/>
              </w:rPr>
            </w:pPr>
            <w:r>
              <w:rPr>
                <w:rFonts w:ascii="Arial" w:cs="Arial" w:eastAsia="Arial" w:hAnsi="Arial"/>
                <w:sz w:val="14"/>
                <w:szCs w:val="14"/>
                <w:b w:val="1"/>
                <w:bCs w:val="1"/>
                <w:color w:val="FFFFFF"/>
              </w:rPr>
              <w:t>($)</w:t>
            </w:r>
          </w:p>
        </w:tc>
        <w:tc>
          <w:tcPr>
            <w:tcW w:w="2140" w:type="dxa"/>
            <w:vAlign w:val="bottom"/>
            <w:shd w:val="clear" w:color="auto" w:fill="508BC7"/>
          </w:tcPr>
          <w:p>
            <w:pPr>
              <w:jc w:val="center"/>
              <w:ind w:left="48"/>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508BC7"/>
          </w:tcPr>
          <w:p>
            <w:pPr>
              <w:jc w:val="center"/>
              <w:ind w:right="9"/>
              <w:spacing w:after="0"/>
              <w:rPr>
                <w:sz w:val="20"/>
                <w:szCs w:val="20"/>
                <w:color w:val="auto"/>
              </w:rPr>
            </w:pPr>
            <w:r>
              <w:rPr>
                <w:rFonts w:ascii="Arial" w:cs="Arial" w:eastAsia="Arial" w:hAnsi="Arial"/>
                <w:sz w:val="14"/>
                <w:szCs w:val="14"/>
                <w:b w:val="1"/>
                <w:bCs w:val="1"/>
                <w:color w:val="FFFFFF"/>
                <w:w w:val="93"/>
              </w:rPr>
              <w:t>($)</w:t>
            </w:r>
          </w:p>
        </w:tc>
        <w:tc>
          <w:tcPr>
            <w:tcW w:w="3540" w:type="dxa"/>
            <w:vAlign w:val="bottom"/>
            <w:shd w:val="clear" w:color="auto" w:fill="508BC7"/>
          </w:tcPr>
          <w:p>
            <w:pPr>
              <w:jc w:val="center"/>
              <w:ind w:right="8"/>
              <w:spacing w:after="0"/>
              <w:rPr>
                <w:sz w:val="20"/>
                <w:szCs w:val="20"/>
                <w:color w:val="auto"/>
              </w:rPr>
            </w:pPr>
            <w:r>
              <w:rPr>
                <w:rFonts w:ascii="Arial" w:cs="Arial" w:eastAsia="Arial" w:hAnsi="Arial"/>
                <w:sz w:val="14"/>
                <w:szCs w:val="14"/>
                <w:b w:val="1"/>
                <w:bCs w:val="1"/>
                <w:color w:val="FFFFFF"/>
              </w:rPr>
              <w:t>($)</w:t>
            </w:r>
          </w:p>
        </w:tc>
      </w:tr>
      <w:tr>
        <w:trPr>
          <w:trHeight w:val="230"/>
        </w:trPr>
        <w:tc>
          <w:tcPr>
            <w:tcW w:w="2900" w:type="dxa"/>
            <w:vAlign w:val="bottom"/>
            <w:shd w:val="clear" w:color="auto" w:fill="D0E0F0"/>
          </w:tcPr>
          <w:p>
            <w:pPr>
              <w:ind w:left="100"/>
              <w:spacing w:after="0"/>
              <w:rPr>
                <w:sz w:val="20"/>
                <w:szCs w:val="20"/>
                <w:color w:val="auto"/>
              </w:rPr>
            </w:pPr>
            <w:r>
              <w:rPr>
                <w:rFonts w:ascii="Arial" w:cs="Arial" w:eastAsia="Arial" w:hAnsi="Arial"/>
                <w:sz w:val="14"/>
                <w:szCs w:val="14"/>
                <w:color w:val="auto"/>
              </w:rPr>
              <w:t>Base salary payout</w:t>
            </w:r>
          </w:p>
        </w:tc>
        <w:tc>
          <w:tcPr>
            <w:tcW w:w="1600" w:type="dxa"/>
            <w:vAlign w:val="bottom"/>
            <w:shd w:val="clear" w:color="auto" w:fill="D0E0F0"/>
          </w:tcPr>
          <w:p>
            <w:pPr>
              <w:jc w:val="center"/>
              <w:ind w:left="108"/>
              <w:spacing w:after="0"/>
              <w:rPr>
                <w:sz w:val="20"/>
                <w:szCs w:val="20"/>
                <w:color w:val="auto"/>
              </w:rPr>
            </w:pPr>
            <w:r>
              <w:rPr>
                <w:rFonts w:ascii="Arial" w:cs="Arial" w:eastAsia="Arial" w:hAnsi="Arial"/>
                <w:sz w:val="14"/>
                <w:szCs w:val="14"/>
                <w:color w:val="auto"/>
                <w:w w:val="99"/>
              </w:rPr>
              <w:t>—</w:t>
            </w:r>
          </w:p>
        </w:tc>
        <w:tc>
          <w:tcPr>
            <w:tcW w:w="2140" w:type="dxa"/>
            <w:vAlign w:val="bottom"/>
            <w:shd w:val="clear" w:color="auto" w:fill="D0E0F0"/>
          </w:tcPr>
          <w:p>
            <w:pPr>
              <w:jc w:val="right"/>
              <w:ind w:right="708"/>
              <w:spacing w:after="0"/>
              <w:rPr>
                <w:sz w:val="20"/>
                <w:szCs w:val="20"/>
                <w:color w:val="auto"/>
              </w:rPr>
            </w:pPr>
            <w:r>
              <w:rPr>
                <w:rFonts w:ascii="Arial" w:cs="Arial" w:eastAsia="Arial" w:hAnsi="Arial"/>
                <w:sz w:val="14"/>
                <w:szCs w:val="14"/>
                <w:color w:val="auto"/>
              </w:rPr>
              <w:t>1,240,000</w:t>
            </w:r>
          </w:p>
        </w:tc>
        <w:tc>
          <w:tcPr>
            <w:tcW w:w="1240" w:type="dxa"/>
            <w:vAlign w:val="bottom"/>
            <w:shd w:val="clear" w:color="auto" w:fill="D0E0F0"/>
          </w:tcPr>
          <w:p>
            <w:pPr>
              <w:jc w:val="center"/>
              <w:ind w:right="9"/>
              <w:spacing w:after="0"/>
              <w:rPr>
                <w:sz w:val="20"/>
                <w:szCs w:val="20"/>
                <w:color w:val="auto"/>
              </w:rPr>
            </w:pPr>
            <w:r>
              <w:rPr>
                <w:rFonts w:ascii="Arial" w:cs="Arial" w:eastAsia="Arial" w:hAnsi="Arial"/>
                <w:sz w:val="14"/>
                <w:szCs w:val="14"/>
                <w:color w:val="auto"/>
              </w:rPr>
              <w:t>—</w:t>
            </w:r>
          </w:p>
        </w:tc>
        <w:tc>
          <w:tcPr>
            <w:tcW w:w="3540" w:type="dxa"/>
            <w:vAlign w:val="bottom"/>
            <w:shd w:val="clear" w:color="auto" w:fill="D0E0F0"/>
          </w:tcPr>
          <w:p>
            <w:pPr>
              <w:jc w:val="right"/>
              <w:ind w:right="1428"/>
              <w:spacing w:after="0"/>
              <w:rPr>
                <w:sz w:val="20"/>
                <w:szCs w:val="20"/>
                <w:color w:val="auto"/>
              </w:rPr>
            </w:pPr>
            <w:r>
              <w:rPr>
                <w:rFonts w:ascii="Arial" w:cs="Arial" w:eastAsia="Arial" w:hAnsi="Arial"/>
                <w:sz w:val="14"/>
                <w:szCs w:val="14"/>
                <w:color w:val="auto"/>
              </w:rPr>
              <w:t>1,240,000</w:t>
            </w:r>
          </w:p>
        </w:tc>
      </w:tr>
      <w:tr>
        <w:trPr>
          <w:trHeight w:val="216"/>
        </w:trPr>
        <w:tc>
          <w:tcPr>
            <w:tcW w:w="2900" w:type="dxa"/>
            <w:vAlign w:val="bottom"/>
          </w:tcPr>
          <w:p>
            <w:pPr>
              <w:ind w:left="100"/>
              <w:spacing w:after="0"/>
              <w:rPr>
                <w:sz w:val="20"/>
                <w:szCs w:val="20"/>
                <w:color w:val="auto"/>
              </w:rPr>
            </w:pPr>
            <w:r>
              <w:rPr>
                <w:rFonts w:ascii="Arial" w:cs="Arial" w:eastAsia="Arial" w:hAnsi="Arial"/>
                <w:sz w:val="14"/>
                <w:szCs w:val="14"/>
                <w:color w:val="auto"/>
              </w:rPr>
              <w:t>Bonus payout</w:t>
            </w: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525,043</w:t>
            </w:r>
          </w:p>
        </w:tc>
        <w:tc>
          <w:tcPr>
            <w:tcW w:w="2140" w:type="dxa"/>
            <w:vAlign w:val="bottom"/>
          </w:tcPr>
          <w:p>
            <w:pPr>
              <w:jc w:val="right"/>
              <w:ind w:right="708"/>
              <w:spacing w:after="0"/>
              <w:rPr>
                <w:sz w:val="20"/>
                <w:szCs w:val="20"/>
                <w:color w:val="auto"/>
              </w:rPr>
            </w:pPr>
            <w:r>
              <w:rPr>
                <w:rFonts w:ascii="Arial" w:cs="Arial" w:eastAsia="Arial" w:hAnsi="Arial"/>
                <w:sz w:val="14"/>
                <w:szCs w:val="14"/>
                <w:color w:val="auto"/>
              </w:rPr>
              <w:t>525,043</w:t>
            </w:r>
          </w:p>
        </w:tc>
        <w:tc>
          <w:tcPr>
            <w:tcW w:w="1240" w:type="dxa"/>
            <w:vAlign w:val="bottom"/>
          </w:tcPr>
          <w:p>
            <w:pPr>
              <w:jc w:val="center"/>
              <w:ind w:right="9"/>
              <w:spacing w:after="0"/>
              <w:rPr>
                <w:sz w:val="20"/>
                <w:szCs w:val="20"/>
                <w:color w:val="auto"/>
              </w:rPr>
            </w:pPr>
            <w:r>
              <w:rPr>
                <w:rFonts w:ascii="Arial" w:cs="Arial" w:eastAsia="Arial" w:hAnsi="Arial"/>
                <w:sz w:val="14"/>
                <w:szCs w:val="14"/>
                <w:color w:val="auto"/>
              </w:rPr>
              <w:t>—</w:t>
            </w:r>
          </w:p>
        </w:tc>
        <w:tc>
          <w:tcPr>
            <w:tcW w:w="3540" w:type="dxa"/>
            <w:vAlign w:val="bottom"/>
          </w:tcPr>
          <w:p>
            <w:pPr>
              <w:jc w:val="right"/>
              <w:ind w:right="1428"/>
              <w:spacing w:after="0"/>
              <w:rPr>
                <w:sz w:val="20"/>
                <w:szCs w:val="20"/>
                <w:color w:val="auto"/>
              </w:rPr>
            </w:pPr>
            <w:r>
              <w:rPr>
                <w:rFonts w:ascii="Arial" w:cs="Arial" w:eastAsia="Arial" w:hAnsi="Arial"/>
                <w:sz w:val="14"/>
                <w:szCs w:val="14"/>
                <w:color w:val="auto"/>
              </w:rPr>
              <w:t>525,043</w:t>
            </w:r>
          </w:p>
        </w:tc>
      </w:tr>
      <w:tr>
        <w:trPr>
          <w:trHeight w:val="216"/>
        </w:trPr>
        <w:tc>
          <w:tcPr>
            <w:tcW w:w="2900" w:type="dxa"/>
            <w:vAlign w:val="bottom"/>
            <w:shd w:val="clear" w:color="auto" w:fill="D0E0F0"/>
          </w:tcPr>
          <w:p>
            <w:pPr>
              <w:ind w:left="100"/>
              <w:spacing w:after="0"/>
              <w:rPr>
                <w:sz w:val="20"/>
                <w:szCs w:val="20"/>
                <w:color w:val="auto"/>
              </w:rPr>
            </w:pPr>
            <w:r>
              <w:rPr>
                <w:rFonts w:ascii="Arial" w:cs="Arial" w:eastAsia="Arial" w:hAnsi="Arial"/>
                <w:sz w:val="14"/>
                <w:szCs w:val="14"/>
                <w:color w:val="auto"/>
              </w:rPr>
              <w:t>Life insurance</w:t>
            </w:r>
          </w:p>
        </w:tc>
        <w:tc>
          <w:tcPr>
            <w:tcW w:w="1600" w:type="dxa"/>
            <w:vAlign w:val="bottom"/>
            <w:shd w:val="clear" w:color="auto" w:fill="D0E0F0"/>
          </w:tcPr>
          <w:p>
            <w:pPr>
              <w:jc w:val="center"/>
              <w:ind w:left="108"/>
              <w:spacing w:after="0"/>
              <w:rPr>
                <w:sz w:val="20"/>
                <w:szCs w:val="20"/>
                <w:color w:val="auto"/>
              </w:rPr>
            </w:pPr>
            <w:r>
              <w:rPr>
                <w:rFonts w:ascii="Arial" w:cs="Arial" w:eastAsia="Arial" w:hAnsi="Arial"/>
                <w:sz w:val="14"/>
                <w:szCs w:val="14"/>
                <w:color w:val="auto"/>
                <w:w w:val="99"/>
              </w:rPr>
              <w:t>—</w:t>
            </w:r>
          </w:p>
        </w:tc>
        <w:tc>
          <w:tcPr>
            <w:tcW w:w="2140" w:type="dxa"/>
            <w:vAlign w:val="bottom"/>
            <w:shd w:val="clear" w:color="auto" w:fill="D0E0F0"/>
          </w:tcPr>
          <w:p>
            <w:pPr>
              <w:jc w:val="right"/>
              <w:ind w:right="708"/>
              <w:spacing w:after="0"/>
              <w:rPr>
                <w:sz w:val="20"/>
                <w:szCs w:val="20"/>
                <w:color w:val="auto"/>
              </w:rPr>
            </w:pPr>
            <w:r>
              <w:rPr>
                <w:rFonts w:ascii="Arial" w:cs="Arial" w:eastAsia="Arial" w:hAnsi="Arial"/>
                <w:sz w:val="14"/>
                <w:szCs w:val="14"/>
                <w:color w:val="auto"/>
              </w:rPr>
              <w:t>4,595</w:t>
            </w:r>
          </w:p>
        </w:tc>
        <w:tc>
          <w:tcPr>
            <w:tcW w:w="1240" w:type="dxa"/>
            <w:vAlign w:val="bottom"/>
            <w:shd w:val="clear" w:color="auto" w:fill="D0E0F0"/>
          </w:tcPr>
          <w:p>
            <w:pPr>
              <w:jc w:val="center"/>
              <w:ind w:right="9"/>
              <w:spacing w:after="0"/>
              <w:rPr>
                <w:sz w:val="20"/>
                <w:szCs w:val="20"/>
                <w:color w:val="auto"/>
              </w:rPr>
            </w:pPr>
            <w:r>
              <w:rPr>
                <w:rFonts w:ascii="Arial" w:cs="Arial" w:eastAsia="Arial" w:hAnsi="Arial"/>
                <w:sz w:val="14"/>
                <w:szCs w:val="14"/>
                <w:color w:val="auto"/>
              </w:rPr>
              <w:t>—</w:t>
            </w:r>
          </w:p>
        </w:tc>
        <w:tc>
          <w:tcPr>
            <w:tcW w:w="3540" w:type="dxa"/>
            <w:vAlign w:val="bottom"/>
            <w:shd w:val="clear" w:color="auto" w:fill="D0E0F0"/>
          </w:tcPr>
          <w:p>
            <w:pPr>
              <w:jc w:val="right"/>
              <w:ind w:right="1428"/>
              <w:spacing w:after="0"/>
              <w:rPr>
                <w:sz w:val="20"/>
                <w:szCs w:val="20"/>
                <w:color w:val="auto"/>
              </w:rPr>
            </w:pPr>
            <w:r>
              <w:rPr>
                <w:rFonts w:ascii="Arial" w:cs="Arial" w:eastAsia="Arial" w:hAnsi="Arial"/>
                <w:sz w:val="14"/>
                <w:szCs w:val="14"/>
                <w:color w:val="auto"/>
              </w:rPr>
              <w:t>4,595</w:t>
            </w:r>
          </w:p>
        </w:tc>
      </w:tr>
      <w:tr>
        <w:trPr>
          <w:trHeight w:val="216"/>
        </w:trPr>
        <w:tc>
          <w:tcPr>
            <w:tcW w:w="2900" w:type="dxa"/>
            <w:vAlign w:val="bottom"/>
          </w:tcPr>
          <w:p>
            <w:pPr>
              <w:ind w:left="100"/>
              <w:spacing w:after="0"/>
              <w:rPr>
                <w:sz w:val="20"/>
                <w:szCs w:val="20"/>
                <w:color w:val="auto"/>
              </w:rPr>
            </w:pPr>
            <w:r>
              <w:rPr>
                <w:rFonts w:ascii="Arial" w:cs="Arial" w:eastAsia="Arial" w:hAnsi="Arial"/>
                <w:sz w:val="14"/>
                <w:szCs w:val="14"/>
                <w:color w:val="auto"/>
              </w:rPr>
              <w:t>Health insurance</w:t>
            </w:r>
          </w:p>
        </w:tc>
        <w:tc>
          <w:tcPr>
            <w:tcW w:w="1600" w:type="dxa"/>
            <w:vAlign w:val="bottom"/>
          </w:tcPr>
          <w:p>
            <w:pPr>
              <w:jc w:val="center"/>
              <w:ind w:left="108"/>
              <w:spacing w:after="0"/>
              <w:rPr>
                <w:sz w:val="20"/>
                <w:szCs w:val="20"/>
                <w:color w:val="auto"/>
              </w:rPr>
            </w:pPr>
            <w:r>
              <w:rPr>
                <w:rFonts w:ascii="Arial" w:cs="Arial" w:eastAsia="Arial" w:hAnsi="Arial"/>
                <w:sz w:val="14"/>
                <w:szCs w:val="14"/>
                <w:color w:val="auto"/>
                <w:w w:val="99"/>
              </w:rPr>
              <w:t>—</w:t>
            </w:r>
          </w:p>
        </w:tc>
        <w:tc>
          <w:tcPr>
            <w:tcW w:w="2140" w:type="dxa"/>
            <w:vAlign w:val="bottom"/>
          </w:tcPr>
          <w:p>
            <w:pPr>
              <w:jc w:val="right"/>
              <w:ind w:right="708"/>
              <w:spacing w:after="0"/>
              <w:rPr>
                <w:sz w:val="20"/>
                <w:szCs w:val="20"/>
                <w:color w:val="auto"/>
              </w:rPr>
            </w:pPr>
            <w:r>
              <w:rPr>
                <w:rFonts w:ascii="Arial" w:cs="Arial" w:eastAsia="Arial" w:hAnsi="Arial"/>
                <w:sz w:val="14"/>
                <w:szCs w:val="14"/>
                <w:color w:val="auto"/>
              </w:rPr>
              <w:t>24,916</w:t>
            </w:r>
          </w:p>
        </w:tc>
        <w:tc>
          <w:tcPr>
            <w:tcW w:w="1240" w:type="dxa"/>
            <w:vAlign w:val="bottom"/>
          </w:tcPr>
          <w:p>
            <w:pPr>
              <w:jc w:val="center"/>
              <w:ind w:right="9"/>
              <w:spacing w:after="0"/>
              <w:rPr>
                <w:sz w:val="20"/>
                <w:szCs w:val="20"/>
                <w:color w:val="auto"/>
              </w:rPr>
            </w:pPr>
            <w:r>
              <w:rPr>
                <w:rFonts w:ascii="Arial" w:cs="Arial" w:eastAsia="Arial" w:hAnsi="Arial"/>
                <w:sz w:val="14"/>
                <w:szCs w:val="14"/>
                <w:color w:val="auto"/>
              </w:rPr>
              <w:t>—</w:t>
            </w:r>
          </w:p>
        </w:tc>
        <w:tc>
          <w:tcPr>
            <w:tcW w:w="3540" w:type="dxa"/>
            <w:vAlign w:val="bottom"/>
          </w:tcPr>
          <w:p>
            <w:pPr>
              <w:jc w:val="right"/>
              <w:ind w:right="1428"/>
              <w:spacing w:after="0"/>
              <w:rPr>
                <w:sz w:val="20"/>
                <w:szCs w:val="20"/>
                <w:color w:val="auto"/>
              </w:rPr>
            </w:pPr>
            <w:r>
              <w:rPr>
                <w:rFonts w:ascii="Arial" w:cs="Arial" w:eastAsia="Arial" w:hAnsi="Arial"/>
                <w:sz w:val="14"/>
                <w:szCs w:val="14"/>
                <w:color w:val="auto"/>
              </w:rPr>
              <w:t>24,916</w:t>
            </w:r>
          </w:p>
        </w:tc>
      </w:tr>
      <w:tr>
        <w:trPr>
          <w:trHeight w:val="216"/>
        </w:trPr>
        <w:tc>
          <w:tcPr>
            <w:tcW w:w="2900" w:type="dxa"/>
            <w:vAlign w:val="bottom"/>
            <w:shd w:val="clear" w:color="auto" w:fill="D0E0F0"/>
          </w:tcPr>
          <w:p>
            <w:pPr>
              <w:ind w:left="100"/>
              <w:spacing w:after="0"/>
              <w:rPr>
                <w:sz w:val="20"/>
                <w:szCs w:val="20"/>
                <w:color w:val="auto"/>
              </w:rPr>
            </w:pPr>
            <w:r>
              <w:rPr>
                <w:rFonts w:ascii="Arial" w:cs="Arial" w:eastAsia="Arial" w:hAnsi="Arial"/>
                <w:sz w:val="14"/>
                <w:szCs w:val="14"/>
                <w:color w:val="auto"/>
              </w:rPr>
              <w:t>Restricted stock units</w:t>
            </w:r>
          </w:p>
        </w:tc>
        <w:tc>
          <w:tcPr>
            <w:tcW w:w="1600" w:type="dxa"/>
            <w:vAlign w:val="bottom"/>
            <w:shd w:val="clear" w:color="auto" w:fill="D0E0F0"/>
          </w:tcPr>
          <w:p>
            <w:pPr>
              <w:jc w:val="center"/>
              <w:ind w:left="108"/>
              <w:spacing w:after="0"/>
              <w:rPr>
                <w:sz w:val="20"/>
                <w:szCs w:val="20"/>
                <w:color w:val="auto"/>
              </w:rPr>
            </w:pPr>
            <w:r>
              <w:rPr>
                <w:rFonts w:ascii="Arial" w:cs="Arial" w:eastAsia="Arial" w:hAnsi="Arial"/>
                <w:sz w:val="14"/>
                <w:szCs w:val="14"/>
                <w:color w:val="auto"/>
                <w:w w:val="99"/>
              </w:rPr>
              <w:t>—</w:t>
            </w:r>
          </w:p>
        </w:tc>
        <w:tc>
          <w:tcPr>
            <w:tcW w:w="2140" w:type="dxa"/>
            <w:vAlign w:val="bottom"/>
            <w:shd w:val="clear" w:color="auto" w:fill="D0E0F0"/>
          </w:tcPr>
          <w:p>
            <w:pPr>
              <w:jc w:val="right"/>
              <w:ind w:right="688"/>
              <w:spacing w:after="0"/>
              <w:rPr>
                <w:sz w:val="20"/>
                <w:szCs w:val="20"/>
                <w:color w:val="auto"/>
              </w:rPr>
            </w:pPr>
            <w:r>
              <w:rPr>
                <w:rFonts w:ascii="Arial" w:cs="Arial" w:eastAsia="Arial" w:hAnsi="Arial"/>
                <w:sz w:val="14"/>
                <w:szCs w:val="14"/>
                <w:color w:val="auto"/>
              </w:rPr>
              <w:t>3,843,780</w:t>
            </w:r>
          </w:p>
        </w:tc>
        <w:tc>
          <w:tcPr>
            <w:tcW w:w="1240" w:type="dxa"/>
            <w:vAlign w:val="bottom"/>
            <w:shd w:val="clear" w:color="auto" w:fill="D0E0F0"/>
          </w:tcPr>
          <w:p>
            <w:pPr>
              <w:jc w:val="center"/>
              <w:ind w:right="9"/>
              <w:spacing w:after="0"/>
              <w:rPr>
                <w:sz w:val="20"/>
                <w:szCs w:val="20"/>
                <w:color w:val="auto"/>
              </w:rPr>
            </w:pPr>
            <w:r>
              <w:rPr>
                <w:rFonts w:ascii="Arial" w:cs="Arial" w:eastAsia="Arial" w:hAnsi="Arial"/>
                <w:sz w:val="14"/>
                <w:szCs w:val="14"/>
                <w:color w:val="auto"/>
              </w:rPr>
              <w:t>2,425,155</w:t>
            </w:r>
          </w:p>
        </w:tc>
        <w:tc>
          <w:tcPr>
            <w:tcW w:w="3540" w:type="dxa"/>
            <w:vAlign w:val="bottom"/>
            <w:shd w:val="clear" w:color="auto" w:fill="D0E0F0"/>
          </w:tcPr>
          <w:p>
            <w:pPr>
              <w:jc w:val="right"/>
              <w:ind w:right="1428"/>
              <w:spacing w:after="0"/>
              <w:rPr>
                <w:sz w:val="20"/>
                <w:szCs w:val="20"/>
                <w:color w:val="auto"/>
              </w:rPr>
            </w:pPr>
            <w:r>
              <w:rPr>
                <w:rFonts w:ascii="Arial" w:cs="Arial" w:eastAsia="Arial" w:hAnsi="Arial"/>
                <w:sz w:val="14"/>
                <w:szCs w:val="14"/>
                <w:color w:val="auto"/>
              </w:rPr>
              <w:t>5,262,405</w:t>
            </w:r>
          </w:p>
        </w:tc>
      </w:tr>
      <w:tr>
        <w:trPr>
          <w:trHeight w:val="216"/>
        </w:trPr>
        <w:tc>
          <w:tcPr>
            <w:tcW w:w="2900" w:type="dxa"/>
            <w:vAlign w:val="bottom"/>
          </w:tcPr>
          <w:p>
            <w:pPr>
              <w:ind w:left="100"/>
              <w:spacing w:after="0"/>
              <w:rPr>
                <w:sz w:val="20"/>
                <w:szCs w:val="20"/>
                <w:color w:val="auto"/>
              </w:rPr>
            </w:pPr>
            <w:r>
              <w:rPr>
                <w:rFonts w:ascii="Arial" w:cs="Arial" w:eastAsia="Arial" w:hAnsi="Arial"/>
                <w:sz w:val="14"/>
                <w:szCs w:val="14"/>
                <w:color w:val="auto"/>
              </w:rPr>
              <w:t>Performance restricted stock units</w:t>
            </w:r>
          </w:p>
        </w:tc>
        <w:tc>
          <w:tcPr>
            <w:tcW w:w="1600" w:type="dxa"/>
            <w:vAlign w:val="bottom"/>
          </w:tcPr>
          <w:p>
            <w:pPr>
              <w:jc w:val="center"/>
              <w:ind w:left="108"/>
              <w:spacing w:after="0"/>
              <w:rPr>
                <w:sz w:val="20"/>
                <w:szCs w:val="20"/>
                <w:color w:val="auto"/>
              </w:rPr>
            </w:pPr>
            <w:r>
              <w:rPr>
                <w:rFonts w:ascii="Arial" w:cs="Arial" w:eastAsia="Arial" w:hAnsi="Arial"/>
                <w:sz w:val="14"/>
                <w:szCs w:val="14"/>
                <w:color w:val="auto"/>
                <w:w w:val="99"/>
              </w:rPr>
              <w:t>—</w:t>
            </w:r>
          </w:p>
        </w:tc>
        <w:tc>
          <w:tcPr>
            <w:tcW w:w="2140" w:type="dxa"/>
            <w:vAlign w:val="bottom"/>
          </w:tcPr>
          <w:p>
            <w:pPr>
              <w:jc w:val="right"/>
              <w:ind w:right="568"/>
              <w:spacing w:after="0" w:line="216" w:lineRule="exact"/>
              <w:rPr>
                <w:sz w:val="20"/>
                <w:szCs w:val="20"/>
                <w:color w:val="auto"/>
              </w:rPr>
            </w:pPr>
            <w:r>
              <w:rPr>
                <w:rFonts w:ascii="Arial" w:cs="Arial" w:eastAsia="Arial" w:hAnsi="Arial"/>
                <w:sz w:val="14"/>
                <w:szCs w:val="14"/>
                <w:color w:val="auto"/>
              </w:rPr>
              <w:t>3,783,000</w:t>
            </w:r>
            <w:r>
              <w:rPr>
                <w:rFonts w:ascii="Arial" w:cs="Arial" w:eastAsia="Arial" w:hAnsi="Arial"/>
                <w:sz w:val="23"/>
                <w:szCs w:val="23"/>
                <w:color w:val="auto"/>
                <w:vertAlign w:val="superscript"/>
              </w:rPr>
              <w:t>(1)</w:t>
            </w:r>
          </w:p>
        </w:tc>
        <w:tc>
          <w:tcPr>
            <w:tcW w:w="1240" w:type="dxa"/>
            <w:vAlign w:val="bottom"/>
          </w:tcPr>
          <w:p>
            <w:pPr>
              <w:jc w:val="center"/>
              <w:ind w:right="9"/>
              <w:spacing w:after="0"/>
              <w:rPr>
                <w:sz w:val="20"/>
                <w:szCs w:val="20"/>
                <w:color w:val="auto"/>
              </w:rPr>
            </w:pPr>
            <w:r>
              <w:rPr>
                <w:rFonts w:ascii="Arial" w:cs="Arial" w:eastAsia="Arial" w:hAnsi="Arial"/>
                <w:sz w:val="14"/>
                <w:szCs w:val="14"/>
                <w:color w:val="auto"/>
              </w:rPr>
              <w:t>4,098,351</w:t>
            </w:r>
          </w:p>
        </w:tc>
        <w:tc>
          <w:tcPr>
            <w:tcW w:w="3540" w:type="dxa"/>
            <w:vAlign w:val="bottom"/>
          </w:tcPr>
          <w:p>
            <w:pPr>
              <w:jc w:val="right"/>
              <w:ind w:right="1408"/>
              <w:spacing w:after="0"/>
              <w:rPr>
                <w:sz w:val="20"/>
                <w:szCs w:val="20"/>
                <w:color w:val="auto"/>
              </w:rPr>
            </w:pPr>
            <w:r>
              <w:rPr>
                <w:rFonts w:ascii="Arial" w:cs="Arial" w:eastAsia="Arial" w:hAnsi="Arial"/>
                <w:sz w:val="14"/>
                <w:szCs w:val="14"/>
                <w:color w:val="auto"/>
              </w:rPr>
              <w:t>4,728,750</w:t>
            </w:r>
          </w:p>
        </w:tc>
      </w:tr>
      <w:tr>
        <w:trPr>
          <w:trHeight w:val="216"/>
        </w:trPr>
        <w:tc>
          <w:tcPr>
            <w:tcW w:w="2900" w:type="dxa"/>
            <w:vAlign w:val="bottom"/>
            <w:shd w:val="clear" w:color="auto" w:fill="D0E0F0"/>
          </w:tcPr>
          <w:p>
            <w:pPr>
              <w:ind w:left="100"/>
              <w:spacing w:after="0"/>
              <w:rPr>
                <w:sz w:val="20"/>
                <w:szCs w:val="20"/>
                <w:color w:val="auto"/>
              </w:rPr>
            </w:pPr>
            <w:r>
              <w:rPr>
                <w:rFonts w:ascii="Arial" w:cs="Arial" w:eastAsia="Arial" w:hAnsi="Arial"/>
                <w:sz w:val="14"/>
                <w:szCs w:val="14"/>
                <w:color w:val="auto"/>
              </w:rPr>
              <w:t>Stock Price Performance Award</w:t>
            </w:r>
          </w:p>
        </w:tc>
        <w:tc>
          <w:tcPr>
            <w:tcW w:w="1600" w:type="dxa"/>
            <w:vAlign w:val="bottom"/>
            <w:shd w:val="clear" w:color="auto" w:fill="D0E0F0"/>
          </w:tcPr>
          <w:p>
            <w:pPr>
              <w:jc w:val="center"/>
              <w:ind w:left="128"/>
              <w:spacing w:after="0"/>
              <w:rPr>
                <w:sz w:val="20"/>
                <w:szCs w:val="20"/>
                <w:color w:val="auto"/>
              </w:rPr>
            </w:pPr>
            <w:r>
              <w:rPr>
                <w:rFonts w:ascii="Arial" w:cs="Arial" w:eastAsia="Arial" w:hAnsi="Arial"/>
                <w:sz w:val="14"/>
                <w:szCs w:val="14"/>
                <w:color w:val="auto"/>
              </w:rPr>
              <w:t>5,044,000</w:t>
            </w:r>
          </w:p>
        </w:tc>
        <w:tc>
          <w:tcPr>
            <w:tcW w:w="2140" w:type="dxa"/>
            <w:vAlign w:val="bottom"/>
            <w:shd w:val="clear" w:color="auto" w:fill="D0E0F0"/>
          </w:tcPr>
          <w:p>
            <w:pPr>
              <w:jc w:val="right"/>
              <w:ind w:right="688"/>
              <w:spacing w:after="0"/>
              <w:rPr>
                <w:sz w:val="20"/>
                <w:szCs w:val="20"/>
                <w:color w:val="auto"/>
              </w:rPr>
            </w:pPr>
            <w:r>
              <w:rPr>
                <w:rFonts w:ascii="Arial" w:cs="Arial" w:eastAsia="Arial" w:hAnsi="Arial"/>
                <w:sz w:val="14"/>
                <w:szCs w:val="14"/>
                <w:color w:val="auto"/>
              </w:rPr>
              <w:t>10,088,000</w:t>
            </w:r>
          </w:p>
        </w:tc>
        <w:tc>
          <w:tcPr>
            <w:tcW w:w="1240" w:type="dxa"/>
            <w:vAlign w:val="bottom"/>
            <w:shd w:val="clear" w:color="auto" w:fill="D0E0F0"/>
          </w:tcPr>
          <w:p>
            <w:pPr>
              <w:ind w:left="50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(2)</w:t>
            </w:r>
          </w:p>
        </w:tc>
        <w:tc>
          <w:tcPr>
            <w:tcW w:w="3540" w:type="dxa"/>
            <w:vAlign w:val="bottom"/>
            <w:shd w:val="clear" w:color="auto" w:fill="D0E0F0"/>
          </w:tcPr>
          <w:p>
            <w:pPr>
              <w:jc w:val="right"/>
              <w:ind w:right="1288"/>
              <w:spacing w:after="0" w:line="216" w:lineRule="exact"/>
              <w:rPr>
                <w:sz w:val="20"/>
                <w:szCs w:val="20"/>
                <w:color w:val="auto"/>
              </w:rPr>
            </w:pPr>
            <w:r>
              <w:rPr>
                <w:rFonts w:ascii="Arial" w:cs="Arial" w:eastAsia="Arial" w:hAnsi="Arial"/>
                <w:sz w:val="14"/>
                <w:szCs w:val="14"/>
                <w:color w:val="auto"/>
              </w:rPr>
              <w:t>10,088,000</w:t>
            </w:r>
            <w:r>
              <w:rPr>
                <w:rFonts w:ascii="Arial" w:cs="Arial" w:eastAsia="Arial" w:hAnsi="Arial"/>
                <w:sz w:val="23"/>
                <w:szCs w:val="23"/>
                <w:color w:val="auto"/>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-968375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14490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0" w:lineRule="exact"/>
        <w:rPr>
          <w:sz w:val="20"/>
          <w:szCs w:val="20"/>
          <w:color w:val="auto"/>
        </w:rPr>
      </w:pPr>
    </w:p>
    <w:p>
      <w:pPr>
        <w:ind w:left="660" w:right="220" w:hanging="328"/>
        <w:spacing w:after="0" w:line="253"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described above, upon his termination for good reason or without cause, Mr. Kapoor is treated as having continued his employment for two additional years for purposes of his annual equity awards. The information in this table was calculated assuming target performance over the additional two year-period, however, the actual payment would depend upon the Company’s actual performance following Mr. Kapoor’s termination.</w:t>
      </w:r>
    </w:p>
    <w:p>
      <w:pPr>
        <w:spacing w:after="0" w:line="187" w:lineRule="exact"/>
        <w:rPr>
          <w:rFonts w:ascii="Arial" w:cs="Arial" w:eastAsia="Arial" w:hAnsi="Arial"/>
          <w:sz w:val="16"/>
          <w:szCs w:val="16"/>
          <w:color w:val="auto"/>
        </w:rPr>
      </w:pPr>
    </w:p>
    <w:p>
      <w:pPr>
        <w:ind w:left="660" w:right="80" w:hanging="328"/>
        <w:spacing w:after="0" w:line="260"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Mr. Kapoor’s Stock Price Performance Award becomes immediately vested upon a change in control if the Compensation Committee has not made a provision for the substitution, assumption, exchange or other continuation of the award in connection with the change in control.</w:t>
      </w:r>
    </w:p>
    <w:p>
      <w:pPr>
        <w:spacing w:after="0" w:line="182" w:lineRule="exact"/>
        <w:rPr>
          <w:rFonts w:ascii="Arial" w:cs="Arial" w:eastAsia="Arial" w:hAnsi="Arial"/>
          <w:sz w:val="16"/>
          <w:szCs w:val="16"/>
          <w:color w:val="auto"/>
        </w:rPr>
      </w:pPr>
    </w:p>
    <w:p>
      <w:pPr>
        <w:ind w:left="660" w:right="280" w:hanging="328"/>
        <w:spacing w:after="0" w:line="260"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addition, Mr. Kapoor would have received a payout valued at $10,088,000 pursuant to the terms of his Stock Price Performance Award if he had been terminated on December 31, 2016 due to his death or disability following a change in control.</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Vishal Chhibbar</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Either Mr. Chhibbar or we may terminate Mr. Chhibbar’s employment at any time (though we must give Mr. Chhibbar 30 days’ notice if the termination is without “cause” and Mr. Chhibbar must give us 90 days’ advance notice upon any resignation). If Mr. Chhibbar’s employment with the Company is terminated by the Company without “cause” or by Mr. Chhibbar for “good reason,” as summarized below, Mr. Chhibbar will receive a cash severance payment equal to 12 months base salary, with 25% payable as a lump sum payment and the remaining 75% payable in accordance with the Company’s regular payroll practices.</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56" w:name="page57"/>
    <w:bookmarkEnd w:id="56"/>
    <w:p>
      <w:pPr>
        <w:ind w:right="180" w:firstLine="648"/>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Mr. Chhibbar’s outstanding equity awards will vest as described below:</w:t>
      </w:r>
    </w:p>
    <w:p>
      <w:pPr>
        <w:spacing w:after="0" w:line="165" w:lineRule="exact"/>
        <w:rPr>
          <w:sz w:val="20"/>
          <w:szCs w:val="20"/>
          <w:color w:val="auto"/>
        </w:rPr>
      </w:pPr>
    </w:p>
    <w:p>
      <w:pPr>
        <w:ind w:left="1300" w:right="20" w:hanging="320"/>
        <w:spacing w:after="0" w:line="245"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Time-Vested RSUs</w:t>
      </w:r>
      <w:r>
        <w:rPr>
          <w:rFonts w:ascii="Arial" w:cs="Arial" w:eastAsia="Arial" w:hAnsi="Arial"/>
          <w:sz w:val="18"/>
          <w:szCs w:val="18"/>
          <w:color w:val="auto"/>
        </w:rPr>
        <w:t>: If a change in control occurs prior to the end of the performance period, Mr. Chhibbar’s Time-Vested RSUs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advanced by one year. In addition, all of Mr. Chhibbar’s outstanding Time-Vested RSUs will become fully vested if, following or in specific contemplation of a change in control, he is terminated without cause or, following a change in control, he terminates his employment for good reason.</w:t>
      </w:r>
    </w:p>
    <w:p>
      <w:pPr>
        <w:spacing w:after="0" w:line="167" w:lineRule="exact"/>
        <w:rPr>
          <w:rFonts w:ascii="Arial" w:cs="Arial" w:eastAsia="Arial" w:hAnsi="Arial"/>
          <w:sz w:val="18"/>
          <w:szCs w:val="18"/>
          <w:color w:val="auto"/>
        </w:rPr>
      </w:pPr>
    </w:p>
    <w:p>
      <w:pPr>
        <w:ind w:left="1300" w:right="40" w:hanging="320"/>
        <w:spacing w:after="0" w:line="242"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If a change in control occurs prior to the end of the performance period, 100% of Mr. Chhibbar’s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Revenue-Linked PRSUs will be deemed earned, will be subject to a new three year installment vesting schedule and will be advanced by one year under such schedule. In addition, all of Mr. Chhibbar’s outstanding Revenue-Linked PRSUs will become fully vested if, following or in specific contemplation of a change in control, he is terminated without cause or, following a change in control, he terminates his employment for good reason.</w:t>
      </w:r>
    </w:p>
    <w:p>
      <w:pPr>
        <w:spacing w:after="0" w:line="171" w:lineRule="exact"/>
        <w:rPr>
          <w:rFonts w:ascii="Arial" w:cs="Arial" w:eastAsia="Arial" w:hAnsi="Arial"/>
          <w:sz w:val="18"/>
          <w:szCs w:val="18"/>
          <w:color w:val="auto"/>
        </w:rPr>
      </w:pPr>
    </w:p>
    <w:p>
      <w:pPr>
        <w:ind w:left="1300" w:right="20" w:hanging="320"/>
        <w:spacing w:after="0" w:line="239"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If a change in control occurs on or prior to the first anniversary of the grant date, 100% of Mr.</w:t>
      </w:r>
      <w:r>
        <w:rPr>
          <w:rFonts w:ascii="Arial" w:cs="Arial" w:eastAsia="Arial" w:hAnsi="Arial"/>
          <w:sz w:val="18"/>
          <w:szCs w:val="18"/>
          <w:i w:val="1"/>
          <w:iCs w:val="1"/>
          <w:color w:val="auto"/>
        </w:rPr>
        <w:t xml:space="preserve"> </w:t>
      </w:r>
      <w:r>
        <w:rPr>
          <w:rFonts w:ascii="Arial" w:cs="Arial" w:eastAsia="Arial" w:hAnsi="Arial"/>
          <w:sz w:val="18"/>
          <w:szCs w:val="18"/>
          <w:color w:val="auto"/>
        </w:rPr>
        <w:t>Chhibbar’s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 year under such schedule. In addition, all of Mr. Chhibbar’s outstanding, earned TSR-Linked PRSUs will become fully vested if, following or in specific contemplation of a change in control, he is terminated without cause or, following a change in control, he voluntarily terminates his employment for good reason.</w:t>
      </w:r>
    </w:p>
    <w:p>
      <w:pPr>
        <w:spacing w:after="0" w:line="189"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Mr. Chhibbar’s severance payments and termination-related equity acceleration are subject to his execution of a release of claims against us. Mr. Chhibbar is subject to confidentiality restrictions at all times, as well as noncompetition, nondisparagement and nonsolicitation restrictions during his employment and for one year thereafter.</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Indicative Payouts of Vishal Chhibbar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shd w:val="clear" w:color="auto" w:fill="508BC7"/>
          </w:tcPr>
          <w:p>
            <w:pPr>
              <w:spacing w:after="0"/>
              <w:rPr>
                <w:sz w:val="14"/>
                <w:szCs w:val="14"/>
                <w:color w:val="auto"/>
              </w:rPr>
            </w:pPr>
          </w:p>
        </w:tc>
        <w:tc>
          <w:tcPr>
            <w:tcW w:w="2340" w:type="dxa"/>
            <w:vAlign w:val="bottom"/>
            <w:shd w:val="clear" w:color="auto" w:fill="508BC7"/>
          </w:tcPr>
          <w:p>
            <w:pPr>
              <w:jc w:val="center"/>
              <w:ind w:left="228"/>
              <w:spacing w:after="0"/>
              <w:rPr>
                <w:sz w:val="20"/>
                <w:szCs w:val="20"/>
                <w:color w:val="auto"/>
              </w:rPr>
            </w:pPr>
            <w:r>
              <w:rPr>
                <w:rFonts w:ascii="Arial" w:cs="Arial" w:eastAsia="Arial" w:hAnsi="Arial"/>
                <w:sz w:val="14"/>
                <w:szCs w:val="14"/>
                <w:b w:val="1"/>
                <w:bCs w:val="1"/>
                <w:color w:val="FFFFFF"/>
              </w:rPr>
              <w:t>Termination for</w:t>
            </w:r>
          </w:p>
        </w:tc>
        <w:tc>
          <w:tcPr>
            <w:tcW w:w="2000" w:type="dxa"/>
            <w:vAlign w:val="bottom"/>
            <w:shd w:val="clear" w:color="auto" w:fill="508BC7"/>
          </w:tcPr>
          <w:p>
            <w:pPr>
              <w:spacing w:after="0"/>
              <w:rPr>
                <w:sz w:val="14"/>
                <w:szCs w:val="14"/>
                <w:color w:val="auto"/>
              </w:rPr>
            </w:pPr>
          </w:p>
        </w:tc>
        <w:tc>
          <w:tcPr>
            <w:tcW w:w="4140" w:type="dxa"/>
            <w:vAlign w:val="bottom"/>
            <w:shd w:val="clear" w:color="auto" w:fill="508BC7"/>
          </w:tcPr>
          <w:p>
            <w:pPr>
              <w:jc w:val="center"/>
              <w:ind w:left="128"/>
              <w:spacing w:after="0"/>
              <w:rPr>
                <w:sz w:val="20"/>
                <w:szCs w:val="20"/>
                <w:color w:val="auto"/>
              </w:rPr>
            </w:pPr>
            <w:r>
              <w:rPr>
                <w:rFonts w:ascii="Arial" w:cs="Arial" w:eastAsia="Arial" w:hAnsi="Arial"/>
                <w:sz w:val="14"/>
                <w:szCs w:val="14"/>
                <w:b w:val="1"/>
                <w:bCs w:val="1"/>
                <w:color w:val="FFFFFF"/>
              </w:rPr>
              <w:t>Termination Without Cause or for Good Reason</w:t>
            </w:r>
          </w:p>
        </w:tc>
      </w:tr>
      <w:tr>
        <w:trPr>
          <w:trHeight w:val="162"/>
        </w:trPr>
        <w:tc>
          <w:tcPr>
            <w:tcW w:w="2940" w:type="dxa"/>
            <w:vAlign w:val="bottom"/>
            <w:shd w:val="clear" w:color="auto" w:fill="508BC7"/>
          </w:tcPr>
          <w:p>
            <w:pPr>
              <w:spacing w:after="0"/>
              <w:rPr>
                <w:sz w:val="14"/>
                <w:szCs w:val="14"/>
                <w:color w:val="auto"/>
              </w:rPr>
            </w:pPr>
          </w:p>
        </w:tc>
        <w:tc>
          <w:tcPr>
            <w:tcW w:w="2340" w:type="dxa"/>
            <w:vAlign w:val="bottom"/>
            <w:shd w:val="clear" w:color="auto" w:fill="508BC7"/>
          </w:tcPr>
          <w:p>
            <w:pPr>
              <w:jc w:val="center"/>
              <w:ind w:left="228"/>
              <w:spacing w:after="0"/>
              <w:rPr>
                <w:sz w:val="20"/>
                <w:szCs w:val="20"/>
                <w:color w:val="auto"/>
              </w:rPr>
            </w:pPr>
            <w:r>
              <w:rPr>
                <w:rFonts w:ascii="Arial" w:cs="Arial" w:eastAsia="Arial" w:hAnsi="Arial"/>
                <w:sz w:val="14"/>
                <w:szCs w:val="14"/>
                <w:b w:val="1"/>
                <w:bCs w:val="1"/>
                <w:color w:val="FFFFFF"/>
              </w:rPr>
              <w:t>Good Reason or</w:t>
            </w:r>
          </w:p>
        </w:tc>
        <w:tc>
          <w:tcPr>
            <w:tcW w:w="2000" w:type="dxa"/>
            <w:vAlign w:val="bottom"/>
            <w:shd w:val="clear" w:color="auto" w:fill="508BC7"/>
          </w:tcPr>
          <w:p>
            <w:pPr>
              <w:spacing w:after="0"/>
              <w:rPr>
                <w:sz w:val="14"/>
                <w:szCs w:val="14"/>
                <w:color w:val="auto"/>
              </w:rPr>
            </w:pPr>
          </w:p>
        </w:tc>
        <w:tc>
          <w:tcPr>
            <w:tcW w:w="4140" w:type="dxa"/>
            <w:vAlign w:val="bottom"/>
            <w:shd w:val="clear" w:color="auto" w:fill="508BC7"/>
          </w:tcPr>
          <w:p>
            <w:pPr>
              <w:jc w:val="center"/>
              <w:ind w:left="128"/>
              <w:spacing w:after="0"/>
              <w:rPr>
                <w:sz w:val="20"/>
                <w:szCs w:val="20"/>
                <w:color w:val="auto"/>
              </w:rPr>
            </w:pPr>
            <w:r>
              <w:rPr>
                <w:rFonts w:ascii="Arial" w:cs="Arial" w:eastAsia="Arial" w:hAnsi="Arial"/>
                <w:sz w:val="14"/>
                <w:szCs w:val="14"/>
                <w:b w:val="1"/>
                <w:bCs w:val="1"/>
                <w:color w:val="FFFFFF"/>
              </w:rPr>
              <w:t>Following Change in Control or Termination Without</w:t>
            </w:r>
          </w:p>
        </w:tc>
      </w:tr>
      <w:tr>
        <w:trPr>
          <w:trHeight w:val="162"/>
        </w:trPr>
        <w:tc>
          <w:tcPr>
            <w:tcW w:w="2940" w:type="dxa"/>
            <w:vAlign w:val="bottom"/>
            <w:shd w:val="clear" w:color="auto" w:fill="508BC7"/>
          </w:tcPr>
          <w:p>
            <w:pPr>
              <w:jc w:val="center"/>
              <w:ind w:left="128"/>
              <w:spacing w:after="0"/>
              <w:rPr>
                <w:sz w:val="20"/>
                <w:szCs w:val="20"/>
                <w:color w:val="auto"/>
              </w:rPr>
            </w:pPr>
            <w:r>
              <w:rPr>
                <w:rFonts w:ascii="Arial" w:cs="Arial" w:eastAsia="Arial" w:hAnsi="Arial"/>
                <w:sz w:val="14"/>
                <w:szCs w:val="14"/>
                <w:b w:val="1"/>
                <w:bCs w:val="1"/>
                <w:color w:val="FFFFFF"/>
              </w:rPr>
              <w:t>Payments upon</w:t>
            </w:r>
          </w:p>
        </w:tc>
        <w:tc>
          <w:tcPr>
            <w:tcW w:w="2340" w:type="dxa"/>
            <w:vAlign w:val="bottom"/>
            <w:shd w:val="clear" w:color="auto" w:fill="508BC7"/>
          </w:tcPr>
          <w:p>
            <w:pPr>
              <w:jc w:val="center"/>
              <w:ind w:left="228"/>
              <w:spacing w:after="0"/>
              <w:rPr>
                <w:sz w:val="20"/>
                <w:szCs w:val="20"/>
                <w:color w:val="auto"/>
              </w:rPr>
            </w:pPr>
            <w:r>
              <w:rPr>
                <w:rFonts w:ascii="Arial" w:cs="Arial" w:eastAsia="Arial" w:hAnsi="Arial"/>
                <w:sz w:val="14"/>
                <w:szCs w:val="14"/>
                <w:b w:val="1"/>
                <w:bCs w:val="1"/>
                <w:color w:val="FFFFFF"/>
              </w:rPr>
              <w:t>Without Cause</w:t>
            </w:r>
          </w:p>
        </w:tc>
        <w:tc>
          <w:tcPr>
            <w:tcW w:w="2000" w:type="dxa"/>
            <w:vAlign w:val="bottom"/>
            <w:shd w:val="clear" w:color="auto" w:fill="508BC7"/>
          </w:tcPr>
          <w:p>
            <w:pPr>
              <w:ind w:left="440"/>
              <w:spacing w:after="0"/>
              <w:rPr>
                <w:sz w:val="20"/>
                <w:szCs w:val="20"/>
                <w:color w:val="auto"/>
              </w:rPr>
            </w:pPr>
            <w:r>
              <w:rPr>
                <w:rFonts w:ascii="Arial" w:cs="Arial" w:eastAsia="Arial" w:hAnsi="Arial"/>
                <w:sz w:val="14"/>
                <w:szCs w:val="14"/>
                <w:b w:val="1"/>
                <w:bCs w:val="1"/>
                <w:color w:val="FFFFFF"/>
              </w:rPr>
              <w:t>Change in Control</w:t>
            </w:r>
          </w:p>
        </w:tc>
        <w:tc>
          <w:tcPr>
            <w:tcW w:w="4140" w:type="dxa"/>
            <w:vAlign w:val="bottom"/>
            <w:shd w:val="clear" w:color="auto" w:fill="508BC7"/>
          </w:tcPr>
          <w:p>
            <w:pPr>
              <w:jc w:val="center"/>
              <w:ind w:left="128"/>
              <w:spacing w:after="0"/>
              <w:rPr>
                <w:sz w:val="20"/>
                <w:szCs w:val="20"/>
                <w:color w:val="auto"/>
              </w:rPr>
            </w:pPr>
            <w:r>
              <w:rPr>
                <w:rFonts w:ascii="Arial" w:cs="Arial" w:eastAsia="Arial" w:hAnsi="Arial"/>
                <w:sz w:val="14"/>
                <w:szCs w:val="14"/>
                <w:b w:val="1"/>
                <w:bCs w:val="1"/>
                <w:color w:val="FFFFFF"/>
              </w:rPr>
              <w:t>Cause in Specific Contemplation of Change in Control</w:t>
            </w:r>
          </w:p>
        </w:tc>
      </w:tr>
      <w:tr>
        <w:trPr>
          <w:trHeight w:val="202"/>
        </w:trPr>
        <w:tc>
          <w:tcPr>
            <w:tcW w:w="2940" w:type="dxa"/>
            <w:vAlign w:val="bottom"/>
            <w:shd w:val="clear" w:color="auto" w:fill="508BC7"/>
          </w:tcPr>
          <w:p>
            <w:pPr>
              <w:jc w:val="center"/>
              <w:ind w:left="128"/>
              <w:spacing w:after="0"/>
              <w:rPr>
                <w:sz w:val="20"/>
                <w:szCs w:val="20"/>
                <w:color w:val="auto"/>
              </w:rPr>
            </w:pPr>
            <w:r>
              <w:rPr>
                <w:rFonts w:ascii="Arial" w:cs="Arial" w:eastAsia="Arial" w:hAnsi="Arial"/>
                <w:sz w:val="14"/>
                <w:szCs w:val="14"/>
                <w:b w:val="1"/>
                <w:bCs w:val="1"/>
                <w:color w:val="FFFFFF"/>
              </w:rPr>
              <w:t>Termination</w:t>
            </w:r>
          </w:p>
        </w:tc>
        <w:tc>
          <w:tcPr>
            <w:tcW w:w="2340" w:type="dxa"/>
            <w:vAlign w:val="bottom"/>
            <w:shd w:val="clear" w:color="auto" w:fill="508BC7"/>
          </w:tcPr>
          <w:p>
            <w:pPr>
              <w:jc w:val="center"/>
              <w:ind w:left="248"/>
              <w:spacing w:after="0"/>
              <w:rPr>
                <w:sz w:val="20"/>
                <w:szCs w:val="20"/>
                <w:color w:val="auto"/>
              </w:rPr>
            </w:pPr>
            <w:r>
              <w:rPr>
                <w:rFonts w:ascii="Arial" w:cs="Arial" w:eastAsia="Arial" w:hAnsi="Arial"/>
                <w:sz w:val="14"/>
                <w:szCs w:val="14"/>
                <w:b w:val="1"/>
                <w:bCs w:val="1"/>
                <w:color w:val="FFFFFF"/>
              </w:rPr>
              <w:t>($)</w:t>
            </w:r>
          </w:p>
        </w:tc>
        <w:tc>
          <w:tcPr>
            <w:tcW w:w="2000" w:type="dxa"/>
            <w:vAlign w:val="bottom"/>
            <w:shd w:val="clear" w:color="auto" w:fill="508BC7"/>
          </w:tcPr>
          <w:p>
            <w:pPr>
              <w:jc w:val="center"/>
              <w:ind w:left="68"/>
              <w:spacing w:after="0"/>
              <w:rPr>
                <w:sz w:val="20"/>
                <w:szCs w:val="20"/>
                <w:color w:val="auto"/>
              </w:rPr>
            </w:pPr>
            <w:r>
              <w:rPr>
                <w:rFonts w:ascii="Arial" w:cs="Arial" w:eastAsia="Arial" w:hAnsi="Arial"/>
                <w:sz w:val="14"/>
                <w:szCs w:val="14"/>
                <w:b w:val="1"/>
                <w:bCs w:val="1"/>
                <w:color w:val="FFFFFF"/>
              </w:rPr>
              <w:t>($)</w:t>
            </w:r>
          </w:p>
        </w:tc>
        <w:tc>
          <w:tcPr>
            <w:tcW w:w="4140" w:type="dxa"/>
            <w:vAlign w:val="bottom"/>
            <w:shd w:val="clear" w:color="auto" w:fill="508BC7"/>
          </w:tcPr>
          <w:p>
            <w:pPr>
              <w:jc w:val="center"/>
              <w:ind w:left="128"/>
              <w:spacing w:after="0"/>
              <w:rPr>
                <w:sz w:val="20"/>
                <w:szCs w:val="20"/>
                <w:color w:val="auto"/>
              </w:rPr>
            </w:pPr>
            <w:r>
              <w:rPr>
                <w:rFonts w:ascii="Arial" w:cs="Arial" w:eastAsia="Arial" w:hAnsi="Arial"/>
                <w:sz w:val="14"/>
                <w:szCs w:val="14"/>
                <w:b w:val="1"/>
                <w:bCs w:val="1"/>
                <w:color w:val="FFFFFF"/>
              </w:rPr>
              <w:t>($)</w:t>
            </w:r>
          </w:p>
        </w:tc>
      </w:tr>
      <w:tr>
        <w:trPr>
          <w:trHeight w:val="162"/>
        </w:trPr>
        <w:tc>
          <w:tcPr>
            <w:tcW w:w="2940" w:type="dxa"/>
            <w:vAlign w:val="bottom"/>
            <w:shd w:val="clear" w:color="auto" w:fill="D0E0F0"/>
          </w:tcPr>
          <w:p>
            <w:pPr>
              <w:spacing w:after="0"/>
              <w:rPr>
                <w:sz w:val="20"/>
                <w:szCs w:val="20"/>
                <w:color w:val="auto"/>
              </w:rPr>
            </w:pPr>
            <w:r>
              <w:rPr>
                <w:rFonts w:ascii="Arial" w:cs="Arial" w:eastAsia="Arial" w:hAnsi="Arial"/>
                <w:sz w:val="14"/>
                <w:szCs w:val="14"/>
                <w:color w:val="auto"/>
              </w:rPr>
              <w:t>Base salary payout</w:t>
            </w:r>
          </w:p>
        </w:tc>
        <w:tc>
          <w:tcPr>
            <w:tcW w:w="2340" w:type="dxa"/>
            <w:vAlign w:val="bottom"/>
            <w:shd w:val="clear" w:color="auto" w:fill="D0E0F0"/>
          </w:tcPr>
          <w:p>
            <w:pPr>
              <w:jc w:val="center"/>
              <w:ind w:left="228"/>
              <w:spacing w:after="0"/>
              <w:rPr>
                <w:sz w:val="20"/>
                <w:szCs w:val="20"/>
                <w:color w:val="auto"/>
              </w:rPr>
            </w:pPr>
            <w:r>
              <w:rPr>
                <w:rFonts w:ascii="Arial" w:cs="Arial" w:eastAsia="Arial" w:hAnsi="Arial"/>
                <w:sz w:val="14"/>
                <w:szCs w:val="14"/>
                <w:color w:val="auto"/>
              </w:rPr>
              <w:t>400,000</w:t>
            </w:r>
          </w:p>
        </w:tc>
        <w:tc>
          <w:tcPr>
            <w:tcW w:w="2000" w:type="dxa"/>
            <w:vAlign w:val="bottom"/>
            <w:shd w:val="clear" w:color="auto" w:fill="D0E0F0"/>
          </w:tcPr>
          <w:p>
            <w:pPr>
              <w:jc w:val="center"/>
              <w:ind w:left="68"/>
              <w:spacing w:after="0"/>
              <w:rPr>
                <w:sz w:val="20"/>
                <w:szCs w:val="20"/>
                <w:color w:val="auto"/>
              </w:rPr>
            </w:pPr>
            <w:r>
              <w:rPr>
                <w:rFonts w:ascii="Arial" w:cs="Arial" w:eastAsia="Arial" w:hAnsi="Arial"/>
                <w:sz w:val="14"/>
                <w:szCs w:val="14"/>
                <w:color w:val="auto"/>
                <w:w w:val="99"/>
              </w:rPr>
              <w:t>—</w:t>
            </w:r>
          </w:p>
        </w:tc>
        <w:tc>
          <w:tcPr>
            <w:tcW w:w="4140" w:type="dxa"/>
            <w:vAlign w:val="bottom"/>
            <w:shd w:val="clear" w:color="auto" w:fill="D0E0F0"/>
          </w:tcPr>
          <w:p>
            <w:pPr>
              <w:jc w:val="right"/>
              <w:ind w:right="1868"/>
              <w:spacing w:after="0"/>
              <w:rPr>
                <w:sz w:val="20"/>
                <w:szCs w:val="20"/>
                <w:color w:val="auto"/>
              </w:rPr>
            </w:pPr>
            <w:r>
              <w:rPr>
                <w:rFonts w:ascii="Arial" w:cs="Arial" w:eastAsia="Arial" w:hAnsi="Arial"/>
                <w:sz w:val="14"/>
                <w:szCs w:val="14"/>
                <w:color w:val="auto"/>
              </w:rPr>
              <w:t>400,000</w:t>
            </w: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Restricted stock units</w:t>
            </w:r>
          </w:p>
        </w:tc>
        <w:tc>
          <w:tcPr>
            <w:tcW w:w="234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ind w:left="48"/>
              <w:spacing w:after="0"/>
              <w:rPr>
                <w:sz w:val="20"/>
                <w:szCs w:val="20"/>
                <w:color w:val="auto"/>
              </w:rPr>
            </w:pPr>
            <w:r>
              <w:rPr>
                <w:rFonts w:ascii="Arial" w:cs="Arial" w:eastAsia="Arial" w:hAnsi="Arial"/>
                <w:sz w:val="14"/>
                <w:szCs w:val="14"/>
                <w:color w:val="auto"/>
              </w:rPr>
              <w:t>530,931</w:t>
            </w:r>
          </w:p>
        </w:tc>
        <w:tc>
          <w:tcPr>
            <w:tcW w:w="4140" w:type="dxa"/>
            <w:vAlign w:val="bottom"/>
          </w:tcPr>
          <w:p>
            <w:pPr>
              <w:jc w:val="right"/>
              <w:ind w:right="1868"/>
              <w:spacing w:after="0"/>
              <w:rPr>
                <w:sz w:val="20"/>
                <w:szCs w:val="20"/>
                <w:color w:val="auto"/>
              </w:rPr>
            </w:pPr>
            <w:r>
              <w:rPr>
                <w:rFonts w:ascii="Arial" w:cs="Arial" w:eastAsia="Arial" w:hAnsi="Arial"/>
                <w:sz w:val="14"/>
                <w:szCs w:val="14"/>
                <w:color w:val="auto"/>
              </w:rPr>
              <w:t>1,201,783</w:t>
            </w:r>
          </w:p>
        </w:tc>
      </w:tr>
      <w:tr>
        <w:trPr>
          <w:trHeight w:val="162"/>
        </w:trPr>
        <w:tc>
          <w:tcPr>
            <w:tcW w:w="2940" w:type="dxa"/>
            <w:vAlign w:val="bottom"/>
            <w:shd w:val="clear" w:color="auto" w:fill="D0E0F0"/>
          </w:tcPr>
          <w:p>
            <w:pPr>
              <w:spacing w:after="0"/>
              <w:rPr>
                <w:sz w:val="20"/>
                <w:szCs w:val="20"/>
                <w:color w:val="auto"/>
              </w:rPr>
            </w:pPr>
            <w:r>
              <w:rPr>
                <w:rFonts w:ascii="Arial" w:cs="Arial" w:eastAsia="Arial" w:hAnsi="Arial"/>
                <w:sz w:val="14"/>
                <w:szCs w:val="14"/>
                <w:color w:val="auto"/>
              </w:rPr>
              <w:t>Performance restricted stock units</w:t>
            </w:r>
          </w:p>
        </w:tc>
        <w:tc>
          <w:tcPr>
            <w:tcW w:w="2340" w:type="dxa"/>
            <w:vAlign w:val="bottom"/>
            <w:shd w:val="clear" w:color="auto" w:fill="D0E0F0"/>
          </w:tcPr>
          <w:p>
            <w:pPr>
              <w:jc w:val="center"/>
              <w:ind w:left="248"/>
              <w:spacing w:after="0"/>
              <w:rPr>
                <w:sz w:val="20"/>
                <w:szCs w:val="20"/>
                <w:color w:val="auto"/>
              </w:rPr>
            </w:pPr>
            <w:r>
              <w:rPr>
                <w:rFonts w:ascii="Arial" w:cs="Arial" w:eastAsia="Arial" w:hAnsi="Arial"/>
                <w:sz w:val="14"/>
                <w:szCs w:val="14"/>
                <w:color w:val="auto"/>
                <w:w w:val="99"/>
              </w:rPr>
              <w:t>—</w:t>
            </w:r>
          </w:p>
        </w:tc>
        <w:tc>
          <w:tcPr>
            <w:tcW w:w="2000" w:type="dxa"/>
            <w:vAlign w:val="bottom"/>
            <w:shd w:val="clear" w:color="auto" w:fill="D0E0F0"/>
          </w:tcPr>
          <w:p>
            <w:pPr>
              <w:jc w:val="center"/>
              <w:ind w:left="48"/>
              <w:spacing w:after="0"/>
              <w:rPr>
                <w:sz w:val="20"/>
                <w:szCs w:val="20"/>
                <w:color w:val="auto"/>
              </w:rPr>
            </w:pPr>
            <w:r>
              <w:rPr>
                <w:rFonts w:ascii="Arial" w:cs="Arial" w:eastAsia="Arial" w:hAnsi="Arial"/>
                <w:sz w:val="14"/>
                <w:szCs w:val="14"/>
                <w:color w:val="auto"/>
              </w:rPr>
              <w:t>802,803</w:t>
            </w:r>
          </w:p>
        </w:tc>
        <w:tc>
          <w:tcPr>
            <w:tcW w:w="4140" w:type="dxa"/>
            <w:vAlign w:val="bottom"/>
            <w:shd w:val="clear" w:color="auto" w:fill="D0E0F0"/>
          </w:tcPr>
          <w:p>
            <w:pPr>
              <w:jc w:val="right"/>
              <w:ind w:right="1868"/>
              <w:spacing w:after="0"/>
              <w:rPr>
                <w:sz w:val="20"/>
                <w:szCs w:val="20"/>
                <w:color w:val="auto"/>
              </w:rPr>
            </w:pPr>
            <w:r>
              <w:rPr>
                <w:rFonts w:ascii="Arial" w:cs="Arial" w:eastAsia="Arial" w:hAnsi="Arial"/>
                <w:sz w:val="14"/>
                <w:szCs w:val="14"/>
                <w:color w:val="auto"/>
              </w:rPr>
              <w:t>920,530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b w:val="1"/>
          <w:bCs w:val="1"/>
          <w:i w:val="1"/>
          <w:iCs w:val="1"/>
          <w:color w:val="auto"/>
        </w:rPr>
        <w:t>Pavan Bagai</w:t>
      </w:r>
    </w:p>
    <w:p>
      <w:pPr>
        <w:spacing w:after="0" w:line="220"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Either Mr. Bagai or we may terminate Mr. Bagai’s employment at any time with three months’ notice (or pay three months’ salary in lieu of notice). If Mr. Bagai is terminated by us without “cause” (other than due to disability) at any time following a change in control or in specific contemplation of a change in control, or if Mr. Bagai resigns for “good reason” following a “change in control” (as defined in the 2015 Plan), Mr. Bagai will receive a cash severance payment equal to twelve months’ of his then-current annual fixed compensation, payable in twelve equal monthly installments.</w:t>
      </w:r>
    </w:p>
    <w:p>
      <w:pPr>
        <w:spacing w:after="0" w:line="189"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Mr. Bagai’s outstanding equity awards will vest in the same manner as described for Mr. Chhibbar’s outstanding equity awards on page 54.</w:t>
      </w:r>
    </w:p>
    <w:p>
      <w:pPr>
        <w:spacing w:after="0" w:line="183" w:lineRule="exact"/>
        <w:rPr>
          <w:sz w:val="20"/>
          <w:szCs w:val="20"/>
          <w:color w:val="auto"/>
        </w:rPr>
      </w:pPr>
    </w:p>
    <w:p>
      <w:pPr>
        <w:jc w:val="both"/>
        <w:ind w:right="320" w:firstLine="648"/>
        <w:spacing w:after="0"/>
        <w:rPr>
          <w:sz w:val="20"/>
          <w:szCs w:val="20"/>
          <w:color w:val="auto"/>
        </w:rPr>
      </w:pPr>
      <w:r>
        <w:rPr>
          <w:rFonts w:ascii="Arial" w:cs="Arial" w:eastAsia="Arial" w:hAnsi="Arial"/>
          <w:sz w:val="18"/>
          <w:szCs w:val="18"/>
          <w:color w:val="auto"/>
        </w:rPr>
        <w:t>Mr. Bagai’s severance payments and termination-related equity acceleration are subject to his execution of a waiver and release of claims against us. Mr. Bagai is subject to confidentiality restrictions at all times, as well as noncompetition and nonsolicitation restrictions for two years following termination of his employment.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Indicative Payouts for Pavan Bagai</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shd w:val="clear" w:color="auto" w:fill="508BC7"/>
          </w:tcPr>
          <w:p>
            <w:pPr>
              <w:spacing w:after="0"/>
              <w:rPr>
                <w:sz w:val="14"/>
                <w:szCs w:val="14"/>
                <w:color w:val="auto"/>
              </w:rPr>
            </w:pPr>
          </w:p>
        </w:tc>
        <w:tc>
          <w:tcPr>
            <w:tcW w:w="1520" w:type="dxa"/>
            <w:vAlign w:val="bottom"/>
            <w:shd w:val="clear" w:color="auto" w:fill="508BC7"/>
          </w:tcPr>
          <w:p>
            <w:pPr>
              <w:spacing w:after="0"/>
              <w:rPr>
                <w:sz w:val="14"/>
                <w:szCs w:val="14"/>
                <w:color w:val="auto"/>
              </w:rPr>
            </w:pPr>
          </w:p>
        </w:tc>
        <w:tc>
          <w:tcPr>
            <w:tcW w:w="19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Termination for</w:t>
            </w:r>
          </w:p>
        </w:tc>
        <w:tc>
          <w:tcPr>
            <w:tcW w:w="1280" w:type="dxa"/>
            <w:vAlign w:val="bottom"/>
            <w:shd w:val="clear" w:color="auto" w:fill="508BC7"/>
          </w:tcPr>
          <w:p>
            <w:pPr>
              <w:spacing w:after="0"/>
              <w:rPr>
                <w:sz w:val="14"/>
                <w:szCs w:val="14"/>
                <w:color w:val="auto"/>
              </w:rPr>
            </w:pPr>
          </w:p>
        </w:tc>
        <w:tc>
          <w:tcPr>
            <w:tcW w:w="402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Termination Without Cause or for Good Reason</w:t>
            </w:r>
          </w:p>
        </w:tc>
      </w:tr>
      <w:tr>
        <w:trPr>
          <w:trHeight w:val="162"/>
        </w:trPr>
        <w:tc>
          <w:tcPr>
            <w:tcW w:w="2660" w:type="dxa"/>
            <w:vAlign w:val="bottom"/>
            <w:shd w:val="clear" w:color="auto" w:fill="508BC7"/>
          </w:tcPr>
          <w:p>
            <w:pPr>
              <w:spacing w:after="0"/>
              <w:rPr>
                <w:sz w:val="14"/>
                <w:szCs w:val="14"/>
                <w:color w:val="auto"/>
              </w:rPr>
            </w:pPr>
          </w:p>
        </w:tc>
        <w:tc>
          <w:tcPr>
            <w:tcW w:w="152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Death or</w:t>
            </w:r>
          </w:p>
        </w:tc>
        <w:tc>
          <w:tcPr>
            <w:tcW w:w="19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Good Reason or</w:t>
            </w:r>
          </w:p>
        </w:tc>
        <w:tc>
          <w:tcPr>
            <w:tcW w:w="1280" w:type="dxa"/>
            <w:vAlign w:val="bottom"/>
            <w:shd w:val="clear" w:color="auto" w:fill="508BC7"/>
          </w:tcPr>
          <w:p>
            <w:pPr>
              <w:jc w:val="center"/>
              <w:ind w:left="148"/>
              <w:spacing w:after="0"/>
              <w:rPr>
                <w:sz w:val="20"/>
                <w:szCs w:val="20"/>
                <w:color w:val="auto"/>
              </w:rPr>
            </w:pPr>
            <w:r>
              <w:rPr>
                <w:rFonts w:ascii="Arial" w:cs="Arial" w:eastAsia="Arial" w:hAnsi="Arial"/>
                <w:sz w:val="14"/>
                <w:szCs w:val="14"/>
                <w:b w:val="1"/>
                <w:bCs w:val="1"/>
                <w:color w:val="FFFFFF"/>
              </w:rPr>
              <w:t>Change in</w:t>
            </w:r>
          </w:p>
        </w:tc>
        <w:tc>
          <w:tcPr>
            <w:tcW w:w="402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Following Change in Control or Termination Without</w:t>
            </w:r>
          </w:p>
        </w:tc>
      </w:tr>
      <w:tr>
        <w:trPr>
          <w:trHeight w:val="162"/>
        </w:trPr>
        <w:tc>
          <w:tcPr>
            <w:tcW w:w="2660" w:type="dxa"/>
            <w:vAlign w:val="bottom"/>
            <w:shd w:val="clear" w:color="auto" w:fill="508BC7"/>
          </w:tcPr>
          <w:p>
            <w:pPr>
              <w:ind w:left="880"/>
              <w:spacing w:after="0"/>
              <w:rPr>
                <w:sz w:val="20"/>
                <w:szCs w:val="20"/>
                <w:color w:val="auto"/>
              </w:rPr>
            </w:pPr>
            <w:r>
              <w:rPr>
                <w:rFonts w:ascii="Arial" w:cs="Arial" w:eastAsia="Arial" w:hAnsi="Arial"/>
                <w:sz w:val="14"/>
                <w:szCs w:val="14"/>
                <w:b w:val="1"/>
                <w:bCs w:val="1"/>
                <w:color w:val="FFFFFF"/>
              </w:rPr>
              <w:t>Payments upon</w:t>
            </w:r>
          </w:p>
        </w:tc>
        <w:tc>
          <w:tcPr>
            <w:tcW w:w="152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Disability</w:t>
            </w:r>
          </w:p>
        </w:tc>
        <w:tc>
          <w:tcPr>
            <w:tcW w:w="19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Without Cause</w:t>
            </w:r>
          </w:p>
        </w:tc>
        <w:tc>
          <w:tcPr>
            <w:tcW w:w="1280" w:type="dxa"/>
            <w:vAlign w:val="bottom"/>
            <w:shd w:val="clear" w:color="auto" w:fill="508BC7"/>
          </w:tcPr>
          <w:p>
            <w:pPr>
              <w:jc w:val="center"/>
              <w:ind w:left="148"/>
              <w:spacing w:after="0"/>
              <w:rPr>
                <w:sz w:val="20"/>
                <w:szCs w:val="20"/>
                <w:color w:val="auto"/>
              </w:rPr>
            </w:pPr>
            <w:r>
              <w:rPr>
                <w:rFonts w:ascii="Arial" w:cs="Arial" w:eastAsia="Arial" w:hAnsi="Arial"/>
                <w:sz w:val="14"/>
                <w:szCs w:val="14"/>
                <w:b w:val="1"/>
                <w:bCs w:val="1"/>
                <w:color w:val="FFFFFF"/>
              </w:rPr>
              <w:t>Control</w:t>
            </w:r>
          </w:p>
        </w:tc>
        <w:tc>
          <w:tcPr>
            <w:tcW w:w="402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Cause in Specific Contemplation of Change in Control</w:t>
            </w:r>
          </w:p>
        </w:tc>
      </w:tr>
      <w:tr>
        <w:trPr>
          <w:trHeight w:val="202"/>
        </w:trPr>
        <w:tc>
          <w:tcPr>
            <w:tcW w:w="2660" w:type="dxa"/>
            <w:vAlign w:val="bottom"/>
            <w:shd w:val="clear" w:color="auto" w:fill="508BC7"/>
          </w:tcPr>
          <w:p>
            <w:pPr>
              <w:ind w:left="1040"/>
              <w:spacing w:after="0"/>
              <w:rPr>
                <w:sz w:val="20"/>
                <w:szCs w:val="20"/>
                <w:color w:val="auto"/>
              </w:rPr>
            </w:pPr>
            <w:r>
              <w:rPr>
                <w:rFonts w:ascii="Arial" w:cs="Arial" w:eastAsia="Arial" w:hAnsi="Arial"/>
                <w:sz w:val="14"/>
                <w:szCs w:val="14"/>
                <w:b w:val="1"/>
                <w:bCs w:val="1"/>
                <w:color w:val="FFFFFF"/>
              </w:rPr>
              <w:t>Termination</w:t>
            </w:r>
          </w:p>
        </w:tc>
        <w:tc>
          <w:tcPr>
            <w:tcW w:w="152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w:t>
            </w:r>
          </w:p>
        </w:tc>
        <w:tc>
          <w:tcPr>
            <w:tcW w:w="194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w w:val="93"/>
              </w:rPr>
              <w:t>($)</w:t>
            </w:r>
          </w:p>
        </w:tc>
        <w:tc>
          <w:tcPr>
            <w:tcW w:w="1280" w:type="dxa"/>
            <w:vAlign w:val="bottom"/>
            <w:shd w:val="clear" w:color="auto" w:fill="508BC7"/>
          </w:tcPr>
          <w:p>
            <w:pPr>
              <w:jc w:val="center"/>
              <w:ind w:left="148"/>
              <w:spacing w:after="0"/>
              <w:rPr>
                <w:sz w:val="20"/>
                <w:szCs w:val="20"/>
                <w:color w:val="auto"/>
              </w:rPr>
            </w:pPr>
            <w:r>
              <w:rPr>
                <w:rFonts w:ascii="Arial" w:cs="Arial" w:eastAsia="Arial" w:hAnsi="Arial"/>
                <w:sz w:val="14"/>
                <w:szCs w:val="14"/>
                <w:b w:val="1"/>
                <w:bCs w:val="1"/>
                <w:color w:val="FFFFFF"/>
              </w:rPr>
              <w:t>($)</w:t>
            </w:r>
          </w:p>
        </w:tc>
        <w:tc>
          <w:tcPr>
            <w:tcW w:w="402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w:t>
            </w:r>
          </w:p>
        </w:tc>
      </w:tr>
      <w:tr>
        <w:trPr>
          <w:trHeight w:val="162"/>
        </w:trPr>
        <w:tc>
          <w:tcPr>
            <w:tcW w:w="2660" w:type="dxa"/>
            <w:vAlign w:val="bottom"/>
            <w:shd w:val="clear" w:color="auto" w:fill="D0E0F0"/>
          </w:tcPr>
          <w:p>
            <w:pPr>
              <w:spacing w:after="0"/>
              <w:rPr>
                <w:sz w:val="20"/>
                <w:szCs w:val="20"/>
                <w:color w:val="auto"/>
              </w:rPr>
            </w:pPr>
            <w:r>
              <w:rPr>
                <w:rFonts w:ascii="Arial" w:cs="Arial" w:eastAsia="Arial" w:hAnsi="Arial"/>
                <w:sz w:val="14"/>
                <w:szCs w:val="14"/>
                <w:color w:val="auto"/>
              </w:rPr>
              <w:t>Base salary payout</w:t>
            </w:r>
          </w:p>
        </w:tc>
        <w:tc>
          <w:tcPr>
            <w:tcW w:w="1520" w:type="dxa"/>
            <w:vAlign w:val="bottom"/>
            <w:shd w:val="clear" w:color="auto" w:fill="D0E0F0"/>
          </w:tcPr>
          <w:p>
            <w:pPr>
              <w:jc w:val="center"/>
              <w:spacing w:after="0"/>
              <w:rPr>
                <w:sz w:val="20"/>
                <w:szCs w:val="20"/>
                <w:color w:val="auto"/>
              </w:rPr>
            </w:pPr>
            <w:r>
              <w:rPr>
                <w:rFonts w:ascii="Arial" w:cs="Arial" w:eastAsia="Arial" w:hAnsi="Arial"/>
                <w:sz w:val="14"/>
                <w:szCs w:val="14"/>
                <w:color w:val="auto"/>
                <w:w w:val="99"/>
              </w:rPr>
              <w:t>—</w:t>
            </w:r>
          </w:p>
        </w:tc>
        <w:tc>
          <w:tcPr>
            <w:tcW w:w="194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338,534</w:t>
            </w:r>
          </w:p>
        </w:tc>
        <w:tc>
          <w:tcPr>
            <w:tcW w:w="1280" w:type="dxa"/>
            <w:vAlign w:val="bottom"/>
            <w:shd w:val="clear" w:color="auto" w:fill="D0E0F0"/>
          </w:tcPr>
          <w:p>
            <w:pPr>
              <w:jc w:val="center"/>
              <w:ind w:left="148"/>
              <w:spacing w:after="0"/>
              <w:rPr>
                <w:sz w:val="20"/>
                <w:szCs w:val="20"/>
                <w:color w:val="auto"/>
              </w:rPr>
            </w:pPr>
            <w:r>
              <w:rPr>
                <w:rFonts w:ascii="Arial" w:cs="Arial" w:eastAsia="Arial" w:hAnsi="Arial"/>
                <w:sz w:val="14"/>
                <w:szCs w:val="14"/>
                <w:color w:val="auto"/>
                <w:w w:val="99"/>
              </w:rPr>
              <w:t>—</w:t>
            </w:r>
          </w:p>
        </w:tc>
        <w:tc>
          <w:tcPr>
            <w:tcW w:w="4020" w:type="dxa"/>
            <w:vAlign w:val="bottom"/>
            <w:shd w:val="clear" w:color="auto" w:fill="D0E0F0"/>
          </w:tcPr>
          <w:p>
            <w:pPr>
              <w:jc w:val="right"/>
              <w:ind w:right="1548"/>
              <w:spacing w:after="0"/>
              <w:rPr>
                <w:sz w:val="20"/>
                <w:szCs w:val="20"/>
                <w:color w:val="auto"/>
              </w:rPr>
            </w:pPr>
            <w:r>
              <w:rPr>
                <w:rFonts w:ascii="Arial" w:cs="Arial" w:eastAsia="Arial" w:hAnsi="Arial"/>
                <w:sz w:val="14"/>
                <w:szCs w:val="14"/>
                <w:color w:val="auto"/>
              </w:rPr>
              <w:t>338,534</w:t>
            </w:r>
          </w:p>
        </w:tc>
      </w:tr>
      <w:tr>
        <w:trPr>
          <w:trHeight w:val="162"/>
        </w:trPr>
        <w:tc>
          <w:tcPr>
            <w:tcW w:w="2660" w:type="dxa"/>
            <w:vAlign w:val="bottom"/>
          </w:tcPr>
          <w:p>
            <w:pPr>
              <w:spacing w:after="0"/>
              <w:rPr>
                <w:sz w:val="20"/>
                <w:szCs w:val="20"/>
                <w:color w:val="auto"/>
              </w:rPr>
            </w:pPr>
            <w:r>
              <w:rPr>
                <w:rFonts w:ascii="Arial" w:cs="Arial" w:eastAsia="Arial" w:hAnsi="Arial"/>
                <w:sz w:val="14"/>
                <w:szCs w:val="14"/>
                <w:color w:val="auto"/>
              </w:rPr>
              <w:t>Restricted stock units</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4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952,156</w:t>
            </w:r>
          </w:p>
        </w:tc>
        <w:tc>
          <w:tcPr>
            <w:tcW w:w="4020" w:type="dxa"/>
            <w:vAlign w:val="bottom"/>
          </w:tcPr>
          <w:p>
            <w:pPr>
              <w:jc w:val="right"/>
              <w:ind w:right="1548"/>
              <w:spacing w:after="0"/>
              <w:rPr>
                <w:sz w:val="20"/>
                <w:szCs w:val="20"/>
                <w:color w:val="auto"/>
              </w:rPr>
            </w:pPr>
            <w:r>
              <w:rPr>
                <w:rFonts w:ascii="Arial" w:cs="Arial" w:eastAsia="Arial" w:hAnsi="Arial"/>
                <w:sz w:val="14"/>
                <w:szCs w:val="14"/>
                <w:color w:val="auto"/>
              </w:rPr>
              <w:t>2,098,405</w:t>
            </w:r>
          </w:p>
        </w:tc>
      </w:tr>
      <w:tr>
        <w:trPr>
          <w:trHeight w:val="162"/>
        </w:trPr>
        <w:tc>
          <w:tcPr>
            <w:tcW w:w="2660" w:type="dxa"/>
            <w:vAlign w:val="bottom"/>
            <w:shd w:val="clear" w:color="auto" w:fill="D0E0F0"/>
          </w:tcPr>
          <w:p>
            <w:pPr>
              <w:spacing w:after="0"/>
              <w:rPr>
                <w:sz w:val="20"/>
                <w:szCs w:val="20"/>
                <w:color w:val="auto"/>
              </w:rPr>
            </w:pPr>
            <w:r>
              <w:rPr>
                <w:rFonts w:ascii="Arial" w:cs="Arial" w:eastAsia="Arial" w:hAnsi="Arial"/>
                <w:sz w:val="14"/>
                <w:szCs w:val="14"/>
                <w:color w:val="auto"/>
              </w:rPr>
              <w:t>Performance restricted stock units</w:t>
            </w:r>
          </w:p>
        </w:tc>
        <w:tc>
          <w:tcPr>
            <w:tcW w:w="1520" w:type="dxa"/>
            <w:vAlign w:val="bottom"/>
            <w:shd w:val="clear" w:color="auto" w:fill="D0E0F0"/>
          </w:tcPr>
          <w:p>
            <w:pPr>
              <w:jc w:val="center"/>
              <w:spacing w:after="0"/>
              <w:rPr>
                <w:sz w:val="20"/>
                <w:szCs w:val="20"/>
                <w:color w:val="auto"/>
              </w:rPr>
            </w:pPr>
            <w:r>
              <w:rPr>
                <w:rFonts w:ascii="Arial" w:cs="Arial" w:eastAsia="Arial" w:hAnsi="Arial"/>
                <w:sz w:val="14"/>
                <w:szCs w:val="14"/>
                <w:color w:val="auto"/>
                <w:w w:val="99"/>
              </w:rPr>
              <w:t>—</w:t>
            </w:r>
          </w:p>
        </w:tc>
        <w:tc>
          <w:tcPr>
            <w:tcW w:w="1940" w:type="dxa"/>
            <w:vAlign w:val="bottom"/>
            <w:shd w:val="clear" w:color="auto" w:fill="D0E0F0"/>
          </w:tcPr>
          <w:p>
            <w:pPr>
              <w:jc w:val="center"/>
              <w:spacing w:after="0"/>
              <w:rPr>
                <w:sz w:val="20"/>
                <w:szCs w:val="20"/>
                <w:color w:val="auto"/>
              </w:rPr>
            </w:pPr>
            <w:r>
              <w:rPr>
                <w:rFonts w:ascii="Arial" w:cs="Arial" w:eastAsia="Arial" w:hAnsi="Arial"/>
                <w:sz w:val="14"/>
                <w:szCs w:val="14"/>
                <w:color w:val="auto"/>
              </w:rPr>
              <w:t>—</w:t>
            </w:r>
          </w:p>
        </w:tc>
        <w:tc>
          <w:tcPr>
            <w:tcW w:w="1280" w:type="dxa"/>
            <w:vAlign w:val="bottom"/>
            <w:shd w:val="clear" w:color="auto" w:fill="D0E0F0"/>
          </w:tcPr>
          <w:p>
            <w:pPr>
              <w:jc w:val="center"/>
              <w:ind w:left="128"/>
              <w:spacing w:after="0"/>
              <w:rPr>
                <w:sz w:val="20"/>
                <w:szCs w:val="20"/>
                <w:color w:val="auto"/>
              </w:rPr>
            </w:pPr>
            <w:r>
              <w:rPr>
                <w:rFonts w:ascii="Arial" w:cs="Arial" w:eastAsia="Arial" w:hAnsi="Arial"/>
                <w:sz w:val="14"/>
                <w:szCs w:val="14"/>
                <w:color w:val="auto"/>
              </w:rPr>
              <w:t>1,366,117</w:t>
            </w:r>
          </w:p>
        </w:tc>
        <w:tc>
          <w:tcPr>
            <w:tcW w:w="4020" w:type="dxa"/>
            <w:vAlign w:val="bottom"/>
            <w:shd w:val="clear" w:color="auto" w:fill="D0E0F0"/>
          </w:tcPr>
          <w:p>
            <w:pPr>
              <w:jc w:val="right"/>
              <w:ind w:right="1548"/>
              <w:spacing w:after="0"/>
              <w:rPr>
                <w:sz w:val="20"/>
                <w:szCs w:val="20"/>
                <w:color w:val="auto"/>
              </w:rPr>
            </w:pPr>
            <w:r>
              <w:rPr>
                <w:rFonts w:ascii="Arial" w:cs="Arial" w:eastAsia="Arial" w:hAnsi="Arial"/>
                <w:sz w:val="14"/>
                <w:szCs w:val="14"/>
                <w:color w:val="auto"/>
              </w:rPr>
              <w:t>1,576,250</w:t>
            </w:r>
          </w:p>
        </w:tc>
      </w:tr>
      <w:tr>
        <w:trPr>
          <w:trHeight w:val="307"/>
        </w:trPr>
        <w:tc>
          <w:tcPr>
            <w:tcW w:w="2660" w:type="dxa"/>
            <w:vAlign w:val="bottom"/>
          </w:tcPr>
          <w:p>
            <w:pPr>
              <w:spacing w:after="0"/>
              <w:rPr>
                <w:sz w:val="20"/>
                <w:szCs w:val="20"/>
                <w:color w:val="auto"/>
              </w:rPr>
            </w:pPr>
            <w:r>
              <w:rPr>
                <w:rFonts w:ascii="Arial" w:cs="Arial" w:eastAsia="Arial" w:hAnsi="Arial"/>
                <w:sz w:val="14"/>
                <w:szCs w:val="14"/>
                <w:color w:val="auto"/>
              </w:rPr>
              <w:t>Government-required payouts</w:t>
            </w:r>
            <w:r>
              <w:rPr>
                <w:rFonts w:ascii="Arial" w:cs="Arial" w:eastAsia="Arial" w:hAnsi="Arial"/>
                <w:sz w:val="23"/>
                <w:szCs w:val="23"/>
                <w:color w:val="auto"/>
                <w:vertAlign w:val="superscript"/>
              </w:rPr>
              <w:t>(1)</w:t>
            </w:r>
          </w:p>
        </w:tc>
        <w:tc>
          <w:tcPr>
            <w:tcW w:w="1520" w:type="dxa"/>
            <w:vAlign w:val="bottom"/>
          </w:tcPr>
          <w:p>
            <w:pPr>
              <w:jc w:val="center"/>
              <w:spacing w:after="0"/>
              <w:rPr>
                <w:sz w:val="20"/>
                <w:szCs w:val="20"/>
                <w:color w:val="auto"/>
              </w:rPr>
            </w:pPr>
            <w:r>
              <w:rPr>
                <w:rFonts w:ascii="Arial" w:cs="Arial" w:eastAsia="Arial" w:hAnsi="Arial"/>
                <w:sz w:val="14"/>
                <w:szCs w:val="14"/>
                <w:color w:val="auto"/>
              </w:rPr>
              <w:t>79,751</w:t>
            </w:r>
          </w:p>
        </w:tc>
        <w:tc>
          <w:tcPr>
            <w:tcW w:w="1940" w:type="dxa"/>
            <w:vAlign w:val="bottom"/>
          </w:tcPr>
          <w:p>
            <w:pPr>
              <w:jc w:val="right"/>
              <w:ind w:right="628"/>
              <w:spacing w:after="0"/>
              <w:rPr>
                <w:sz w:val="20"/>
                <w:szCs w:val="20"/>
                <w:color w:val="auto"/>
              </w:rPr>
            </w:pPr>
            <w:r>
              <w:rPr>
                <w:rFonts w:ascii="Arial" w:cs="Arial" w:eastAsia="Arial" w:hAnsi="Arial"/>
                <w:sz w:val="14"/>
                <w:szCs w:val="14"/>
                <w:color w:val="auto"/>
              </w:rPr>
              <w:t>79,751</w:t>
            </w:r>
          </w:p>
        </w:tc>
        <w:tc>
          <w:tcPr>
            <w:tcW w:w="1280" w:type="dxa"/>
            <w:vAlign w:val="bottom"/>
          </w:tcPr>
          <w:p>
            <w:pPr>
              <w:jc w:val="center"/>
              <w:ind w:left="148"/>
              <w:spacing w:after="0"/>
              <w:rPr>
                <w:sz w:val="20"/>
                <w:szCs w:val="20"/>
                <w:color w:val="auto"/>
              </w:rPr>
            </w:pPr>
            <w:r>
              <w:rPr>
                <w:rFonts w:ascii="Arial" w:cs="Arial" w:eastAsia="Arial" w:hAnsi="Arial"/>
                <w:sz w:val="14"/>
                <w:szCs w:val="14"/>
                <w:color w:val="auto"/>
                <w:w w:val="99"/>
              </w:rPr>
              <w:t>—</w:t>
            </w:r>
          </w:p>
        </w:tc>
        <w:tc>
          <w:tcPr>
            <w:tcW w:w="4020" w:type="dxa"/>
            <w:vAlign w:val="bottom"/>
          </w:tcPr>
          <w:p>
            <w:pPr>
              <w:jc w:val="right"/>
              <w:ind w:right="1548"/>
              <w:spacing w:after="0"/>
              <w:rPr>
                <w:sz w:val="20"/>
                <w:szCs w:val="20"/>
                <w:color w:val="auto"/>
              </w:rPr>
            </w:pPr>
            <w:r>
              <w:rPr>
                <w:rFonts w:ascii="Arial" w:cs="Arial" w:eastAsia="Arial" w:hAnsi="Arial"/>
                <w:sz w:val="14"/>
                <w:szCs w:val="14"/>
                <w:color w:val="auto"/>
              </w:rPr>
              <w:t>79,751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-520700</wp:posOffset>
            </wp:positionV>
            <wp:extent cx="71266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14490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6"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27"/>
          <w:szCs w:val="27"/>
          <w:color w:val="auto"/>
          <w:vertAlign w:val="superscript"/>
        </w:rPr>
      </w:pPr>
      <w:r>
        <w:rPr>
          <w:rFonts w:ascii="Arial" w:cs="Arial" w:eastAsia="Arial" w:hAnsi="Arial"/>
          <w:sz w:val="16"/>
          <w:szCs w:val="16"/>
          <w:color w:val="auto"/>
        </w:rPr>
        <w:t>Represents distributions under the Gratuity Plan, which is due to Mr. Bagai because he has earned over five years of credited service.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Rembert de Villa</w:t>
      </w:r>
    </w:p>
    <w:p>
      <w:pPr>
        <w:spacing w:after="0" w:line="220"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Either Mr. de Villa or we may terminate Mr. de Villa’s employment at any time. If we terminate Mr. de Villa’s employment without “cause,” Mr. de Villa will receive a cash severance payment equal to three months of base salary, payable in accordance with our regular payroll practices. If Mr. de Villa is terminated by us without “cause” at any time following a “change in control” (as defined in the 2006 Plan) or in specific contemplation of a change in control, or if Mr. de Villa resigns for “good reason” after six months following a change in control, Mr. de Villa will receive (a) a one-time lump sum severance payment equal to three months of his then-current base salary and (b) beginning on the three-month anniversary of his termination, payment of his then-current base salary for nine months through our regular payroll practices. Beginning three months after his termination, Mr. de Villa is required to actively seek comparable employment, and upon subsequent employment, we will reduce his continued salary payments by any base salary Mr. de Villa receives from another employer during such severance period.</w:t>
      </w:r>
    </w:p>
    <w:p>
      <w:pPr>
        <w:spacing w:after="0" w:line="194"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Mr. de Villa’s outstanding equity awards will vest in the same manner as described for Mr. Chhibbar’s outstanding equity awards on page 54.</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58" w:name="page59"/>
    <w:bookmarkEnd w:id="58"/>
    <w:p>
      <w:pPr>
        <w:ind w:firstLine="648"/>
        <w:spacing w:after="0"/>
        <w:rPr>
          <w:sz w:val="20"/>
          <w:szCs w:val="20"/>
          <w:color w:val="auto"/>
        </w:rPr>
      </w:pPr>
      <w:r>
        <w:rPr>
          <w:rFonts w:ascii="Arial" w:cs="Arial" w:eastAsia="Arial" w:hAnsi="Arial"/>
          <w:sz w:val="18"/>
          <w:szCs w:val="18"/>
          <w:color w:val="auto"/>
        </w:rPr>
        <w:t>Mr. de Villa’s severance payments and termination-related equity acceleration are subject to his execution of a release of claims against us. Mr. de Villa is subject to confidentiality restrictions at all times, as well as noncompetition and nonsolicitation restrictions for one year following termination of his employment.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Indicative Payouts for Rembert de Villa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shd w:val="clear" w:color="auto" w:fill="508BC7"/>
          </w:tcPr>
          <w:p>
            <w:pPr>
              <w:spacing w:after="0"/>
              <w:rPr>
                <w:sz w:val="14"/>
                <w:szCs w:val="14"/>
                <w:color w:val="auto"/>
              </w:rPr>
            </w:pPr>
          </w:p>
        </w:tc>
        <w:tc>
          <w:tcPr>
            <w:tcW w:w="2440" w:type="dxa"/>
            <w:vAlign w:val="bottom"/>
            <w:shd w:val="clear" w:color="auto" w:fill="508BC7"/>
          </w:tcPr>
          <w:p>
            <w:pPr>
              <w:spacing w:after="0"/>
              <w:rPr>
                <w:sz w:val="14"/>
                <w:szCs w:val="14"/>
                <w:color w:val="auto"/>
              </w:rPr>
            </w:pPr>
          </w:p>
        </w:tc>
        <w:tc>
          <w:tcPr>
            <w:tcW w:w="1680" w:type="dxa"/>
            <w:vAlign w:val="bottom"/>
            <w:shd w:val="clear" w:color="auto" w:fill="508BC7"/>
          </w:tcPr>
          <w:p>
            <w:pPr>
              <w:spacing w:after="0"/>
              <w:rPr>
                <w:sz w:val="14"/>
                <w:szCs w:val="14"/>
                <w:color w:val="auto"/>
              </w:rPr>
            </w:pPr>
          </w:p>
        </w:tc>
        <w:tc>
          <w:tcPr>
            <w:tcW w:w="4180" w:type="dxa"/>
            <w:vAlign w:val="bottom"/>
            <w:shd w:val="clear" w:color="auto" w:fill="508BC7"/>
          </w:tcPr>
          <w:p>
            <w:pPr>
              <w:jc w:val="center"/>
              <w:ind w:left="188"/>
              <w:spacing w:after="0"/>
              <w:rPr>
                <w:sz w:val="20"/>
                <w:szCs w:val="20"/>
                <w:color w:val="auto"/>
              </w:rPr>
            </w:pPr>
            <w:r>
              <w:rPr>
                <w:rFonts w:ascii="Arial" w:cs="Arial" w:eastAsia="Arial" w:hAnsi="Arial"/>
                <w:sz w:val="14"/>
                <w:szCs w:val="14"/>
                <w:b w:val="1"/>
                <w:bCs w:val="1"/>
                <w:color w:val="FFFFFF"/>
              </w:rPr>
              <w:t>Termination Without Cause or for Good Reason</w:t>
            </w:r>
          </w:p>
        </w:tc>
      </w:tr>
      <w:tr>
        <w:trPr>
          <w:trHeight w:val="162"/>
        </w:trPr>
        <w:tc>
          <w:tcPr>
            <w:tcW w:w="3120" w:type="dxa"/>
            <w:vAlign w:val="bottom"/>
            <w:shd w:val="clear" w:color="auto" w:fill="508BC7"/>
          </w:tcPr>
          <w:p>
            <w:pPr>
              <w:spacing w:after="0"/>
              <w:rPr>
                <w:sz w:val="14"/>
                <w:szCs w:val="14"/>
                <w:color w:val="auto"/>
              </w:rPr>
            </w:pPr>
          </w:p>
        </w:tc>
        <w:tc>
          <w:tcPr>
            <w:tcW w:w="2440" w:type="dxa"/>
            <w:vAlign w:val="bottom"/>
            <w:shd w:val="clear" w:color="auto" w:fill="508BC7"/>
          </w:tcPr>
          <w:p>
            <w:pPr>
              <w:jc w:val="center"/>
              <w:ind w:left="148"/>
              <w:spacing w:after="0"/>
              <w:rPr>
                <w:sz w:val="20"/>
                <w:szCs w:val="20"/>
                <w:color w:val="auto"/>
              </w:rPr>
            </w:pPr>
            <w:r>
              <w:rPr>
                <w:rFonts w:ascii="Arial" w:cs="Arial" w:eastAsia="Arial" w:hAnsi="Arial"/>
                <w:sz w:val="14"/>
                <w:szCs w:val="14"/>
                <w:b w:val="1"/>
                <w:bCs w:val="1"/>
                <w:color w:val="FFFFFF"/>
              </w:rPr>
              <w:t>Termination</w:t>
            </w:r>
          </w:p>
        </w:tc>
        <w:tc>
          <w:tcPr>
            <w:tcW w:w="1680" w:type="dxa"/>
            <w:vAlign w:val="bottom"/>
            <w:shd w:val="clear" w:color="auto" w:fill="508BC7"/>
          </w:tcPr>
          <w:p>
            <w:pPr>
              <w:jc w:val="center"/>
              <w:ind w:left="108"/>
              <w:spacing w:after="0"/>
              <w:rPr>
                <w:sz w:val="20"/>
                <w:szCs w:val="20"/>
                <w:color w:val="auto"/>
              </w:rPr>
            </w:pPr>
            <w:r>
              <w:rPr>
                <w:rFonts w:ascii="Arial" w:cs="Arial" w:eastAsia="Arial" w:hAnsi="Arial"/>
                <w:sz w:val="14"/>
                <w:szCs w:val="14"/>
                <w:b w:val="1"/>
                <w:bCs w:val="1"/>
                <w:color w:val="FFFFFF"/>
              </w:rPr>
              <w:t>Change in</w:t>
            </w:r>
          </w:p>
        </w:tc>
        <w:tc>
          <w:tcPr>
            <w:tcW w:w="4180" w:type="dxa"/>
            <w:vAlign w:val="bottom"/>
            <w:shd w:val="clear" w:color="auto" w:fill="508BC7"/>
          </w:tcPr>
          <w:p>
            <w:pPr>
              <w:jc w:val="center"/>
              <w:ind w:left="188"/>
              <w:spacing w:after="0"/>
              <w:rPr>
                <w:sz w:val="20"/>
                <w:szCs w:val="20"/>
                <w:color w:val="auto"/>
              </w:rPr>
            </w:pPr>
            <w:r>
              <w:rPr>
                <w:rFonts w:ascii="Arial" w:cs="Arial" w:eastAsia="Arial" w:hAnsi="Arial"/>
                <w:sz w:val="14"/>
                <w:szCs w:val="14"/>
                <w:b w:val="1"/>
                <w:bCs w:val="1"/>
                <w:color w:val="FFFFFF"/>
              </w:rPr>
              <w:t>Following Change in Control or Termination Without</w:t>
            </w:r>
          </w:p>
        </w:tc>
      </w:tr>
      <w:tr>
        <w:trPr>
          <w:trHeight w:val="162"/>
        </w:trPr>
        <w:tc>
          <w:tcPr>
            <w:tcW w:w="3120" w:type="dxa"/>
            <w:vAlign w:val="bottom"/>
            <w:shd w:val="clear" w:color="auto" w:fill="508BC7"/>
          </w:tcPr>
          <w:p>
            <w:pPr>
              <w:jc w:val="center"/>
              <w:ind w:left="245"/>
              <w:spacing w:after="0"/>
              <w:rPr>
                <w:sz w:val="20"/>
                <w:szCs w:val="20"/>
                <w:color w:val="auto"/>
              </w:rPr>
            </w:pPr>
            <w:r>
              <w:rPr>
                <w:rFonts w:ascii="Arial" w:cs="Arial" w:eastAsia="Arial" w:hAnsi="Arial"/>
                <w:sz w:val="14"/>
                <w:szCs w:val="14"/>
                <w:b w:val="1"/>
                <w:bCs w:val="1"/>
                <w:color w:val="FFFFFF"/>
              </w:rPr>
              <w:t>Payments upon</w:t>
            </w:r>
          </w:p>
        </w:tc>
        <w:tc>
          <w:tcPr>
            <w:tcW w:w="2440" w:type="dxa"/>
            <w:vAlign w:val="bottom"/>
            <w:shd w:val="clear" w:color="auto" w:fill="508BC7"/>
          </w:tcPr>
          <w:p>
            <w:pPr>
              <w:jc w:val="center"/>
              <w:ind w:left="168"/>
              <w:spacing w:after="0"/>
              <w:rPr>
                <w:sz w:val="20"/>
                <w:szCs w:val="20"/>
                <w:color w:val="auto"/>
              </w:rPr>
            </w:pPr>
            <w:r>
              <w:rPr>
                <w:rFonts w:ascii="Arial" w:cs="Arial" w:eastAsia="Arial" w:hAnsi="Arial"/>
                <w:sz w:val="14"/>
                <w:szCs w:val="14"/>
                <w:b w:val="1"/>
                <w:bCs w:val="1"/>
                <w:color w:val="FFFFFF"/>
              </w:rPr>
              <w:t>Without Cause</w:t>
            </w:r>
          </w:p>
        </w:tc>
        <w:tc>
          <w:tcPr>
            <w:tcW w:w="1680" w:type="dxa"/>
            <w:vAlign w:val="bottom"/>
            <w:shd w:val="clear" w:color="auto" w:fill="508BC7"/>
          </w:tcPr>
          <w:p>
            <w:pPr>
              <w:jc w:val="center"/>
              <w:ind w:left="168"/>
              <w:spacing w:after="0"/>
              <w:rPr>
                <w:sz w:val="20"/>
                <w:szCs w:val="20"/>
                <w:color w:val="auto"/>
              </w:rPr>
            </w:pPr>
            <w:r>
              <w:rPr>
                <w:rFonts w:ascii="Arial" w:cs="Arial" w:eastAsia="Arial" w:hAnsi="Arial"/>
                <w:sz w:val="14"/>
                <w:szCs w:val="14"/>
                <w:b w:val="1"/>
                <w:bCs w:val="1"/>
                <w:color w:val="FFFFFF"/>
              </w:rPr>
              <w:t>Control</w:t>
            </w:r>
          </w:p>
        </w:tc>
        <w:tc>
          <w:tcPr>
            <w:tcW w:w="4180" w:type="dxa"/>
            <w:vAlign w:val="bottom"/>
            <w:shd w:val="clear" w:color="auto" w:fill="508BC7"/>
          </w:tcPr>
          <w:p>
            <w:pPr>
              <w:jc w:val="center"/>
              <w:ind w:left="248"/>
              <w:spacing w:after="0"/>
              <w:rPr>
                <w:sz w:val="20"/>
                <w:szCs w:val="20"/>
                <w:color w:val="auto"/>
              </w:rPr>
            </w:pPr>
            <w:r>
              <w:rPr>
                <w:rFonts w:ascii="Arial" w:cs="Arial" w:eastAsia="Arial" w:hAnsi="Arial"/>
                <w:sz w:val="14"/>
                <w:szCs w:val="14"/>
                <w:b w:val="1"/>
                <w:bCs w:val="1"/>
                <w:color w:val="FFFFFF"/>
              </w:rPr>
              <w:t>Cause in Specific Contemplation of Change in Control</w:t>
            </w:r>
          </w:p>
        </w:tc>
      </w:tr>
      <w:tr>
        <w:trPr>
          <w:trHeight w:val="202"/>
        </w:trPr>
        <w:tc>
          <w:tcPr>
            <w:tcW w:w="3120" w:type="dxa"/>
            <w:vAlign w:val="bottom"/>
            <w:shd w:val="clear" w:color="auto" w:fill="508BC7"/>
          </w:tcPr>
          <w:p>
            <w:pPr>
              <w:jc w:val="center"/>
              <w:ind w:left="245"/>
              <w:spacing w:after="0"/>
              <w:rPr>
                <w:sz w:val="20"/>
                <w:szCs w:val="20"/>
                <w:color w:val="auto"/>
              </w:rPr>
            </w:pPr>
            <w:r>
              <w:rPr>
                <w:rFonts w:ascii="Arial" w:cs="Arial" w:eastAsia="Arial" w:hAnsi="Arial"/>
                <w:sz w:val="14"/>
                <w:szCs w:val="14"/>
                <w:b w:val="1"/>
                <w:bCs w:val="1"/>
                <w:color w:val="FFFFFF"/>
                <w:w w:val="99"/>
              </w:rPr>
              <w:t>Termination</w:t>
            </w:r>
          </w:p>
        </w:tc>
        <w:tc>
          <w:tcPr>
            <w:tcW w:w="2440" w:type="dxa"/>
            <w:vAlign w:val="bottom"/>
            <w:shd w:val="clear" w:color="auto" w:fill="508BC7"/>
          </w:tcPr>
          <w:p>
            <w:pPr>
              <w:jc w:val="center"/>
              <w:ind w:left="188"/>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508BC7"/>
          </w:tcPr>
          <w:p>
            <w:pPr>
              <w:jc w:val="center"/>
              <w:ind w:left="148"/>
              <w:spacing w:after="0"/>
              <w:rPr>
                <w:sz w:val="20"/>
                <w:szCs w:val="20"/>
                <w:color w:val="auto"/>
              </w:rPr>
            </w:pPr>
            <w:r>
              <w:rPr>
                <w:rFonts w:ascii="Arial" w:cs="Arial" w:eastAsia="Arial" w:hAnsi="Arial"/>
                <w:sz w:val="14"/>
                <w:szCs w:val="14"/>
                <w:b w:val="1"/>
                <w:bCs w:val="1"/>
                <w:color w:val="FFFFFF"/>
              </w:rPr>
              <w:t>($)</w:t>
            </w:r>
          </w:p>
        </w:tc>
        <w:tc>
          <w:tcPr>
            <w:tcW w:w="4180" w:type="dxa"/>
            <w:vAlign w:val="bottom"/>
            <w:shd w:val="clear" w:color="auto" w:fill="508BC7"/>
          </w:tcPr>
          <w:p>
            <w:pPr>
              <w:jc w:val="center"/>
              <w:ind w:left="228"/>
              <w:spacing w:after="0"/>
              <w:rPr>
                <w:sz w:val="20"/>
                <w:szCs w:val="20"/>
                <w:color w:val="auto"/>
              </w:rPr>
            </w:pPr>
            <w:r>
              <w:rPr>
                <w:rFonts w:ascii="Arial" w:cs="Arial" w:eastAsia="Arial" w:hAnsi="Arial"/>
                <w:sz w:val="14"/>
                <w:szCs w:val="14"/>
                <w:b w:val="1"/>
                <w:bCs w:val="1"/>
                <w:color w:val="FFFFFF"/>
                <w:w w:val="93"/>
              </w:rPr>
              <w:t>($)</w:t>
            </w:r>
          </w:p>
        </w:tc>
      </w:tr>
      <w:tr>
        <w:trPr>
          <w:trHeight w:val="162"/>
        </w:trPr>
        <w:tc>
          <w:tcPr>
            <w:tcW w:w="3120" w:type="dxa"/>
            <w:vAlign w:val="bottom"/>
            <w:shd w:val="clear" w:color="auto" w:fill="D0E0F0"/>
          </w:tcPr>
          <w:p>
            <w:pPr>
              <w:ind w:left="100"/>
              <w:spacing w:after="0"/>
              <w:rPr>
                <w:sz w:val="20"/>
                <w:szCs w:val="20"/>
                <w:color w:val="auto"/>
              </w:rPr>
            </w:pPr>
            <w:r>
              <w:rPr>
                <w:rFonts w:ascii="Arial" w:cs="Arial" w:eastAsia="Arial" w:hAnsi="Arial"/>
                <w:sz w:val="14"/>
                <w:szCs w:val="14"/>
                <w:color w:val="auto"/>
              </w:rPr>
              <w:t>Base salary payout</w:t>
            </w:r>
          </w:p>
        </w:tc>
        <w:tc>
          <w:tcPr>
            <w:tcW w:w="2440" w:type="dxa"/>
            <w:vAlign w:val="bottom"/>
            <w:shd w:val="clear" w:color="auto" w:fill="D0E0F0"/>
          </w:tcPr>
          <w:p>
            <w:pPr>
              <w:jc w:val="center"/>
              <w:ind w:left="168"/>
              <w:spacing w:after="0"/>
              <w:rPr>
                <w:sz w:val="20"/>
                <w:szCs w:val="20"/>
                <w:color w:val="auto"/>
              </w:rPr>
            </w:pPr>
            <w:r>
              <w:rPr>
                <w:rFonts w:ascii="Arial" w:cs="Arial" w:eastAsia="Arial" w:hAnsi="Arial"/>
                <w:sz w:val="14"/>
                <w:szCs w:val="14"/>
                <w:color w:val="auto"/>
              </w:rPr>
              <w:t>102,500</w:t>
            </w:r>
          </w:p>
        </w:tc>
        <w:tc>
          <w:tcPr>
            <w:tcW w:w="1680" w:type="dxa"/>
            <w:vAlign w:val="bottom"/>
            <w:shd w:val="clear" w:color="auto" w:fill="D0E0F0"/>
          </w:tcPr>
          <w:p>
            <w:pPr>
              <w:jc w:val="center"/>
              <w:ind w:left="148"/>
              <w:spacing w:after="0"/>
              <w:rPr>
                <w:sz w:val="20"/>
                <w:szCs w:val="20"/>
                <w:color w:val="auto"/>
              </w:rPr>
            </w:pPr>
            <w:r>
              <w:rPr>
                <w:rFonts w:ascii="Arial" w:cs="Arial" w:eastAsia="Arial" w:hAnsi="Arial"/>
                <w:sz w:val="14"/>
                <w:szCs w:val="14"/>
                <w:color w:val="auto"/>
                <w:w w:val="99"/>
              </w:rPr>
              <w:t>—</w:t>
            </w:r>
          </w:p>
        </w:tc>
        <w:tc>
          <w:tcPr>
            <w:tcW w:w="4180" w:type="dxa"/>
            <w:vAlign w:val="bottom"/>
            <w:shd w:val="clear" w:color="auto" w:fill="D0E0F0"/>
          </w:tcPr>
          <w:p>
            <w:pPr>
              <w:jc w:val="center"/>
              <w:ind w:left="228"/>
              <w:spacing w:after="0"/>
              <w:rPr>
                <w:sz w:val="20"/>
                <w:szCs w:val="20"/>
                <w:color w:val="auto"/>
              </w:rPr>
            </w:pPr>
            <w:r>
              <w:rPr>
                <w:rFonts w:ascii="Arial" w:cs="Arial" w:eastAsia="Arial" w:hAnsi="Arial"/>
                <w:sz w:val="14"/>
                <w:szCs w:val="14"/>
                <w:color w:val="auto"/>
              </w:rPr>
              <w:t>410,000</w:t>
            </w:r>
          </w:p>
        </w:tc>
      </w:tr>
      <w:tr>
        <w:trPr>
          <w:trHeight w:val="162"/>
        </w:trPr>
        <w:tc>
          <w:tcPr>
            <w:tcW w:w="3120" w:type="dxa"/>
            <w:vAlign w:val="bottom"/>
          </w:tcPr>
          <w:p>
            <w:pPr>
              <w:ind w:left="100"/>
              <w:spacing w:after="0"/>
              <w:rPr>
                <w:sz w:val="20"/>
                <w:szCs w:val="20"/>
                <w:color w:val="auto"/>
              </w:rPr>
            </w:pPr>
            <w:r>
              <w:rPr>
                <w:rFonts w:ascii="Arial" w:cs="Arial" w:eastAsia="Arial" w:hAnsi="Arial"/>
                <w:sz w:val="14"/>
                <w:szCs w:val="14"/>
                <w:color w:val="auto"/>
              </w:rPr>
              <w:t>Restricted stock units</w:t>
            </w:r>
          </w:p>
        </w:tc>
        <w:tc>
          <w:tcPr>
            <w:tcW w:w="244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c>
          <w:tcPr>
            <w:tcW w:w="1680" w:type="dxa"/>
            <w:vAlign w:val="bottom"/>
          </w:tcPr>
          <w:p>
            <w:pPr>
              <w:jc w:val="center"/>
              <w:ind w:left="168"/>
              <w:spacing w:after="0"/>
              <w:rPr>
                <w:sz w:val="20"/>
                <w:szCs w:val="20"/>
                <w:color w:val="auto"/>
              </w:rPr>
            </w:pPr>
            <w:r>
              <w:rPr>
                <w:rFonts w:ascii="Arial" w:cs="Arial" w:eastAsia="Arial" w:hAnsi="Arial"/>
                <w:sz w:val="14"/>
                <w:szCs w:val="14"/>
                <w:color w:val="auto"/>
              </w:rPr>
              <w:t>430,455</w:t>
            </w:r>
          </w:p>
        </w:tc>
        <w:tc>
          <w:tcPr>
            <w:tcW w:w="4180" w:type="dxa"/>
            <w:vAlign w:val="bottom"/>
          </w:tcPr>
          <w:p>
            <w:pPr>
              <w:jc w:val="center"/>
              <w:ind w:left="228"/>
              <w:spacing w:after="0"/>
              <w:rPr>
                <w:sz w:val="20"/>
                <w:szCs w:val="20"/>
                <w:color w:val="auto"/>
              </w:rPr>
            </w:pPr>
            <w:r>
              <w:rPr>
                <w:rFonts w:ascii="Arial" w:cs="Arial" w:eastAsia="Arial" w:hAnsi="Arial"/>
                <w:sz w:val="14"/>
                <w:szCs w:val="14"/>
                <w:color w:val="auto"/>
              </w:rPr>
              <w:t>970,163</w:t>
            </w:r>
          </w:p>
        </w:tc>
      </w:tr>
      <w:tr>
        <w:trPr>
          <w:trHeight w:val="162"/>
        </w:trPr>
        <w:tc>
          <w:tcPr>
            <w:tcW w:w="3120" w:type="dxa"/>
            <w:vAlign w:val="bottom"/>
            <w:shd w:val="clear" w:color="auto" w:fill="D0E0F0"/>
          </w:tcPr>
          <w:p>
            <w:pPr>
              <w:ind w:left="100"/>
              <w:spacing w:after="0"/>
              <w:rPr>
                <w:sz w:val="20"/>
                <w:szCs w:val="20"/>
                <w:color w:val="auto"/>
              </w:rPr>
            </w:pPr>
            <w:r>
              <w:rPr>
                <w:rFonts w:ascii="Arial" w:cs="Arial" w:eastAsia="Arial" w:hAnsi="Arial"/>
                <w:sz w:val="14"/>
                <w:szCs w:val="14"/>
                <w:color w:val="auto"/>
              </w:rPr>
              <w:t>Performance restricted stock units</w:t>
            </w:r>
          </w:p>
        </w:tc>
        <w:tc>
          <w:tcPr>
            <w:tcW w:w="2440" w:type="dxa"/>
            <w:vAlign w:val="bottom"/>
            <w:shd w:val="clear" w:color="auto" w:fill="D0E0F0"/>
          </w:tcPr>
          <w:p>
            <w:pPr>
              <w:jc w:val="center"/>
              <w:ind w:left="188"/>
              <w:spacing w:after="0"/>
              <w:rPr>
                <w:sz w:val="20"/>
                <w:szCs w:val="20"/>
                <w:color w:val="auto"/>
              </w:rPr>
            </w:pPr>
            <w:r>
              <w:rPr>
                <w:rFonts w:ascii="Arial" w:cs="Arial" w:eastAsia="Arial" w:hAnsi="Arial"/>
                <w:sz w:val="14"/>
                <w:szCs w:val="14"/>
                <w:color w:val="auto"/>
                <w:w w:val="99"/>
              </w:rPr>
              <w:t>—</w:t>
            </w:r>
          </w:p>
        </w:tc>
        <w:tc>
          <w:tcPr>
            <w:tcW w:w="1680" w:type="dxa"/>
            <w:vAlign w:val="bottom"/>
            <w:shd w:val="clear" w:color="auto" w:fill="D0E0F0"/>
          </w:tcPr>
          <w:p>
            <w:pPr>
              <w:jc w:val="center"/>
              <w:ind w:left="168"/>
              <w:spacing w:after="0"/>
              <w:rPr>
                <w:sz w:val="20"/>
                <w:szCs w:val="20"/>
                <w:color w:val="auto"/>
              </w:rPr>
            </w:pPr>
            <w:r>
              <w:rPr>
                <w:rFonts w:ascii="Arial" w:cs="Arial" w:eastAsia="Arial" w:hAnsi="Arial"/>
                <w:sz w:val="14"/>
                <w:szCs w:val="14"/>
                <w:color w:val="auto"/>
              </w:rPr>
              <w:t>655,720</w:t>
            </w:r>
          </w:p>
        </w:tc>
        <w:tc>
          <w:tcPr>
            <w:tcW w:w="4180" w:type="dxa"/>
            <w:vAlign w:val="bottom"/>
            <w:shd w:val="clear" w:color="auto" w:fill="D0E0F0"/>
          </w:tcPr>
          <w:p>
            <w:pPr>
              <w:jc w:val="center"/>
              <w:ind w:left="228"/>
              <w:spacing w:after="0"/>
              <w:rPr>
                <w:sz w:val="20"/>
                <w:szCs w:val="20"/>
                <w:color w:val="auto"/>
              </w:rPr>
            </w:pPr>
            <w:r>
              <w:rPr>
                <w:rFonts w:ascii="Arial" w:cs="Arial" w:eastAsia="Arial" w:hAnsi="Arial"/>
                <w:sz w:val="14"/>
                <w:szCs w:val="14"/>
                <w:color w:val="auto"/>
              </w:rPr>
              <w:t>756,600</w:t>
            </w:r>
          </w:p>
        </w:tc>
      </w:tr>
      <w:tr>
        <w:trPr>
          <w:trHeight w:val="419"/>
        </w:trPr>
        <w:tc>
          <w:tcPr>
            <w:tcW w:w="312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Nalin Miglani</w:t>
            </w:r>
          </w:p>
        </w:tc>
        <w:tc>
          <w:tcPr>
            <w:tcW w:w="2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-591185</wp:posOffset>
            </wp:positionV>
            <wp:extent cx="71951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168"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Either Mr. Miglani or we may terminate Mr. Miglani’s employment at any time (though we must give Mr. Miglani 30 days’ notice if the termination is without “cause” and Mr. Miglani must give us 90 days’ advance notice upon any resignation). If Mr. Miglani’s employment with the Company is terminated by the Company without “cause” (other than due to death or disability) or by Mr. Miglani for “good reason” (both “cause” and “good reason” as defined above), Mr. Miglani will receive a cash severance payment equal to 12 months base salary, with 25% payable as a lump sum payment and the remaining 75% payable in accordance with the Company’s regular payroll practices.</w:t>
      </w:r>
    </w:p>
    <w:p>
      <w:pPr>
        <w:spacing w:after="0" w:line="189"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Mr. Miglani’s outstanding equity awards will vest in the same manner as described for Mr. Chhibbar’s outstanding equity awards on page 54.</w:t>
      </w:r>
    </w:p>
    <w:p>
      <w:pPr>
        <w:spacing w:after="0" w:line="183" w:lineRule="exact"/>
        <w:rPr>
          <w:sz w:val="20"/>
          <w:szCs w:val="20"/>
          <w:color w:val="auto"/>
        </w:rPr>
      </w:pPr>
    </w:p>
    <w:p>
      <w:pPr>
        <w:ind w:right="360" w:firstLine="648"/>
        <w:spacing w:after="0"/>
        <w:rPr>
          <w:sz w:val="20"/>
          <w:szCs w:val="20"/>
          <w:color w:val="auto"/>
        </w:rPr>
      </w:pPr>
      <w:r>
        <w:rPr>
          <w:rFonts w:ascii="Arial" w:cs="Arial" w:eastAsia="Arial" w:hAnsi="Arial"/>
          <w:sz w:val="18"/>
          <w:szCs w:val="18"/>
          <w:color w:val="auto"/>
        </w:rPr>
        <w:t>Mr. Miglani’s severance payments and termination-related equity acceleration are subject to his execution of a release of claims against us. Mr. Miglani is subject to confidentiality restrictions at all times, as well as noncompetition, nondisparagement and nonsolicitation restrictions during his employment and for one year thereafter.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Indicative Payouts for Nalin Miglani</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shd w:val="clear" w:color="auto" w:fill="508BC7"/>
          </w:tcPr>
          <w:p>
            <w:pPr>
              <w:spacing w:after="0"/>
              <w:rPr>
                <w:sz w:val="14"/>
                <w:szCs w:val="14"/>
                <w:color w:val="auto"/>
              </w:rPr>
            </w:pPr>
          </w:p>
        </w:tc>
        <w:tc>
          <w:tcPr>
            <w:tcW w:w="2480" w:type="dxa"/>
            <w:vAlign w:val="bottom"/>
            <w:shd w:val="clear" w:color="auto" w:fill="508BC7"/>
          </w:tcPr>
          <w:p>
            <w:pPr>
              <w:jc w:val="center"/>
              <w:ind w:left="128"/>
              <w:spacing w:after="0"/>
              <w:rPr>
                <w:sz w:val="20"/>
                <w:szCs w:val="20"/>
                <w:color w:val="auto"/>
              </w:rPr>
            </w:pPr>
            <w:r>
              <w:rPr>
                <w:rFonts w:ascii="Arial" w:cs="Arial" w:eastAsia="Arial" w:hAnsi="Arial"/>
                <w:sz w:val="14"/>
                <w:szCs w:val="14"/>
                <w:b w:val="1"/>
                <w:bCs w:val="1"/>
                <w:color w:val="FFFFFF"/>
              </w:rPr>
              <w:t>Termination for</w:t>
            </w:r>
          </w:p>
        </w:tc>
        <w:tc>
          <w:tcPr>
            <w:tcW w:w="1660" w:type="dxa"/>
            <w:vAlign w:val="bottom"/>
            <w:shd w:val="clear" w:color="auto" w:fill="508BC7"/>
          </w:tcPr>
          <w:p>
            <w:pPr>
              <w:spacing w:after="0"/>
              <w:rPr>
                <w:sz w:val="14"/>
                <w:szCs w:val="14"/>
                <w:color w:val="auto"/>
              </w:rPr>
            </w:pPr>
          </w:p>
        </w:tc>
        <w:tc>
          <w:tcPr>
            <w:tcW w:w="4180" w:type="dxa"/>
            <w:vAlign w:val="bottom"/>
            <w:shd w:val="clear" w:color="auto" w:fill="508BC7"/>
          </w:tcPr>
          <w:p>
            <w:pPr>
              <w:jc w:val="center"/>
              <w:ind w:left="188"/>
              <w:spacing w:after="0"/>
              <w:rPr>
                <w:sz w:val="20"/>
                <w:szCs w:val="20"/>
                <w:color w:val="auto"/>
              </w:rPr>
            </w:pPr>
            <w:r>
              <w:rPr>
                <w:rFonts w:ascii="Arial" w:cs="Arial" w:eastAsia="Arial" w:hAnsi="Arial"/>
                <w:sz w:val="14"/>
                <w:szCs w:val="14"/>
                <w:b w:val="1"/>
                <w:bCs w:val="1"/>
                <w:color w:val="FFFFFF"/>
              </w:rPr>
              <w:t>Termination Without Cause or for Good Reason</w:t>
            </w:r>
          </w:p>
        </w:tc>
      </w:tr>
      <w:tr>
        <w:trPr>
          <w:trHeight w:val="162"/>
        </w:trPr>
        <w:tc>
          <w:tcPr>
            <w:tcW w:w="3100" w:type="dxa"/>
            <w:vAlign w:val="bottom"/>
            <w:shd w:val="clear" w:color="auto" w:fill="508BC7"/>
          </w:tcPr>
          <w:p>
            <w:pPr>
              <w:spacing w:after="0"/>
              <w:rPr>
                <w:sz w:val="14"/>
                <w:szCs w:val="14"/>
                <w:color w:val="auto"/>
              </w:rPr>
            </w:pPr>
          </w:p>
        </w:tc>
        <w:tc>
          <w:tcPr>
            <w:tcW w:w="2480" w:type="dxa"/>
            <w:vAlign w:val="bottom"/>
            <w:shd w:val="clear" w:color="auto" w:fill="508BC7"/>
          </w:tcPr>
          <w:p>
            <w:pPr>
              <w:jc w:val="center"/>
              <w:ind w:left="128"/>
              <w:spacing w:after="0"/>
              <w:rPr>
                <w:sz w:val="20"/>
                <w:szCs w:val="20"/>
                <w:color w:val="auto"/>
              </w:rPr>
            </w:pPr>
            <w:r>
              <w:rPr>
                <w:rFonts w:ascii="Arial" w:cs="Arial" w:eastAsia="Arial" w:hAnsi="Arial"/>
                <w:sz w:val="14"/>
                <w:szCs w:val="14"/>
                <w:b w:val="1"/>
                <w:bCs w:val="1"/>
                <w:color w:val="FFFFFF"/>
              </w:rPr>
              <w:t>Good Reason or</w:t>
            </w:r>
          </w:p>
        </w:tc>
        <w:tc>
          <w:tcPr>
            <w:tcW w:w="1660" w:type="dxa"/>
            <w:vAlign w:val="bottom"/>
            <w:shd w:val="clear" w:color="auto" w:fill="508BC7"/>
          </w:tcPr>
          <w:p>
            <w:pPr>
              <w:jc w:val="center"/>
              <w:ind w:left="88"/>
              <w:spacing w:after="0"/>
              <w:rPr>
                <w:sz w:val="20"/>
                <w:szCs w:val="20"/>
                <w:color w:val="auto"/>
              </w:rPr>
            </w:pPr>
            <w:r>
              <w:rPr>
                <w:rFonts w:ascii="Arial" w:cs="Arial" w:eastAsia="Arial" w:hAnsi="Arial"/>
                <w:sz w:val="14"/>
                <w:szCs w:val="14"/>
                <w:b w:val="1"/>
                <w:bCs w:val="1"/>
                <w:color w:val="FFFFFF"/>
              </w:rPr>
              <w:t>Change in</w:t>
            </w:r>
          </w:p>
        </w:tc>
        <w:tc>
          <w:tcPr>
            <w:tcW w:w="4180" w:type="dxa"/>
            <w:vAlign w:val="bottom"/>
            <w:shd w:val="clear" w:color="auto" w:fill="508BC7"/>
          </w:tcPr>
          <w:p>
            <w:pPr>
              <w:jc w:val="center"/>
              <w:ind w:left="188"/>
              <w:spacing w:after="0"/>
              <w:rPr>
                <w:sz w:val="20"/>
                <w:szCs w:val="20"/>
                <w:color w:val="auto"/>
              </w:rPr>
            </w:pPr>
            <w:r>
              <w:rPr>
                <w:rFonts w:ascii="Arial" w:cs="Arial" w:eastAsia="Arial" w:hAnsi="Arial"/>
                <w:sz w:val="14"/>
                <w:szCs w:val="14"/>
                <w:b w:val="1"/>
                <w:bCs w:val="1"/>
                <w:color w:val="FFFFFF"/>
              </w:rPr>
              <w:t>Following Change in Control or Termination Without</w:t>
            </w:r>
          </w:p>
        </w:tc>
      </w:tr>
      <w:tr>
        <w:trPr>
          <w:trHeight w:val="162"/>
        </w:trPr>
        <w:tc>
          <w:tcPr>
            <w:tcW w:w="3100" w:type="dxa"/>
            <w:vAlign w:val="bottom"/>
            <w:shd w:val="clear" w:color="auto" w:fill="508BC7"/>
          </w:tcPr>
          <w:p>
            <w:pPr>
              <w:jc w:val="center"/>
              <w:ind w:left="263"/>
              <w:spacing w:after="0"/>
              <w:rPr>
                <w:sz w:val="20"/>
                <w:szCs w:val="20"/>
                <w:color w:val="auto"/>
              </w:rPr>
            </w:pPr>
            <w:r>
              <w:rPr>
                <w:rFonts w:ascii="Arial" w:cs="Arial" w:eastAsia="Arial" w:hAnsi="Arial"/>
                <w:sz w:val="14"/>
                <w:szCs w:val="14"/>
                <w:b w:val="1"/>
                <w:bCs w:val="1"/>
                <w:color w:val="FFFFFF"/>
              </w:rPr>
              <w:t>Payments upon</w:t>
            </w:r>
          </w:p>
        </w:tc>
        <w:tc>
          <w:tcPr>
            <w:tcW w:w="2480" w:type="dxa"/>
            <w:vAlign w:val="bottom"/>
            <w:shd w:val="clear" w:color="auto" w:fill="508BC7"/>
          </w:tcPr>
          <w:p>
            <w:pPr>
              <w:jc w:val="center"/>
              <w:ind w:left="168"/>
              <w:spacing w:after="0"/>
              <w:rPr>
                <w:sz w:val="20"/>
                <w:szCs w:val="20"/>
                <w:color w:val="auto"/>
              </w:rPr>
            </w:pPr>
            <w:r>
              <w:rPr>
                <w:rFonts w:ascii="Arial" w:cs="Arial" w:eastAsia="Arial" w:hAnsi="Arial"/>
                <w:sz w:val="14"/>
                <w:szCs w:val="14"/>
                <w:b w:val="1"/>
                <w:bCs w:val="1"/>
                <w:color w:val="FFFFFF"/>
              </w:rPr>
              <w:t>Without Cause</w:t>
            </w:r>
          </w:p>
        </w:tc>
        <w:tc>
          <w:tcPr>
            <w:tcW w:w="1660" w:type="dxa"/>
            <w:vAlign w:val="bottom"/>
            <w:shd w:val="clear" w:color="auto" w:fill="508BC7"/>
          </w:tcPr>
          <w:p>
            <w:pPr>
              <w:jc w:val="center"/>
              <w:ind w:left="148"/>
              <w:spacing w:after="0"/>
              <w:rPr>
                <w:sz w:val="20"/>
                <w:szCs w:val="20"/>
                <w:color w:val="auto"/>
              </w:rPr>
            </w:pPr>
            <w:r>
              <w:rPr>
                <w:rFonts w:ascii="Arial" w:cs="Arial" w:eastAsia="Arial" w:hAnsi="Arial"/>
                <w:sz w:val="14"/>
                <w:szCs w:val="14"/>
                <w:b w:val="1"/>
                <w:bCs w:val="1"/>
                <w:color w:val="FFFFFF"/>
              </w:rPr>
              <w:t>Control</w:t>
            </w:r>
          </w:p>
        </w:tc>
        <w:tc>
          <w:tcPr>
            <w:tcW w:w="4180" w:type="dxa"/>
            <w:vAlign w:val="bottom"/>
            <w:shd w:val="clear" w:color="auto" w:fill="508BC7"/>
          </w:tcPr>
          <w:p>
            <w:pPr>
              <w:jc w:val="center"/>
              <w:ind w:left="248"/>
              <w:spacing w:after="0"/>
              <w:rPr>
                <w:sz w:val="20"/>
                <w:szCs w:val="20"/>
                <w:color w:val="auto"/>
              </w:rPr>
            </w:pPr>
            <w:r>
              <w:rPr>
                <w:rFonts w:ascii="Arial" w:cs="Arial" w:eastAsia="Arial" w:hAnsi="Arial"/>
                <w:sz w:val="14"/>
                <w:szCs w:val="14"/>
                <w:b w:val="1"/>
                <w:bCs w:val="1"/>
                <w:color w:val="FFFFFF"/>
              </w:rPr>
              <w:t>Cause in Specific Contemplation of Change in Control</w:t>
            </w:r>
          </w:p>
        </w:tc>
      </w:tr>
      <w:tr>
        <w:trPr>
          <w:trHeight w:val="202"/>
        </w:trPr>
        <w:tc>
          <w:tcPr>
            <w:tcW w:w="3100" w:type="dxa"/>
            <w:vAlign w:val="bottom"/>
            <w:shd w:val="clear" w:color="auto" w:fill="508BC7"/>
          </w:tcPr>
          <w:p>
            <w:pPr>
              <w:jc w:val="center"/>
              <w:ind w:left="263"/>
              <w:spacing w:after="0"/>
              <w:rPr>
                <w:sz w:val="20"/>
                <w:szCs w:val="20"/>
                <w:color w:val="auto"/>
              </w:rPr>
            </w:pPr>
            <w:r>
              <w:rPr>
                <w:rFonts w:ascii="Arial" w:cs="Arial" w:eastAsia="Arial" w:hAnsi="Arial"/>
                <w:sz w:val="14"/>
                <w:szCs w:val="14"/>
                <w:b w:val="1"/>
                <w:bCs w:val="1"/>
                <w:color w:val="FFFFFF"/>
                <w:w w:val="99"/>
              </w:rPr>
              <w:t>Termination</w:t>
            </w:r>
          </w:p>
        </w:tc>
        <w:tc>
          <w:tcPr>
            <w:tcW w:w="2480" w:type="dxa"/>
            <w:vAlign w:val="bottom"/>
            <w:shd w:val="clear" w:color="auto" w:fill="508BC7"/>
          </w:tcPr>
          <w:p>
            <w:pPr>
              <w:jc w:val="center"/>
              <w:ind w:left="188"/>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508BC7"/>
          </w:tcPr>
          <w:p>
            <w:pPr>
              <w:jc w:val="center"/>
              <w:ind w:left="128"/>
              <w:spacing w:after="0"/>
              <w:rPr>
                <w:sz w:val="20"/>
                <w:szCs w:val="20"/>
                <w:color w:val="auto"/>
              </w:rPr>
            </w:pPr>
            <w:r>
              <w:rPr>
                <w:rFonts w:ascii="Arial" w:cs="Arial" w:eastAsia="Arial" w:hAnsi="Arial"/>
                <w:sz w:val="14"/>
                <w:szCs w:val="14"/>
                <w:b w:val="1"/>
                <w:bCs w:val="1"/>
                <w:color w:val="FFFFFF"/>
              </w:rPr>
              <w:t>($)</w:t>
            </w:r>
          </w:p>
        </w:tc>
        <w:tc>
          <w:tcPr>
            <w:tcW w:w="4180" w:type="dxa"/>
            <w:vAlign w:val="bottom"/>
            <w:shd w:val="clear" w:color="auto" w:fill="508BC7"/>
          </w:tcPr>
          <w:p>
            <w:pPr>
              <w:jc w:val="center"/>
              <w:ind w:left="228"/>
              <w:spacing w:after="0"/>
              <w:rPr>
                <w:sz w:val="20"/>
                <w:szCs w:val="20"/>
                <w:color w:val="auto"/>
              </w:rPr>
            </w:pPr>
            <w:r>
              <w:rPr>
                <w:rFonts w:ascii="Arial" w:cs="Arial" w:eastAsia="Arial" w:hAnsi="Arial"/>
                <w:sz w:val="14"/>
                <w:szCs w:val="14"/>
                <w:b w:val="1"/>
                <w:bCs w:val="1"/>
                <w:color w:val="FFFFFF"/>
                <w:w w:val="93"/>
              </w:rPr>
              <w:t>($)</w:t>
            </w:r>
          </w:p>
        </w:tc>
      </w:tr>
      <w:tr>
        <w:trPr>
          <w:trHeight w:val="162"/>
        </w:trPr>
        <w:tc>
          <w:tcPr>
            <w:tcW w:w="3100" w:type="dxa"/>
            <w:vAlign w:val="bottom"/>
            <w:shd w:val="clear" w:color="auto" w:fill="D0E0F0"/>
          </w:tcPr>
          <w:p>
            <w:pPr>
              <w:ind w:left="100"/>
              <w:spacing w:after="0"/>
              <w:rPr>
                <w:sz w:val="20"/>
                <w:szCs w:val="20"/>
                <w:color w:val="auto"/>
              </w:rPr>
            </w:pPr>
            <w:r>
              <w:rPr>
                <w:rFonts w:ascii="Arial" w:cs="Arial" w:eastAsia="Arial" w:hAnsi="Arial"/>
                <w:sz w:val="14"/>
                <w:szCs w:val="14"/>
                <w:color w:val="auto"/>
              </w:rPr>
              <w:t>Base salary payout</w:t>
            </w:r>
          </w:p>
        </w:tc>
        <w:tc>
          <w:tcPr>
            <w:tcW w:w="2480" w:type="dxa"/>
            <w:vAlign w:val="bottom"/>
            <w:shd w:val="clear" w:color="auto" w:fill="D0E0F0"/>
          </w:tcPr>
          <w:p>
            <w:pPr>
              <w:jc w:val="center"/>
              <w:ind w:left="168"/>
              <w:spacing w:after="0"/>
              <w:rPr>
                <w:sz w:val="20"/>
                <w:szCs w:val="20"/>
                <w:color w:val="auto"/>
              </w:rPr>
            </w:pPr>
            <w:r>
              <w:rPr>
                <w:rFonts w:ascii="Arial" w:cs="Arial" w:eastAsia="Arial" w:hAnsi="Arial"/>
                <w:sz w:val="14"/>
                <w:szCs w:val="14"/>
                <w:color w:val="auto"/>
              </w:rPr>
              <w:t>410,000</w:t>
            </w:r>
          </w:p>
        </w:tc>
        <w:tc>
          <w:tcPr>
            <w:tcW w:w="1660" w:type="dxa"/>
            <w:vAlign w:val="bottom"/>
            <w:shd w:val="clear" w:color="auto" w:fill="D0E0F0"/>
          </w:tcPr>
          <w:p>
            <w:pPr>
              <w:jc w:val="center"/>
              <w:ind w:left="128"/>
              <w:spacing w:after="0"/>
              <w:rPr>
                <w:sz w:val="20"/>
                <w:szCs w:val="20"/>
                <w:color w:val="auto"/>
              </w:rPr>
            </w:pPr>
            <w:r>
              <w:rPr>
                <w:rFonts w:ascii="Arial" w:cs="Arial" w:eastAsia="Arial" w:hAnsi="Arial"/>
                <w:sz w:val="14"/>
                <w:szCs w:val="14"/>
                <w:color w:val="auto"/>
                <w:w w:val="99"/>
              </w:rPr>
              <w:t>—</w:t>
            </w:r>
          </w:p>
        </w:tc>
        <w:tc>
          <w:tcPr>
            <w:tcW w:w="4180" w:type="dxa"/>
            <w:vAlign w:val="bottom"/>
            <w:shd w:val="clear" w:color="auto" w:fill="D0E0F0"/>
          </w:tcPr>
          <w:p>
            <w:pPr>
              <w:jc w:val="right"/>
              <w:ind w:right="1668"/>
              <w:spacing w:after="0"/>
              <w:rPr>
                <w:sz w:val="20"/>
                <w:szCs w:val="20"/>
                <w:color w:val="auto"/>
              </w:rPr>
            </w:pPr>
            <w:r>
              <w:rPr>
                <w:rFonts w:ascii="Arial" w:cs="Arial" w:eastAsia="Arial" w:hAnsi="Arial"/>
                <w:sz w:val="14"/>
                <w:szCs w:val="14"/>
                <w:color w:val="auto"/>
              </w:rPr>
              <w:t>410,000</w:t>
            </w: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Restricted stock units</w:t>
            </w:r>
          </w:p>
        </w:tc>
        <w:tc>
          <w:tcPr>
            <w:tcW w:w="248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center"/>
              <w:ind w:left="148"/>
              <w:spacing w:after="0"/>
              <w:rPr>
                <w:sz w:val="20"/>
                <w:szCs w:val="20"/>
                <w:color w:val="auto"/>
              </w:rPr>
            </w:pPr>
            <w:r>
              <w:rPr>
                <w:rFonts w:ascii="Arial" w:cs="Arial" w:eastAsia="Arial" w:hAnsi="Arial"/>
                <w:sz w:val="14"/>
                <w:szCs w:val="14"/>
                <w:color w:val="auto"/>
              </w:rPr>
              <w:t>438,828</w:t>
            </w:r>
          </w:p>
        </w:tc>
        <w:tc>
          <w:tcPr>
            <w:tcW w:w="4180" w:type="dxa"/>
            <w:vAlign w:val="bottom"/>
          </w:tcPr>
          <w:p>
            <w:pPr>
              <w:jc w:val="right"/>
              <w:ind w:right="1668"/>
              <w:spacing w:after="0"/>
              <w:rPr>
                <w:sz w:val="20"/>
                <w:szCs w:val="20"/>
                <w:color w:val="auto"/>
              </w:rPr>
            </w:pPr>
            <w:r>
              <w:rPr>
                <w:rFonts w:ascii="Arial" w:cs="Arial" w:eastAsia="Arial" w:hAnsi="Arial"/>
                <w:sz w:val="14"/>
                <w:szCs w:val="14"/>
                <w:color w:val="auto"/>
              </w:rPr>
              <w:t>1,281,176</w:t>
            </w:r>
          </w:p>
        </w:tc>
      </w:tr>
      <w:tr>
        <w:trPr>
          <w:trHeight w:val="162"/>
        </w:trPr>
        <w:tc>
          <w:tcPr>
            <w:tcW w:w="3100" w:type="dxa"/>
            <w:vAlign w:val="bottom"/>
            <w:shd w:val="clear" w:color="auto" w:fill="D0E0F0"/>
          </w:tcPr>
          <w:p>
            <w:pPr>
              <w:ind w:left="100"/>
              <w:spacing w:after="0"/>
              <w:rPr>
                <w:sz w:val="20"/>
                <w:szCs w:val="20"/>
                <w:color w:val="auto"/>
              </w:rPr>
            </w:pPr>
            <w:r>
              <w:rPr>
                <w:rFonts w:ascii="Arial" w:cs="Arial" w:eastAsia="Arial" w:hAnsi="Arial"/>
                <w:sz w:val="14"/>
                <w:szCs w:val="14"/>
                <w:color w:val="auto"/>
              </w:rPr>
              <w:t>Performance restricted stock units</w:t>
            </w:r>
          </w:p>
        </w:tc>
        <w:tc>
          <w:tcPr>
            <w:tcW w:w="2480" w:type="dxa"/>
            <w:vAlign w:val="bottom"/>
            <w:shd w:val="clear" w:color="auto" w:fill="D0E0F0"/>
          </w:tcPr>
          <w:p>
            <w:pPr>
              <w:jc w:val="center"/>
              <w:ind w:left="188"/>
              <w:spacing w:after="0"/>
              <w:rPr>
                <w:sz w:val="20"/>
                <w:szCs w:val="20"/>
                <w:color w:val="auto"/>
              </w:rPr>
            </w:pPr>
            <w:r>
              <w:rPr>
                <w:rFonts w:ascii="Arial" w:cs="Arial" w:eastAsia="Arial" w:hAnsi="Arial"/>
                <w:sz w:val="14"/>
                <w:szCs w:val="14"/>
                <w:color w:val="auto"/>
                <w:w w:val="99"/>
              </w:rPr>
              <w:t>—</w:t>
            </w:r>
          </w:p>
        </w:tc>
        <w:tc>
          <w:tcPr>
            <w:tcW w:w="1660" w:type="dxa"/>
            <w:vAlign w:val="bottom"/>
            <w:shd w:val="clear" w:color="auto" w:fill="D0E0F0"/>
          </w:tcPr>
          <w:p>
            <w:pPr>
              <w:jc w:val="center"/>
              <w:ind w:left="148"/>
              <w:spacing w:after="0"/>
              <w:rPr>
                <w:sz w:val="20"/>
                <w:szCs w:val="20"/>
                <w:color w:val="auto"/>
              </w:rPr>
            </w:pPr>
            <w:r>
              <w:rPr>
                <w:rFonts w:ascii="Arial" w:cs="Arial" w:eastAsia="Arial" w:hAnsi="Arial"/>
                <w:sz w:val="14"/>
                <w:szCs w:val="14"/>
                <w:color w:val="auto"/>
              </w:rPr>
              <w:t>655,720</w:t>
            </w:r>
          </w:p>
        </w:tc>
        <w:tc>
          <w:tcPr>
            <w:tcW w:w="4180" w:type="dxa"/>
            <w:vAlign w:val="bottom"/>
            <w:shd w:val="clear" w:color="auto" w:fill="D0E0F0"/>
          </w:tcPr>
          <w:p>
            <w:pPr>
              <w:jc w:val="right"/>
              <w:ind w:right="1668"/>
              <w:spacing w:after="0"/>
              <w:rPr>
                <w:sz w:val="20"/>
                <w:szCs w:val="20"/>
                <w:color w:val="auto"/>
              </w:rPr>
            </w:pPr>
            <w:r>
              <w:rPr>
                <w:rFonts w:ascii="Arial" w:cs="Arial" w:eastAsia="Arial" w:hAnsi="Arial"/>
                <w:sz w:val="14"/>
                <w:szCs w:val="14"/>
                <w:color w:val="auto"/>
              </w:rPr>
              <w:t>756,600</w:t>
            </w:r>
          </w:p>
        </w:tc>
      </w:tr>
      <w:tr>
        <w:trPr>
          <w:trHeight w:val="419"/>
        </w:trPr>
        <w:tc>
          <w:tcPr>
            <w:tcW w:w="31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Certain Defined Terms</w:t>
            </w: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405"/>
        </w:trPr>
        <w:tc>
          <w:tcPr>
            <w:tcW w:w="31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Definition of Cause</w:t>
            </w: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-848360</wp:posOffset>
            </wp:positionV>
            <wp:extent cx="71951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168"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The following definition of “cause” applies to Messrs. Kapoor, Chhibbar, Bagai, de Villa and Miglani unless stated otherwise. “Cause” will occur if: (i) there is a final nonappealable conviction of, or pleading of no contest to, (1) a crime of moral turpitude which causes serious economic injury or serious injury to our reputation or (2) a felony; (ii) the executive engages in</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9" w:name="page60"/>
    <w:bookmarkEnd w:id="59"/>
    <w:p>
      <w:pPr>
        <w:spacing w:after="0" w:line="250" w:lineRule="auto"/>
        <w:rPr>
          <w:sz w:val="20"/>
          <w:szCs w:val="20"/>
          <w:color w:val="auto"/>
        </w:rPr>
      </w:pPr>
      <w:r>
        <w:rPr>
          <w:rFonts w:ascii="Arial" w:cs="Arial" w:eastAsia="Arial" w:hAnsi="Arial"/>
          <w:sz w:val="17"/>
          <w:szCs w:val="17"/>
          <w:color w:val="auto"/>
        </w:rPr>
        <w:t>fraud, embezzlement, gross negligence, self-dealing, dishonesty or other gross and willful misconduct which causes serious and demonstrable injury to us; (iii) the executive materially violates any of our material policies; (iv) the executive willfully and continually fails to substantially perform his duties (other than for reason of physical or mental incapacity) which continues beyond 15 days after we notify him in writing of his 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 (v) the executive fails to reasonably cooperate in a governmental investigation involving us; (vi) the executive materially, knowingly and intentionally fails to comply with applicable laws with respect to the execution of the Company’s business operations (subject to a presumption of good faith if the executive is following advice of counsel); (vii) the executive fails to follow his supervisor’s (or, for Messrs. Kapoor and Bagai, or for Mr. de Villa following a Change in Control, our board of directors’) lawful instructions and does not remedy the failure for 15 days after we give him written notice; (viii) the executive’s use of alcohol or drugs materially interferes with the performance of his duties; (ix) for Mr. Kapoor only, he fails to take reasonable steps to end certain affiliations specified in his employment agreement within six months after a request by our board of directors; or (x) for Mr. Kapoor only, he materially breaches any material term of his employment agreement which is not remedied within 15 days of receipt of notice from the Company specifying the breach in reasonable detail.</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 of Good Reason</w:t>
      </w:r>
    </w:p>
    <w:p>
      <w:pPr>
        <w:spacing w:after="0" w:line="220" w:lineRule="exact"/>
        <w:rPr>
          <w:sz w:val="20"/>
          <w:szCs w:val="20"/>
          <w:color w:val="auto"/>
        </w:rPr>
      </w:pPr>
    </w:p>
    <w:p>
      <w:pPr>
        <w:ind w:right="160" w:firstLine="648"/>
        <w:spacing w:after="0" w:line="236" w:lineRule="auto"/>
        <w:rPr>
          <w:sz w:val="20"/>
          <w:szCs w:val="20"/>
          <w:color w:val="auto"/>
        </w:rPr>
      </w:pPr>
      <w:r>
        <w:rPr>
          <w:rFonts w:ascii="Arial" w:cs="Arial" w:eastAsia="Arial" w:hAnsi="Arial"/>
          <w:sz w:val="18"/>
          <w:szCs w:val="18"/>
          <w:color w:val="auto"/>
        </w:rPr>
        <w:t>For Mr. Kapoor, “good reason” generally means: (i) his duties or responsibilities are substantially reduced, he is required to report to anyone other than our board of directors, or his title as our officer is adversely changed; however, if following a change in control, his new title and authority are similar to his old title and authority, then any change in the executive’s title will not constitute a significant reduction in his duties and authorities; (ii) his base salary is reduced (other than in connection with a Company-wide decrease in pay), or his target annual bonus opportunity is reduced below 100% of his base salary; (iii) the office or location where he is based in the metropolitan New York City area is moved more than 30 miles, and the new location is more than 30 miles from his primary residence in the metropolitan New York City area; or (iv) we breach any material term of his employment agreement. If Mr. Kapoor plans to terminate his employment for good reason, he must notify us within 45 days following the date the executive first becomes aware of the circumstances giving rise to good reason and must allow us 30 days to remedy the problem.</w:t>
      </w:r>
    </w:p>
    <w:p>
      <w:pPr>
        <w:spacing w:after="0" w:line="19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following definition of “good reason” applies to Messrs. Chhibbar, Bagai, de Villa and Miglani unless stated otherwise. “Good reason” means, without the executive’s prior written consent: (i) the executive’s duties or responsibilities are substantially reduced, or he is required to report to anyone other than our board of directors, or our CEO (or in the case of Mr. de Villa, our President, or the Executive Vice President/Managing Director, Global Client Services); (ii) the executive’s title as our officer is adversely changed; however, if following a change in control (as defined in the 2015 Plan), his new title and authority are similar to his old title and authority, then any change in the executive’s title will not constitute a significant reduction in his duties and authorities; (iii) for Messrs. de Villa and Bagai only, the executive’s base salary or annual cash bonus opportunity is reduced, other than in connection with a proportionate reduction impacting all members of our executive committee; (iv) for Messrs. Chhibbar and Miglani only, there is a change in the office or location where the executive is based of more than 50 miles and such new office or location is more than 50 miles from the executive’s primary residence; or (v) we breach any material term of the executive’s employment agreement or severance</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0" w:name="page61"/>
    <w:bookmarkEnd w:id="60"/>
    <w:p>
      <w:pPr>
        <w:ind w:right="700"/>
        <w:spacing w:after="0" w:line="246" w:lineRule="auto"/>
        <w:rPr>
          <w:sz w:val="20"/>
          <w:szCs w:val="20"/>
          <w:color w:val="auto"/>
        </w:rPr>
      </w:pPr>
      <w:r>
        <w:rPr>
          <w:rFonts w:ascii="Arial" w:cs="Arial" w:eastAsia="Arial" w:hAnsi="Arial"/>
          <w:sz w:val="18"/>
          <w:szCs w:val="18"/>
          <w:color w:val="auto"/>
        </w:rPr>
        <w:t>agreement. If the executive plans to terminate his employment for good reason, he must notify us within 30 days following the date the executive first becomes aware of the circumstances giving rise to good reason and must allow us 30 days to remedy the problem.</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 of Change in Control</w:t>
      </w:r>
    </w:p>
    <w:p>
      <w:pPr>
        <w:spacing w:after="0" w:line="220"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A “change in control” (as generally defined in Mr. Kapoor’s employment agreement, the 2006 Plan and the 2015 Plan, as applicable) generally means any of the following events: (i) any person or group becomes a beneficial owner (within the meaning of Rule 13d-3 under the Exchange Act) of more than 50% (50% or more in the 2006 Plan)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(ii) a majority of the members of our board of directors changes from those in office as of the date of Mr. Kapoor’s employment agreement or the effective date of the 2006 or 2015 Plan (as applicable), except that the election of any new director whose election or nomination was approved by at least two-thirds of our incumbent directors will not be regarded towards a change in the majority for these purposes; (iii) our dissolution or liquidation; (iv) the sale, transfer or other disposition of all or substantially all of our business or our assets; or (v) consummation of a reorganization, recapitalization, merger, consolidation or similar transaction with another entity which requires the approval of our stockholders; however, any such transaction will not be a change in control if after the transaction (1) more than 50% of the total voting power of the resulting entity or its ultimate parent is represented by what were our outstanding voting securities before the transaction in substantially the same proportion among holders; (2) no person or group is or becomes the beneficial owner of more than 50% (50% or more in the 2006 Plan) of the total voting power of the outstanding voting securities eligible to elect members of our board of directors of the parent or surviving company; and (3) at least a majority of the members of our board of directors of the parent or surviving company following the transaction were our board members when our board first approved the transaction.</w:t>
      </w: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508BC7"/>
        </w:rPr>
        <w:t>Director Compensation for Fiscal Year 2016</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 following table sets forth information for compensation earned in fiscal year 2016 by our non-executive directors who served during fiscal year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340" w:type="dxa"/>
            <w:vAlign w:val="bottom"/>
            <w:shd w:val="clear" w:color="auto" w:fill="508BC7"/>
          </w:tcPr>
          <w:p>
            <w:pPr>
              <w:spacing w:after="0"/>
              <w:rPr>
                <w:sz w:val="24"/>
                <w:szCs w:val="24"/>
                <w:color w:val="auto"/>
              </w:rPr>
            </w:pPr>
          </w:p>
        </w:tc>
        <w:tc>
          <w:tcPr>
            <w:tcW w:w="2320" w:type="dxa"/>
            <w:vAlign w:val="bottom"/>
            <w:shd w:val="clear" w:color="auto" w:fill="508BC7"/>
          </w:tcPr>
          <w:p>
            <w:pPr>
              <w:spacing w:after="0"/>
              <w:rPr>
                <w:sz w:val="24"/>
                <w:szCs w:val="24"/>
                <w:color w:val="auto"/>
              </w:rPr>
            </w:pPr>
          </w:p>
        </w:tc>
        <w:tc>
          <w:tcPr>
            <w:tcW w:w="1780" w:type="dxa"/>
            <w:vAlign w:val="bottom"/>
            <w:shd w:val="clear" w:color="auto" w:fill="508BC7"/>
          </w:tcPr>
          <w:p>
            <w:pPr>
              <w:jc w:val="center"/>
              <w:ind w:right="17"/>
              <w:spacing w:after="0"/>
              <w:rPr>
                <w:sz w:val="20"/>
                <w:szCs w:val="20"/>
                <w:color w:val="auto"/>
              </w:rPr>
            </w:pPr>
            <w:r>
              <w:rPr>
                <w:rFonts w:ascii="Arial" w:cs="Arial" w:eastAsia="Arial" w:hAnsi="Arial"/>
                <w:sz w:val="14"/>
                <w:szCs w:val="14"/>
                <w:b w:val="1"/>
                <w:bCs w:val="1"/>
                <w:color w:val="FFFFFF"/>
              </w:rPr>
              <w:t>Stock</w:t>
            </w:r>
          </w:p>
        </w:tc>
        <w:tc>
          <w:tcPr>
            <w:tcW w:w="1620" w:type="dxa"/>
            <w:vAlign w:val="bottom"/>
            <w:shd w:val="clear" w:color="auto" w:fill="508BC7"/>
          </w:tcPr>
          <w:p>
            <w:pPr>
              <w:jc w:val="center"/>
              <w:ind w:left="55"/>
              <w:spacing w:after="0"/>
              <w:rPr>
                <w:sz w:val="20"/>
                <w:szCs w:val="20"/>
                <w:color w:val="auto"/>
              </w:rPr>
            </w:pPr>
            <w:r>
              <w:rPr>
                <w:rFonts w:ascii="Arial" w:cs="Arial" w:eastAsia="Arial" w:hAnsi="Arial"/>
                <w:sz w:val="14"/>
                <w:szCs w:val="14"/>
                <w:b w:val="1"/>
                <w:bCs w:val="1"/>
                <w:color w:val="FFFFFF"/>
              </w:rPr>
              <w:t>Option</w:t>
            </w:r>
          </w:p>
        </w:tc>
        <w:tc>
          <w:tcPr>
            <w:tcW w:w="18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All Other</w:t>
            </w:r>
          </w:p>
        </w:tc>
        <w:tc>
          <w:tcPr>
            <w:tcW w:w="1500" w:type="dxa"/>
            <w:vAlign w:val="bottom"/>
            <w:shd w:val="clear" w:color="auto" w:fill="508BC7"/>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340" w:type="dxa"/>
            <w:vAlign w:val="bottom"/>
            <w:vMerge w:val="restart"/>
            <w:shd w:val="clear" w:color="auto" w:fill="508BC7"/>
          </w:tcPr>
          <w:p>
            <w:pPr>
              <w:ind w:left="106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23"/>
                <w:szCs w:val="23"/>
                <w:b w:val="1"/>
                <w:bCs w:val="1"/>
                <w:color w:val="FFFFFF"/>
                <w:vertAlign w:val="superscript"/>
              </w:rPr>
              <w:t>(1)</w:t>
            </w:r>
          </w:p>
        </w:tc>
        <w:tc>
          <w:tcPr>
            <w:tcW w:w="2320" w:type="dxa"/>
            <w:vAlign w:val="bottom"/>
            <w:shd w:val="clear" w:color="auto" w:fill="508BC7"/>
          </w:tcPr>
          <w:p>
            <w:pPr>
              <w:jc w:val="right"/>
              <w:ind w:right="434"/>
              <w:spacing w:after="0"/>
              <w:rPr>
                <w:sz w:val="20"/>
                <w:szCs w:val="20"/>
                <w:color w:val="auto"/>
              </w:rPr>
            </w:pPr>
            <w:r>
              <w:rPr>
                <w:rFonts w:ascii="Arial" w:cs="Arial" w:eastAsia="Arial" w:hAnsi="Arial"/>
                <w:sz w:val="14"/>
                <w:szCs w:val="14"/>
                <w:b w:val="1"/>
                <w:bCs w:val="1"/>
                <w:color w:val="FFFFFF"/>
              </w:rPr>
              <w:t>Fees Earned or</w:t>
            </w:r>
          </w:p>
        </w:tc>
        <w:tc>
          <w:tcPr>
            <w:tcW w:w="1780" w:type="dxa"/>
            <w:vAlign w:val="bottom"/>
            <w:shd w:val="clear" w:color="auto" w:fill="508BC7"/>
          </w:tcPr>
          <w:p>
            <w:pPr>
              <w:jc w:val="center"/>
              <w:ind w:right="17"/>
              <w:spacing w:after="0"/>
              <w:rPr>
                <w:sz w:val="20"/>
                <w:szCs w:val="20"/>
                <w:color w:val="auto"/>
              </w:rPr>
            </w:pPr>
            <w:r>
              <w:rPr>
                <w:rFonts w:ascii="Arial" w:cs="Arial" w:eastAsia="Arial" w:hAnsi="Arial"/>
                <w:sz w:val="14"/>
                <w:szCs w:val="14"/>
                <w:b w:val="1"/>
                <w:bCs w:val="1"/>
                <w:color w:val="FFFFFF"/>
              </w:rPr>
              <w:t>Awards</w:t>
            </w:r>
          </w:p>
        </w:tc>
        <w:tc>
          <w:tcPr>
            <w:tcW w:w="1620" w:type="dxa"/>
            <w:vAlign w:val="bottom"/>
            <w:shd w:val="clear" w:color="auto" w:fill="508BC7"/>
          </w:tcPr>
          <w:p>
            <w:pPr>
              <w:jc w:val="center"/>
              <w:ind w:left="55"/>
              <w:spacing w:after="0"/>
              <w:rPr>
                <w:sz w:val="20"/>
                <w:szCs w:val="20"/>
                <w:color w:val="auto"/>
              </w:rPr>
            </w:pPr>
            <w:r>
              <w:rPr>
                <w:rFonts w:ascii="Arial" w:cs="Arial" w:eastAsia="Arial" w:hAnsi="Arial"/>
                <w:sz w:val="14"/>
                <w:szCs w:val="14"/>
                <w:b w:val="1"/>
                <w:bCs w:val="1"/>
                <w:color w:val="FFFFFF"/>
              </w:rPr>
              <w:t>Awards</w:t>
            </w:r>
          </w:p>
        </w:tc>
        <w:tc>
          <w:tcPr>
            <w:tcW w:w="18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Compensation</w:t>
            </w:r>
          </w:p>
        </w:tc>
        <w:tc>
          <w:tcPr>
            <w:tcW w:w="1500" w:type="dxa"/>
            <w:vAlign w:val="bottom"/>
            <w:shd w:val="clear" w:color="auto" w:fill="508BC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40" w:type="dxa"/>
            <w:vAlign w:val="bottom"/>
            <w:vMerge w:val="continue"/>
            <w:shd w:val="clear" w:color="auto" w:fill="508BC7"/>
          </w:tcPr>
          <w:p>
            <w:pPr>
              <w:spacing w:after="0"/>
              <w:rPr>
                <w:sz w:val="18"/>
                <w:szCs w:val="18"/>
                <w:color w:val="auto"/>
              </w:rPr>
            </w:pPr>
          </w:p>
        </w:tc>
        <w:tc>
          <w:tcPr>
            <w:tcW w:w="2320" w:type="dxa"/>
            <w:vAlign w:val="bottom"/>
            <w:shd w:val="clear" w:color="auto" w:fill="508BC7"/>
          </w:tcPr>
          <w:p>
            <w:pPr>
              <w:jc w:val="right"/>
              <w:ind w:right="414"/>
              <w:spacing w:after="0"/>
              <w:rPr>
                <w:sz w:val="20"/>
                <w:szCs w:val="20"/>
                <w:color w:val="auto"/>
              </w:rPr>
            </w:pPr>
            <w:r>
              <w:rPr>
                <w:rFonts w:ascii="Arial" w:cs="Arial" w:eastAsia="Arial" w:hAnsi="Arial"/>
                <w:sz w:val="14"/>
                <w:szCs w:val="14"/>
                <w:b w:val="1"/>
                <w:bCs w:val="1"/>
                <w:color w:val="FFFFFF"/>
              </w:rPr>
              <w:t>Paid in Cash ($)</w:t>
            </w:r>
          </w:p>
        </w:tc>
        <w:tc>
          <w:tcPr>
            <w:tcW w:w="1780" w:type="dxa"/>
            <w:vAlign w:val="bottom"/>
            <w:shd w:val="clear" w:color="auto" w:fill="508BC7"/>
          </w:tcPr>
          <w:p>
            <w:pPr>
              <w:jc w:val="center"/>
              <w:ind w:right="17"/>
              <w:spacing w:after="0" w:line="216"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(2)(3)</w:t>
            </w:r>
          </w:p>
        </w:tc>
        <w:tc>
          <w:tcPr>
            <w:tcW w:w="1620" w:type="dxa"/>
            <w:vAlign w:val="bottom"/>
            <w:shd w:val="clear" w:color="auto" w:fill="508BC7"/>
          </w:tcPr>
          <w:p>
            <w:pPr>
              <w:jc w:val="center"/>
              <w:ind w:left="55"/>
              <w:spacing w:after="0"/>
              <w:rPr>
                <w:sz w:val="20"/>
                <w:szCs w:val="20"/>
                <w:color w:val="auto"/>
              </w:rPr>
            </w:pPr>
            <w:r>
              <w:rPr>
                <w:rFonts w:ascii="Arial" w:cs="Arial" w:eastAsia="Arial" w:hAnsi="Arial"/>
                <w:sz w:val="14"/>
                <w:szCs w:val="14"/>
                <w:b w:val="1"/>
                <w:bCs w:val="1"/>
                <w:color w:val="FFFFFF"/>
                <w:w w:val="93"/>
              </w:rPr>
              <w:t>($)</w:t>
            </w:r>
          </w:p>
        </w:tc>
        <w:tc>
          <w:tcPr>
            <w:tcW w:w="1860" w:type="dxa"/>
            <w:vAlign w:val="bottom"/>
            <w:shd w:val="clear" w:color="auto" w:fill="508BC7"/>
          </w:tcPr>
          <w:p>
            <w:pPr>
              <w:jc w:val="center"/>
              <w:spacing w:after="0" w:line="216"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23"/>
                <w:szCs w:val="23"/>
                <w:b w:val="1"/>
                <w:bCs w:val="1"/>
                <w:color w:val="FFFFFF"/>
                <w:w w:val="94"/>
                <w:vertAlign w:val="superscript"/>
              </w:rPr>
              <w:t>(5)</w:t>
            </w:r>
          </w:p>
        </w:tc>
        <w:tc>
          <w:tcPr>
            <w:tcW w:w="1500" w:type="dxa"/>
            <w:vAlign w:val="bottom"/>
            <w:shd w:val="clear" w:color="auto" w:fill="508BC7"/>
          </w:tcPr>
          <w:p>
            <w:pPr>
              <w:jc w:val="center"/>
              <w:ind w:right="12"/>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203"/>
        </w:trPr>
        <w:tc>
          <w:tcPr>
            <w:tcW w:w="234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David Kelso</w:t>
            </w:r>
          </w:p>
        </w:tc>
        <w:tc>
          <w:tcPr>
            <w:tcW w:w="2320" w:type="dxa"/>
            <w:vAlign w:val="bottom"/>
            <w:shd w:val="clear" w:color="auto" w:fill="D0E0F0"/>
          </w:tcPr>
          <w:p>
            <w:pPr>
              <w:jc w:val="right"/>
              <w:ind w:right="694"/>
              <w:spacing w:after="0" w:line="202" w:lineRule="exact"/>
              <w:rPr>
                <w:sz w:val="20"/>
                <w:szCs w:val="20"/>
                <w:color w:val="auto"/>
              </w:rPr>
            </w:pPr>
            <w:r>
              <w:rPr>
                <w:rFonts w:ascii="Arial" w:cs="Arial" w:eastAsia="Arial" w:hAnsi="Arial"/>
                <w:sz w:val="18"/>
                <w:szCs w:val="18"/>
                <w:color w:val="auto"/>
              </w:rPr>
              <w:t>92,500</w:t>
            </w:r>
          </w:p>
        </w:tc>
        <w:tc>
          <w:tcPr>
            <w:tcW w:w="1780" w:type="dxa"/>
            <w:vAlign w:val="bottom"/>
            <w:shd w:val="clear" w:color="auto" w:fill="D0E0F0"/>
          </w:tcPr>
          <w:p>
            <w:pPr>
              <w:jc w:val="center"/>
              <w:ind w:right="17"/>
              <w:spacing w:after="0" w:line="202" w:lineRule="exact"/>
              <w:rPr>
                <w:sz w:val="20"/>
                <w:szCs w:val="20"/>
                <w:color w:val="auto"/>
              </w:rPr>
            </w:pPr>
            <w:r>
              <w:rPr>
                <w:rFonts w:ascii="Arial" w:cs="Arial" w:eastAsia="Arial" w:hAnsi="Arial"/>
                <w:sz w:val="18"/>
                <w:szCs w:val="18"/>
                <w:color w:val="auto"/>
                <w:w w:val="98"/>
              </w:rPr>
              <w:t>100,024</w:t>
            </w:r>
          </w:p>
        </w:tc>
        <w:tc>
          <w:tcPr>
            <w:tcW w:w="1620" w:type="dxa"/>
            <w:vAlign w:val="bottom"/>
            <w:shd w:val="clear" w:color="auto" w:fill="D0E0F0"/>
          </w:tcPr>
          <w:p>
            <w:pPr>
              <w:jc w:val="center"/>
              <w:ind w:left="75"/>
              <w:spacing w:after="0" w:line="202" w:lineRule="exact"/>
              <w:rPr>
                <w:sz w:val="20"/>
                <w:szCs w:val="20"/>
                <w:color w:val="auto"/>
              </w:rPr>
            </w:pPr>
            <w:r>
              <w:rPr>
                <w:rFonts w:ascii="Arial" w:cs="Arial" w:eastAsia="Arial" w:hAnsi="Arial"/>
                <w:sz w:val="18"/>
                <w:szCs w:val="18"/>
                <w:color w:val="auto"/>
                <w:w w:val="99"/>
              </w:rPr>
              <w:t>—</w:t>
            </w:r>
          </w:p>
        </w:tc>
        <w:tc>
          <w:tcPr>
            <w:tcW w:w="1860" w:type="dxa"/>
            <w:vAlign w:val="bottom"/>
            <w:shd w:val="clear" w:color="auto" w:fill="D0E0F0"/>
          </w:tcPr>
          <w:p>
            <w:pPr>
              <w:jc w:val="center"/>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shd w:val="clear" w:color="auto" w:fill="D0E0F0"/>
          </w:tcPr>
          <w:p>
            <w:pPr>
              <w:jc w:val="center"/>
              <w:ind w:right="12"/>
              <w:spacing w:after="0" w:line="202" w:lineRule="exact"/>
              <w:rPr>
                <w:sz w:val="20"/>
                <w:szCs w:val="20"/>
                <w:color w:val="auto"/>
              </w:rPr>
            </w:pPr>
            <w:r>
              <w:rPr>
                <w:rFonts w:ascii="Arial" w:cs="Arial" w:eastAsia="Arial" w:hAnsi="Arial"/>
                <w:sz w:val="18"/>
                <w:szCs w:val="18"/>
                <w:color w:val="auto"/>
                <w:w w:val="98"/>
              </w:rPr>
              <w:t>192,524</w:t>
            </w:r>
          </w:p>
        </w:tc>
        <w:tc>
          <w:tcPr>
            <w:tcW w:w="0" w:type="dxa"/>
            <w:vAlign w:val="bottom"/>
          </w:tcPr>
          <w:p>
            <w:pPr>
              <w:spacing w:after="0"/>
              <w:rPr>
                <w:sz w:val="1"/>
                <w:szCs w:val="1"/>
                <w:color w:val="auto"/>
              </w:rPr>
            </w:pPr>
          </w:p>
        </w:tc>
      </w:tr>
      <w:tr>
        <w:trPr>
          <w:trHeight w:val="203"/>
        </w:trPr>
        <w:tc>
          <w:tcPr>
            <w:tcW w:w="2340" w:type="dxa"/>
            <w:vAlign w:val="bottom"/>
          </w:tcPr>
          <w:p>
            <w:pPr>
              <w:ind w:left="100"/>
              <w:spacing w:after="0" w:line="202" w:lineRule="exact"/>
              <w:rPr>
                <w:sz w:val="20"/>
                <w:szCs w:val="20"/>
                <w:color w:val="auto"/>
              </w:rPr>
            </w:pPr>
            <w:r>
              <w:rPr>
                <w:rFonts w:ascii="Arial" w:cs="Arial" w:eastAsia="Arial" w:hAnsi="Arial"/>
                <w:sz w:val="18"/>
                <w:szCs w:val="18"/>
                <w:color w:val="auto"/>
              </w:rPr>
              <w:t>Deborah Kerr</w:t>
            </w:r>
          </w:p>
        </w:tc>
        <w:tc>
          <w:tcPr>
            <w:tcW w:w="2320" w:type="dxa"/>
            <w:vAlign w:val="bottom"/>
          </w:tcPr>
          <w:p>
            <w:pPr>
              <w:jc w:val="right"/>
              <w:ind w:right="694"/>
              <w:spacing w:after="0" w:line="202" w:lineRule="exact"/>
              <w:rPr>
                <w:sz w:val="20"/>
                <w:szCs w:val="20"/>
                <w:color w:val="auto"/>
              </w:rPr>
            </w:pPr>
            <w:r>
              <w:rPr>
                <w:rFonts w:ascii="Arial" w:cs="Arial" w:eastAsia="Arial" w:hAnsi="Arial"/>
                <w:sz w:val="18"/>
                <w:szCs w:val="18"/>
                <w:color w:val="auto"/>
              </w:rPr>
              <w:t>82,500</w:t>
            </w:r>
          </w:p>
        </w:tc>
        <w:tc>
          <w:tcPr>
            <w:tcW w:w="1780" w:type="dxa"/>
            <w:vAlign w:val="bottom"/>
          </w:tcPr>
          <w:p>
            <w:pPr>
              <w:jc w:val="center"/>
              <w:ind w:right="17"/>
              <w:spacing w:after="0" w:line="202" w:lineRule="exact"/>
              <w:rPr>
                <w:sz w:val="20"/>
                <w:szCs w:val="20"/>
                <w:color w:val="auto"/>
              </w:rPr>
            </w:pPr>
            <w:r>
              <w:rPr>
                <w:rFonts w:ascii="Arial" w:cs="Arial" w:eastAsia="Arial" w:hAnsi="Arial"/>
                <w:sz w:val="18"/>
                <w:szCs w:val="18"/>
                <w:color w:val="auto"/>
                <w:w w:val="98"/>
              </w:rPr>
              <w:t>100,024</w:t>
            </w:r>
          </w:p>
        </w:tc>
        <w:tc>
          <w:tcPr>
            <w:tcW w:w="1620" w:type="dxa"/>
            <w:vAlign w:val="bottom"/>
          </w:tcPr>
          <w:p>
            <w:pPr>
              <w:jc w:val="center"/>
              <w:ind w:left="75"/>
              <w:spacing w:after="0" w:line="202" w:lineRule="exact"/>
              <w:rPr>
                <w:sz w:val="20"/>
                <w:szCs w:val="20"/>
                <w:color w:val="auto"/>
              </w:rPr>
            </w:pPr>
            <w:r>
              <w:rPr>
                <w:rFonts w:ascii="Arial" w:cs="Arial" w:eastAsia="Arial" w:hAnsi="Arial"/>
                <w:sz w:val="18"/>
                <w:szCs w:val="18"/>
                <w:color w:val="auto"/>
                <w:w w:val="99"/>
              </w:rPr>
              <w:t>—</w:t>
            </w: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8"/>
              </w:rPr>
              <w:t>182,524</w:t>
            </w:r>
          </w:p>
        </w:tc>
        <w:tc>
          <w:tcPr>
            <w:tcW w:w="0" w:type="dxa"/>
            <w:vAlign w:val="bottom"/>
          </w:tcPr>
          <w:p>
            <w:pPr>
              <w:spacing w:after="0"/>
              <w:rPr>
                <w:sz w:val="1"/>
                <w:szCs w:val="1"/>
                <w:color w:val="auto"/>
              </w:rPr>
            </w:pPr>
          </w:p>
        </w:tc>
      </w:tr>
      <w:tr>
        <w:trPr>
          <w:trHeight w:val="203"/>
        </w:trPr>
        <w:tc>
          <w:tcPr>
            <w:tcW w:w="234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Clyde Ostler</w:t>
            </w:r>
          </w:p>
        </w:tc>
        <w:tc>
          <w:tcPr>
            <w:tcW w:w="2320" w:type="dxa"/>
            <w:vAlign w:val="bottom"/>
            <w:shd w:val="clear" w:color="auto" w:fill="D0E0F0"/>
          </w:tcPr>
          <w:p>
            <w:pPr>
              <w:jc w:val="right"/>
              <w:ind w:right="694"/>
              <w:spacing w:after="0" w:line="202" w:lineRule="exact"/>
              <w:rPr>
                <w:sz w:val="20"/>
                <w:szCs w:val="20"/>
                <w:color w:val="auto"/>
              </w:rPr>
            </w:pPr>
            <w:r>
              <w:rPr>
                <w:rFonts w:ascii="Arial" w:cs="Arial" w:eastAsia="Arial" w:hAnsi="Arial"/>
                <w:sz w:val="18"/>
                <w:szCs w:val="18"/>
                <w:color w:val="auto"/>
              </w:rPr>
              <w:t>95,000</w:t>
            </w:r>
          </w:p>
        </w:tc>
        <w:tc>
          <w:tcPr>
            <w:tcW w:w="1780" w:type="dxa"/>
            <w:vAlign w:val="bottom"/>
            <w:shd w:val="clear" w:color="auto" w:fill="D0E0F0"/>
          </w:tcPr>
          <w:p>
            <w:pPr>
              <w:jc w:val="center"/>
              <w:ind w:right="17"/>
              <w:spacing w:after="0" w:line="202" w:lineRule="exact"/>
              <w:rPr>
                <w:sz w:val="20"/>
                <w:szCs w:val="20"/>
                <w:color w:val="auto"/>
              </w:rPr>
            </w:pPr>
            <w:r>
              <w:rPr>
                <w:rFonts w:ascii="Arial" w:cs="Arial" w:eastAsia="Arial" w:hAnsi="Arial"/>
                <w:sz w:val="18"/>
                <w:szCs w:val="18"/>
                <w:color w:val="auto"/>
                <w:w w:val="98"/>
              </w:rPr>
              <w:t>100,024</w:t>
            </w:r>
          </w:p>
        </w:tc>
        <w:tc>
          <w:tcPr>
            <w:tcW w:w="1620" w:type="dxa"/>
            <w:vAlign w:val="bottom"/>
            <w:shd w:val="clear" w:color="auto" w:fill="D0E0F0"/>
          </w:tcPr>
          <w:p>
            <w:pPr>
              <w:jc w:val="center"/>
              <w:ind w:left="75"/>
              <w:spacing w:after="0" w:line="202" w:lineRule="exact"/>
              <w:rPr>
                <w:sz w:val="20"/>
                <w:szCs w:val="20"/>
                <w:color w:val="auto"/>
              </w:rPr>
            </w:pPr>
            <w:r>
              <w:rPr>
                <w:rFonts w:ascii="Arial" w:cs="Arial" w:eastAsia="Arial" w:hAnsi="Arial"/>
                <w:sz w:val="18"/>
                <w:szCs w:val="18"/>
                <w:color w:val="auto"/>
                <w:w w:val="99"/>
              </w:rPr>
              <w:t>—</w:t>
            </w:r>
          </w:p>
        </w:tc>
        <w:tc>
          <w:tcPr>
            <w:tcW w:w="1860" w:type="dxa"/>
            <w:vAlign w:val="bottom"/>
            <w:shd w:val="clear" w:color="auto" w:fill="D0E0F0"/>
          </w:tcPr>
          <w:p>
            <w:pPr>
              <w:jc w:val="center"/>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shd w:val="clear" w:color="auto" w:fill="D0E0F0"/>
          </w:tcPr>
          <w:p>
            <w:pPr>
              <w:jc w:val="center"/>
              <w:ind w:right="12"/>
              <w:spacing w:after="0" w:line="202" w:lineRule="exact"/>
              <w:rPr>
                <w:sz w:val="20"/>
                <w:szCs w:val="20"/>
                <w:color w:val="auto"/>
              </w:rPr>
            </w:pPr>
            <w:r>
              <w:rPr>
                <w:rFonts w:ascii="Arial" w:cs="Arial" w:eastAsia="Arial" w:hAnsi="Arial"/>
                <w:sz w:val="18"/>
                <w:szCs w:val="18"/>
                <w:color w:val="auto"/>
                <w:w w:val="98"/>
              </w:rPr>
              <w:t>195,024</w:t>
            </w:r>
          </w:p>
        </w:tc>
        <w:tc>
          <w:tcPr>
            <w:tcW w:w="0" w:type="dxa"/>
            <w:vAlign w:val="bottom"/>
          </w:tcPr>
          <w:p>
            <w:pPr>
              <w:spacing w:after="0"/>
              <w:rPr>
                <w:sz w:val="1"/>
                <w:szCs w:val="1"/>
                <w:color w:val="auto"/>
              </w:rPr>
            </w:pPr>
          </w:p>
        </w:tc>
      </w:tr>
      <w:tr>
        <w:trPr>
          <w:trHeight w:val="243"/>
        </w:trPr>
        <w:tc>
          <w:tcPr>
            <w:tcW w:w="2340" w:type="dxa"/>
            <w:vAlign w:val="bottom"/>
          </w:tcPr>
          <w:p>
            <w:pPr>
              <w:ind w:left="100"/>
              <w:spacing w:after="0"/>
              <w:rPr>
                <w:sz w:val="20"/>
                <w:szCs w:val="20"/>
                <w:color w:val="auto"/>
              </w:rPr>
            </w:pPr>
            <w:r>
              <w:rPr>
                <w:rFonts w:ascii="Arial" w:cs="Arial" w:eastAsia="Arial" w:hAnsi="Arial"/>
                <w:sz w:val="18"/>
                <w:szCs w:val="18"/>
                <w:color w:val="auto"/>
              </w:rPr>
              <w:t>Anne Minto</w:t>
            </w:r>
          </w:p>
        </w:tc>
        <w:tc>
          <w:tcPr>
            <w:tcW w:w="2320" w:type="dxa"/>
            <w:vAlign w:val="bottom"/>
          </w:tcPr>
          <w:p>
            <w:pPr>
              <w:jc w:val="right"/>
              <w:ind w:right="694"/>
              <w:spacing w:after="0"/>
              <w:rPr>
                <w:sz w:val="20"/>
                <w:szCs w:val="20"/>
                <w:color w:val="auto"/>
              </w:rPr>
            </w:pPr>
            <w:r>
              <w:rPr>
                <w:rFonts w:ascii="Arial" w:cs="Arial" w:eastAsia="Arial" w:hAnsi="Arial"/>
                <w:sz w:val="18"/>
                <w:szCs w:val="18"/>
                <w:color w:val="auto"/>
              </w:rPr>
              <w:t>90,000</w:t>
            </w:r>
          </w:p>
        </w:tc>
        <w:tc>
          <w:tcPr>
            <w:tcW w:w="1780" w:type="dxa"/>
            <w:vAlign w:val="bottom"/>
          </w:tcPr>
          <w:p>
            <w:pPr>
              <w:jc w:val="center"/>
              <w:ind w:right="17"/>
              <w:spacing w:after="0"/>
              <w:rPr>
                <w:sz w:val="20"/>
                <w:szCs w:val="20"/>
                <w:color w:val="auto"/>
              </w:rPr>
            </w:pPr>
            <w:r>
              <w:rPr>
                <w:rFonts w:ascii="Arial" w:cs="Arial" w:eastAsia="Arial" w:hAnsi="Arial"/>
                <w:sz w:val="18"/>
                <w:szCs w:val="18"/>
                <w:color w:val="auto"/>
                <w:w w:val="98"/>
              </w:rPr>
              <w:t>100,024</w:t>
            </w:r>
          </w:p>
        </w:tc>
        <w:tc>
          <w:tcPr>
            <w:tcW w:w="1620" w:type="dxa"/>
            <w:vAlign w:val="bottom"/>
          </w:tcPr>
          <w:p>
            <w:pPr>
              <w:jc w:val="center"/>
              <w:ind w:left="75"/>
              <w:spacing w:after="0"/>
              <w:rPr>
                <w:sz w:val="20"/>
                <w:szCs w:val="20"/>
                <w:color w:val="auto"/>
              </w:rPr>
            </w:pPr>
            <w:r>
              <w:rPr>
                <w:rFonts w:ascii="Arial" w:cs="Arial" w:eastAsia="Arial" w:hAnsi="Arial"/>
                <w:sz w:val="18"/>
                <w:szCs w:val="18"/>
                <w:color w:val="auto"/>
                <w:w w:val="99"/>
              </w:rPr>
              <w:t>—</w:t>
            </w:r>
          </w:p>
        </w:tc>
        <w:tc>
          <w:tcPr>
            <w:tcW w:w="1860" w:type="dxa"/>
            <w:vAlign w:val="bottom"/>
          </w:tcPr>
          <w:p>
            <w:pPr>
              <w:jc w:val="center"/>
              <w:spacing w:after="0" w:line="243" w:lineRule="exact"/>
              <w:rPr>
                <w:sz w:val="20"/>
                <w:szCs w:val="20"/>
                <w:color w:val="auto"/>
              </w:rPr>
            </w:pPr>
            <w:r>
              <w:rPr>
                <w:rFonts w:ascii="Arial" w:cs="Arial" w:eastAsia="Arial" w:hAnsi="Arial"/>
                <w:sz w:val="17"/>
                <w:szCs w:val="17"/>
                <w:color w:val="auto"/>
                <w:w w:val="98"/>
              </w:rPr>
              <w:t>28,742</w:t>
            </w:r>
            <w:r>
              <w:rPr>
                <w:rFonts w:ascii="Arial" w:cs="Arial" w:eastAsia="Arial" w:hAnsi="Arial"/>
                <w:sz w:val="28"/>
                <w:szCs w:val="28"/>
                <w:color w:val="auto"/>
                <w:w w:val="98"/>
                <w:vertAlign w:val="superscript"/>
              </w:rPr>
              <w:t>(4)</w:t>
            </w:r>
          </w:p>
        </w:tc>
        <w:tc>
          <w:tcPr>
            <w:tcW w:w="1500" w:type="dxa"/>
            <w:vAlign w:val="bottom"/>
          </w:tcPr>
          <w:p>
            <w:pPr>
              <w:jc w:val="center"/>
              <w:ind w:right="12"/>
              <w:spacing w:after="0"/>
              <w:rPr>
                <w:sz w:val="20"/>
                <w:szCs w:val="20"/>
                <w:color w:val="auto"/>
              </w:rPr>
            </w:pPr>
            <w:r>
              <w:rPr>
                <w:rFonts w:ascii="Arial" w:cs="Arial" w:eastAsia="Arial" w:hAnsi="Arial"/>
                <w:sz w:val="18"/>
                <w:szCs w:val="18"/>
                <w:color w:val="auto"/>
                <w:w w:val="98"/>
              </w:rPr>
              <w:t>218,766</w:t>
            </w:r>
          </w:p>
        </w:tc>
        <w:tc>
          <w:tcPr>
            <w:tcW w:w="0" w:type="dxa"/>
            <w:vAlign w:val="bottom"/>
          </w:tcPr>
          <w:p>
            <w:pPr>
              <w:spacing w:after="0"/>
              <w:rPr>
                <w:sz w:val="1"/>
                <w:szCs w:val="1"/>
                <w:color w:val="auto"/>
              </w:rPr>
            </w:pPr>
          </w:p>
        </w:tc>
      </w:tr>
      <w:tr>
        <w:trPr>
          <w:trHeight w:val="243"/>
        </w:trPr>
        <w:tc>
          <w:tcPr>
            <w:tcW w:w="2340" w:type="dxa"/>
            <w:vAlign w:val="bottom"/>
            <w:shd w:val="clear" w:color="auto" w:fill="D0E0F0"/>
          </w:tcPr>
          <w:p>
            <w:pPr>
              <w:ind w:left="100"/>
              <w:spacing w:after="0"/>
              <w:rPr>
                <w:sz w:val="20"/>
                <w:szCs w:val="20"/>
                <w:color w:val="auto"/>
              </w:rPr>
            </w:pPr>
            <w:r>
              <w:rPr>
                <w:rFonts w:ascii="Arial" w:cs="Arial" w:eastAsia="Arial" w:hAnsi="Arial"/>
                <w:sz w:val="18"/>
                <w:szCs w:val="18"/>
                <w:color w:val="auto"/>
              </w:rPr>
              <w:t>Som Mittal</w:t>
            </w:r>
          </w:p>
        </w:tc>
        <w:tc>
          <w:tcPr>
            <w:tcW w:w="2320" w:type="dxa"/>
            <w:vAlign w:val="bottom"/>
            <w:shd w:val="clear" w:color="auto" w:fill="D0E0F0"/>
          </w:tcPr>
          <w:p>
            <w:pPr>
              <w:jc w:val="right"/>
              <w:ind w:right="694"/>
              <w:spacing w:after="0"/>
              <w:rPr>
                <w:sz w:val="20"/>
                <w:szCs w:val="20"/>
                <w:color w:val="auto"/>
              </w:rPr>
            </w:pPr>
            <w:r>
              <w:rPr>
                <w:rFonts w:ascii="Arial" w:cs="Arial" w:eastAsia="Arial" w:hAnsi="Arial"/>
                <w:sz w:val="18"/>
                <w:szCs w:val="18"/>
                <w:color w:val="auto"/>
              </w:rPr>
              <w:t>80,000</w:t>
            </w:r>
          </w:p>
        </w:tc>
        <w:tc>
          <w:tcPr>
            <w:tcW w:w="1780" w:type="dxa"/>
            <w:vAlign w:val="bottom"/>
            <w:shd w:val="clear" w:color="auto" w:fill="D0E0F0"/>
          </w:tcPr>
          <w:p>
            <w:pPr>
              <w:jc w:val="center"/>
              <w:ind w:right="17"/>
              <w:spacing w:after="0"/>
              <w:rPr>
                <w:sz w:val="20"/>
                <w:szCs w:val="20"/>
                <w:color w:val="auto"/>
              </w:rPr>
            </w:pPr>
            <w:r>
              <w:rPr>
                <w:rFonts w:ascii="Arial" w:cs="Arial" w:eastAsia="Arial" w:hAnsi="Arial"/>
                <w:sz w:val="18"/>
                <w:szCs w:val="18"/>
                <w:color w:val="auto"/>
                <w:w w:val="98"/>
              </w:rPr>
              <w:t>100,024</w:t>
            </w:r>
          </w:p>
        </w:tc>
        <w:tc>
          <w:tcPr>
            <w:tcW w:w="1620" w:type="dxa"/>
            <w:vAlign w:val="bottom"/>
            <w:shd w:val="clear" w:color="auto" w:fill="D0E0F0"/>
          </w:tcPr>
          <w:p>
            <w:pPr>
              <w:jc w:val="center"/>
              <w:ind w:left="75"/>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D0E0F0"/>
          </w:tcPr>
          <w:p>
            <w:pPr>
              <w:jc w:val="center"/>
              <w:spacing w:after="0" w:line="243" w:lineRule="exact"/>
              <w:rPr>
                <w:sz w:val="20"/>
                <w:szCs w:val="20"/>
                <w:color w:val="auto"/>
              </w:rPr>
            </w:pPr>
            <w:r>
              <w:rPr>
                <w:rFonts w:ascii="Arial" w:cs="Arial" w:eastAsia="Arial" w:hAnsi="Arial"/>
                <w:sz w:val="17"/>
                <w:szCs w:val="17"/>
                <w:color w:val="auto"/>
                <w:w w:val="98"/>
              </w:rPr>
              <w:t>15,519</w:t>
            </w:r>
            <w:r>
              <w:rPr>
                <w:rFonts w:ascii="Arial" w:cs="Arial" w:eastAsia="Arial" w:hAnsi="Arial"/>
                <w:sz w:val="28"/>
                <w:szCs w:val="28"/>
                <w:color w:val="auto"/>
                <w:w w:val="98"/>
                <w:vertAlign w:val="superscript"/>
              </w:rPr>
              <w:t>(4)</w:t>
            </w:r>
          </w:p>
        </w:tc>
        <w:tc>
          <w:tcPr>
            <w:tcW w:w="1500" w:type="dxa"/>
            <w:vAlign w:val="bottom"/>
            <w:shd w:val="clear" w:color="auto" w:fill="D0E0F0"/>
          </w:tcPr>
          <w:p>
            <w:pPr>
              <w:jc w:val="center"/>
              <w:ind w:right="12"/>
              <w:spacing w:after="0"/>
              <w:rPr>
                <w:sz w:val="20"/>
                <w:szCs w:val="20"/>
                <w:color w:val="auto"/>
              </w:rPr>
            </w:pPr>
            <w:r>
              <w:rPr>
                <w:rFonts w:ascii="Arial" w:cs="Arial" w:eastAsia="Arial" w:hAnsi="Arial"/>
                <w:sz w:val="18"/>
                <w:szCs w:val="18"/>
                <w:color w:val="auto"/>
                <w:w w:val="98"/>
              </w:rPr>
              <w:t>195,543</w:t>
            </w:r>
          </w:p>
        </w:tc>
        <w:tc>
          <w:tcPr>
            <w:tcW w:w="0" w:type="dxa"/>
            <w:vAlign w:val="bottom"/>
          </w:tcPr>
          <w:p>
            <w:pPr>
              <w:spacing w:after="0"/>
              <w:rPr>
                <w:sz w:val="1"/>
                <w:szCs w:val="1"/>
                <w:color w:val="auto"/>
              </w:rPr>
            </w:pPr>
          </w:p>
        </w:tc>
      </w:tr>
      <w:tr>
        <w:trPr>
          <w:trHeight w:val="203"/>
        </w:trPr>
        <w:tc>
          <w:tcPr>
            <w:tcW w:w="2340" w:type="dxa"/>
            <w:vAlign w:val="bottom"/>
          </w:tcPr>
          <w:p>
            <w:pPr>
              <w:ind w:left="100"/>
              <w:spacing w:after="0" w:line="202" w:lineRule="exact"/>
              <w:rPr>
                <w:sz w:val="20"/>
                <w:szCs w:val="20"/>
                <w:color w:val="auto"/>
              </w:rPr>
            </w:pPr>
            <w:r>
              <w:rPr>
                <w:rFonts w:ascii="Arial" w:cs="Arial" w:eastAsia="Arial" w:hAnsi="Arial"/>
                <w:sz w:val="18"/>
                <w:szCs w:val="18"/>
                <w:color w:val="auto"/>
              </w:rPr>
              <w:t>Nitin Sahney</w:t>
            </w:r>
          </w:p>
        </w:tc>
        <w:tc>
          <w:tcPr>
            <w:tcW w:w="2320" w:type="dxa"/>
            <w:vAlign w:val="bottom"/>
          </w:tcPr>
          <w:p>
            <w:pPr>
              <w:jc w:val="right"/>
              <w:ind w:right="694"/>
              <w:spacing w:after="0" w:line="202" w:lineRule="exact"/>
              <w:rPr>
                <w:sz w:val="20"/>
                <w:szCs w:val="20"/>
                <w:color w:val="auto"/>
              </w:rPr>
            </w:pPr>
            <w:r>
              <w:rPr>
                <w:rFonts w:ascii="Arial" w:cs="Arial" w:eastAsia="Arial" w:hAnsi="Arial"/>
                <w:sz w:val="18"/>
                <w:szCs w:val="18"/>
                <w:color w:val="auto"/>
              </w:rPr>
              <w:t>82,500</w:t>
            </w:r>
          </w:p>
        </w:tc>
        <w:tc>
          <w:tcPr>
            <w:tcW w:w="1780" w:type="dxa"/>
            <w:vAlign w:val="bottom"/>
          </w:tcPr>
          <w:p>
            <w:pPr>
              <w:jc w:val="center"/>
              <w:ind w:right="17"/>
              <w:spacing w:after="0" w:line="202" w:lineRule="exact"/>
              <w:rPr>
                <w:sz w:val="20"/>
                <w:szCs w:val="20"/>
                <w:color w:val="auto"/>
              </w:rPr>
            </w:pPr>
            <w:r>
              <w:rPr>
                <w:rFonts w:ascii="Arial" w:cs="Arial" w:eastAsia="Arial" w:hAnsi="Arial"/>
                <w:sz w:val="18"/>
                <w:szCs w:val="18"/>
                <w:color w:val="auto"/>
                <w:w w:val="98"/>
              </w:rPr>
              <w:t>145,881</w:t>
            </w:r>
          </w:p>
        </w:tc>
        <w:tc>
          <w:tcPr>
            <w:tcW w:w="1620" w:type="dxa"/>
            <w:vAlign w:val="bottom"/>
          </w:tcPr>
          <w:p>
            <w:pPr>
              <w:jc w:val="center"/>
              <w:ind w:left="75"/>
              <w:spacing w:after="0" w:line="202" w:lineRule="exact"/>
              <w:rPr>
                <w:sz w:val="20"/>
                <w:szCs w:val="20"/>
                <w:color w:val="auto"/>
              </w:rPr>
            </w:pPr>
            <w:r>
              <w:rPr>
                <w:rFonts w:ascii="Arial" w:cs="Arial" w:eastAsia="Arial" w:hAnsi="Arial"/>
                <w:sz w:val="18"/>
                <w:szCs w:val="18"/>
                <w:color w:val="auto"/>
                <w:w w:val="99"/>
              </w:rPr>
              <w:t>—</w:t>
            </w: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8"/>
              </w:rPr>
              <w:t>228,381</w:t>
            </w:r>
          </w:p>
        </w:tc>
        <w:tc>
          <w:tcPr>
            <w:tcW w:w="0" w:type="dxa"/>
            <w:vAlign w:val="bottom"/>
          </w:tcPr>
          <w:p>
            <w:pPr>
              <w:spacing w:after="0"/>
              <w:rPr>
                <w:sz w:val="1"/>
                <w:szCs w:val="1"/>
                <w:color w:val="auto"/>
              </w:rPr>
            </w:pPr>
          </w:p>
        </w:tc>
      </w:tr>
      <w:tr>
        <w:trPr>
          <w:trHeight w:val="243"/>
        </w:trPr>
        <w:tc>
          <w:tcPr>
            <w:tcW w:w="2340" w:type="dxa"/>
            <w:vAlign w:val="bottom"/>
            <w:shd w:val="clear" w:color="auto" w:fill="D0E0F0"/>
          </w:tcPr>
          <w:p>
            <w:pPr>
              <w:ind w:left="100"/>
              <w:spacing w:after="0"/>
              <w:rPr>
                <w:sz w:val="20"/>
                <w:szCs w:val="20"/>
                <w:color w:val="auto"/>
              </w:rPr>
            </w:pPr>
            <w:r>
              <w:rPr>
                <w:rFonts w:ascii="Arial" w:cs="Arial" w:eastAsia="Arial" w:hAnsi="Arial"/>
                <w:sz w:val="18"/>
                <w:szCs w:val="18"/>
                <w:color w:val="auto"/>
              </w:rPr>
              <w:t>Garen Staglin</w:t>
            </w:r>
          </w:p>
        </w:tc>
        <w:tc>
          <w:tcPr>
            <w:tcW w:w="2320" w:type="dxa"/>
            <w:vAlign w:val="bottom"/>
            <w:shd w:val="clear" w:color="auto" w:fill="D0E0F0"/>
          </w:tcPr>
          <w:p>
            <w:pPr>
              <w:jc w:val="right"/>
              <w:ind w:right="694"/>
              <w:spacing w:after="0"/>
              <w:rPr>
                <w:sz w:val="20"/>
                <w:szCs w:val="20"/>
                <w:color w:val="auto"/>
              </w:rPr>
            </w:pPr>
            <w:r>
              <w:rPr>
                <w:rFonts w:ascii="Arial" w:cs="Arial" w:eastAsia="Arial" w:hAnsi="Arial"/>
                <w:sz w:val="18"/>
                <w:szCs w:val="18"/>
                <w:color w:val="auto"/>
              </w:rPr>
              <w:t>130,000</w:t>
            </w:r>
          </w:p>
        </w:tc>
        <w:tc>
          <w:tcPr>
            <w:tcW w:w="1780" w:type="dxa"/>
            <w:vAlign w:val="bottom"/>
            <w:shd w:val="clear" w:color="auto" w:fill="D0E0F0"/>
          </w:tcPr>
          <w:p>
            <w:pPr>
              <w:jc w:val="center"/>
              <w:ind w:right="17"/>
              <w:spacing w:after="0"/>
              <w:rPr>
                <w:sz w:val="20"/>
                <w:szCs w:val="20"/>
                <w:color w:val="auto"/>
              </w:rPr>
            </w:pPr>
            <w:r>
              <w:rPr>
                <w:rFonts w:ascii="Arial" w:cs="Arial" w:eastAsia="Arial" w:hAnsi="Arial"/>
                <w:sz w:val="18"/>
                <w:szCs w:val="18"/>
                <w:color w:val="auto"/>
                <w:w w:val="98"/>
              </w:rPr>
              <w:t>200,039</w:t>
            </w:r>
          </w:p>
        </w:tc>
        <w:tc>
          <w:tcPr>
            <w:tcW w:w="1620" w:type="dxa"/>
            <w:vAlign w:val="bottom"/>
            <w:shd w:val="clear" w:color="auto" w:fill="D0E0F0"/>
          </w:tcPr>
          <w:p>
            <w:pPr>
              <w:jc w:val="center"/>
              <w:ind w:left="75"/>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D0E0F0"/>
          </w:tcPr>
          <w:p>
            <w:pPr>
              <w:jc w:val="center"/>
              <w:spacing w:after="0" w:line="243" w:lineRule="exact"/>
              <w:rPr>
                <w:sz w:val="20"/>
                <w:szCs w:val="20"/>
                <w:color w:val="auto"/>
              </w:rPr>
            </w:pPr>
            <w:r>
              <w:rPr>
                <w:rFonts w:ascii="Arial" w:cs="Arial" w:eastAsia="Arial" w:hAnsi="Arial"/>
                <w:sz w:val="17"/>
                <w:szCs w:val="17"/>
                <w:color w:val="auto"/>
                <w:w w:val="98"/>
              </w:rPr>
              <w:t>43,645</w:t>
            </w:r>
            <w:r>
              <w:rPr>
                <w:rFonts w:ascii="Arial" w:cs="Arial" w:eastAsia="Arial" w:hAnsi="Arial"/>
                <w:sz w:val="28"/>
                <w:szCs w:val="28"/>
                <w:color w:val="auto"/>
                <w:w w:val="98"/>
                <w:vertAlign w:val="superscript"/>
              </w:rPr>
              <w:t>(5)</w:t>
            </w:r>
          </w:p>
        </w:tc>
        <w:tc>
          <w:tcPr>
            <w:tcW w:w="1500" w:type="dxa"/>
            <w:vAlign w:val="bottom"/>
            <w:shd w:val="clear" w:color="auto" w:fill="D0E0F0"/>
          </w:tcPr>
          <w:p>
            <w:pPr>
              <w:jc w:val="center"/>
              <w:ind w:right="12"/>
              <w:spacing w:after="0"/>
              <w:rPr>
                <w:sz w:val="20"/>
                <w:szCs w:val="20"/>
                <w:color w:val="auto"/>
              </w:rPr>
            </w:pPr>
            <w:r>
              <w:rPr>
                <w:rFonts w:ascii="Arial" w:cs="Arial" w:eastAsia="Arial" w:hAnsi="Arial"/>
                <w:sz w:val="18"/>
                <w:szCs w:val="18"/>
                <w:color w:val="auto"/>
                <w:w w:val="98"/>
              </w:rPr>
              <w:t>373,684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-994410</wp:posOffset>
            </wp:positionV>
            <wp:extent cx="71951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51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14490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0" w:lineRule="exact"/>
        <w:rPr>
          <w:sz w:val="20"/>
          <w:szCs w:val="20"/>
          <w:color w:val="auto"/>
        </w:rPr>
      </w:pPr>
    </w:p>
    <w:p>
      <w:pPr>
        <w:ind w:left="660" w:right="320" w:hanging="328"/>
        <w:spacing w:after="0" w:line="246"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Mr. Kapoor’s compensation during 2016 was based solely on his role as CEO, as disclosed in the “Summary Compensation Table for Fiscal Year 2016” beginning on page 40 and discussed in “Compensation Discussion and Analysis” beginning on page 23. He does not receive any additional compensation for his services as a director.</w:t>
      </w:r>
    </w:p>
    <w:p>
      <w:pPr>
        <w:spacing w:after="0" w:line="1" w:lineRule="exact"/>
        <w:rPr>
          <w:rFonts w:ascii="Arial" w:cs="Arial" w:eastAsia="Arial" w:hAnsi="Arial"/>
          <w:sz w:val="16"/>
          <w:szCs w:val="16"/>
          <w:color w:val="auto"/>
        </w:rPr>
      </w:pPr>
    </w:p>
    <w:p>
      <w:pPr>
        <w:ind w:left="660" w:right="200" w:hanging="328"/>
        <w:spacing w:after="0" w:line="246"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Amounts reflect the aggregate grant date fair value of stock awards and option awards recognized for financial statement reporting purposes for the fiscal year ended December 31, 2016, in accordance with FASB ASC Topic 718 (disregarding any forfeiture assumptions). Assumptions used in the calculation of these amounts are included in footnotes 2 and 18 to our audited financial statements for the fiscal year ended December 31, 2016 included in the 2016 Form 10-K.</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outstanding equity awards held by our directors on December 31, 2016 is set forth on the table below:</w:t>
      </w:r>
    </w:p>
    <w:tbl>
      <w:tblPr>
        <w:tblLayout w:type="fixed"/>
        <w:tblInd w:w="660" w:type="dxa"/>
        <w:tblCellMar>
          <w:top w:w="0" w:type="dxa"/>
          <w:left w:w="0" w:type="dxa"/>
          <w:bottom w:w="0" w:type="dxa"/>
          <w:right w:w="0" w:type="dxa"/>
        </w:tblCellMar>
      </w:tblPr>
      <w:tr>
        <w:trPr>
          <w:trHeight w:val="152"/>
        </w:trPr>
        <w:tc>
          <w:tcPr>
            <w:tcW w:w="2060" w:type="dxa"/>
            <w:vAlign w:val="bottom"/>
            <w:shd w:val="clear" w:color="auto" w:fill="508BC7"/>
          </w:tcPr>
          <w:p>
            <w:pPr>
              <w:spacing w:after="0"/>
              <w:rPr>
                <w:sz w:val="13"/>
                <w:szCs w:val="13"/>
                <w:color w:val="auto"/>
              </w:rPr>
            </w:pPr>
          </w:p>
        </w:tc>
        <w:tc>
          <w:tcPr>
            <w:tcW w:w="2920" w:type="dxa"/>
            <w:vAlign w:val="bottom"/>
            <w:shd w:val="clear" w:color="auto" w:fill="508BC7"/>
          </w:tcPr>
          <w:p>
            <w:pPr>
              <w:jc w:val="center"/>
              <w:ind w:left="135"/>
              <w:spacing w:after="0" w:line="152" w:lineRule="exact"/>
              <w:rPr>
                <w:sz w:val="20"/>
                <w:szCs w:val="20"/>
                <w:color w:val="auto"/>
              </w:rPr>
            </w:pPr>
            <w:r>
              <w:rPr>
                <w:rFonts w:ascii="Arial" w:cs="Arial" w:eastAsia="Arial" w:hAnsi="Arial"/>
                <w:sz w:val="14"/>
                <w:szCs w:val="14"/>
                <w:b w:val="1"/>
                <w:bCs w:val="1"/>
                <w:color w:val="FFFFFF"/>
              </w:rPr>
              <w:t>No. of Securities</w:t>
            </w:r>
          </w:p>
        </w:tc>
        <w:tc>
          <w:tcPr>
            <w:tcW w:w="2980" w:type="dxa"/>
            <w:vAlign w:val="bottom"/>
            <w:shd w:val="clear" w:color="auto" w:fill="508BC7"/>
          </w:tcPr>
          <w:p>
            <w:pPr>
              <w:jc w:val="center"/>
              <w:spacing w:after="0" w:line="152" w:lineRule="exact"/>
              <w:rPr>
                <w:sz w:val="20"/>
                <w:szCs w:val="20"/>
                <w:color w:val="auto"/>
              </w:rPr>
            </w:pPr>
            <w:r>
              <w:rPr>
                <w:rFonts w:ascii="Arial" w:cs="Arial" w:eastAsia="Arial" w:hAnsi="Arial"/>
                <w:sz w:val="14"/>
                <w:szCs w:val="14"/>
                <w:b w:val="1"/>
                <w:bCs w:val="1"/>
                <w:color w:val="FFFFFF"/>
              </w:rPr>
              <w:t>No. of Securities Underlying</w:t>
            </w:r>
          </w:p>
        </w:tc>
        <w:tc>
          <w:tcPr>
            <w:tcW w:w="2760" w:type="dxa"/>
            <w:vAlign w:val="bottom"/>
            <w:shd w:val="clear" w:color="auto" w:fill="508BC7"/>
          </w:tcPr>
          <w:p>
            <w:pPr>
              <w:jc w:val="center"/>
              <w:spacing w:after="0" w:line="152" w:lineRule="exact"/>
              <w:rPr>
                <w:sz w:val="20"/>
                <w:szCs w:val="20"/>
                <w:color w:val="auto"/>
              </w:rPr>
            </w:pPr>
            <w:r>
              <w:rPr>
                <w:rFonts w:ascii="Arial" w:cs="Arial" w:eastAsia="Arial" w:hAnsi="Arial"/>
                <w:sz w:val="14"/>
                <w:szCs w:val="14"/>
                <w:b w:val="1"/>
                <w:bCs w:val="1"/>
                <w:color w:val="FFFFFF"/>
              </w:rPr>
              <w:t>No. of Shares or Units of</w:t>
            </w:r>
          </w:p>
        </w:tc>
      </w:tr>
      <w:tr>
        <w:trPr>
          <w:trHeight w:val="162"/>
        </w:trPr>
        <w:tc>
          <w:tcPr>
            <w:tcW w:w="2060" w:type="dxa"/>
            <w:vAlign w:val="bottom"/>
            <w:shd w:val="clear" w:color="auto" w:fill="508BC7"/>
          </w:tcPr>
          <w:p>
            <w:pPr>
              <w:spacing w:after="0"/>
              <w:rPr>
                <w:sz w:val="14"/>
                <w:szCs w:val="14"/>
                <w:color w:val="auto"/>
              </w:rPr>
            </w:pPr>
          </w:p>
        </w:tc>
        <w:tc>
          <w:tcPr>
            <w:tcW w:w="2920" w:type="dxa"/>
            <w:vAlign w:val="bottom"/>
            <w:shd w:val="clear" w:color="auto" w:fill="508BC7"/>
          </w:tcPr>
          <w:p>
            <w:pPr>
              <w:jc w:val="center"/>
              <w:ind w:left="135"/>
              <w:spacing w:after="0"/>
              <w:rPr>
                <w:sz w:val="20"/>
                <w:szCs w:val="20"/>
                <w:color w:val="auto"/>
              </w:rPr>
            </w:pPr>
            <w:r>
              <w:rPr>
                <w:rFonts w:ascii="Arial" w:cs="Arial" w:eastAsia="Arial" w:hAnsi="Arial"/>
                <w:sz w:val="14"/>
                <w:szCs w:val="14"/>
                <w:b w:val="1"/>
                <w:bCs w:val="1"/>
                <w:color w:val="FFFFFF"/>
              </w:rPr>
              <w:t>Underlying Unexercised</w:t>
            </w:r>
          </w:p>
        </w:tc>
        <w:tc>
          <w:tcPr>
            <w:tcW w:w="29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Unexercised Options (#)</w:t>
            </w:r>
          </w:p>
        </w:tc>
        <w:tc>
          <w:tcPr>
            <w:tcW w:w="27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Stock That Have Not</w:t>
            </w:r>
          </w:p>
        </w:tc>
      </w:tr>
      <w:tr>
        <w:trPr>
          <w:trHeight w:val="175"/>
        </w:trPr>
        <w:tc>
          <w:tcPr>
            <w:tcW w:w="2060" w:type="dxa"/>
            <w:vAlign w:val="bottom"/>
            <w:shd w:val="clear" w:color="auto" w:fill="508BC7"/>
          </w:tcPr>
          <w:p>
            <w:pPr>
              <w:ind w:left="940"/>
              <w:spacing w:after="0"/>
              <w:rPr>
                <w:sz w:val="20"/>
                <w:szCs w:val="20"/>
                <w:color w:val="auto"/>
              </w:rPr>
            </w:pPr>
            <w:r>
              <w:rPr>
                <w:rFonts w:ascii="Arial" w:cs="Arial" w:eastAsia="Arial" w:hAnsi="Arial"/>
                <w:sz w:val="14"/>
                <w:szCs w:val="14"/>
                <w:b w:val="1"/>
                <w:bCs w:val="1"/>
                <w:color w:val="FFFFFF"/>
              </w:rPr>
              <w:t>Name</w:t>
            </w:r>
          </w:p>
        </w:tc>
        <w:tc>
          <w:tcPr>
            <w:tcW w:w="2920" w:type="dxa"/>
            <w:vAlign w:val="bottom"/>
            <w:shd w:val="clear" w:color="auto" w:fill="508BC7"/>
          </w:tcPr>
          <w:p>
            <w:pPr>
              <w:jc w:val="center"/>
              <w:ind w:left="115"/>
              <w:spacing w:after="0"/>
              <w:rPr>
                <w:sz w:val="20"/>
                <w:szCs w:val="20"/>
                <w:color w:val="auto"/>
              </w:rPr>
            </w:pPr>
            <w:r>
              <w:rPr>
                <w:rFonts w:ascii="Arial" w:cs="Arial" w:eastAsia="Arial" w:hAnsi="Arial"/>
                <w:sz w:val="14"/>
                <w:szCs w:val="14"/>
                <w:b w:val="1"/>
                <w:bCs w:val="1"/>
                <w:color w:val="FFFFFF"/>
              </w:rPr>
              <w:t>Options (#) Exercisable</w:t>
            </w:r>
          </w:p>
        </w:tc>
        <w:tc>
          <w:tcPr>
            <w:tcW w:w="298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Unexercisable</w:t>
            </w:r>
          </w:p>
        </w:tc>
        <w:tc>
          <w:tcPr>
            <w:tcW w:w="2760" w:type="dxa"/>
            <w:vAlign w:val="bottom"/>
            <w:shd w:val="clear" w:color="auto" w:fill="508BC7"/>
          </w:tcPr>
          <w:p>
            <w:pPr>
              <w:jc w:val="center"/>
              <w:spacing w:after="0"/>
              <w:rPr>
                <w:sz w:val="20"/>
                <w:szCs w:val="20"/>
                <w:color w:val="auto"/>
              </w:rPr>
            </w:pPr>
            <w:r>
              <w:rPr>
                <w:rFonts w:ascii="Arial" w:cs="Arial" w:eastAsia="Arial" w:hAnsi="Arial"/>
                <w:sz w:val="14"/>
                <w:szCs w:val="14"/>
                <w:b w:val="1"/>
                <w:bCs w:val="1"/>
                <w:color w:val="FFFFFF"/>
              </w:rPr>
              <w:t>Vested</w:t>
            </w:r>
          </w:p>
        </w:tc>
      </w:tr>
      <w:tr>
        <w:trPr>
          <w:trHeight w:val="216"/>
        </w:trPr>
        <w:tc>
          <w:tcPr>
            <w:tcW w:w="2060" w:type="dxa"/>
            <w:vAlign w:val="bottom"/>
            <w:shd w:val="clear" w:color="auto" w:fill="D0E0F0"/>
          </w:tcPr>
          <w:p>
            <w:pPr>
              <w:ind w:left="100"/>
              <w:spacing w:after="0"/>
              <w:rPr>
                <w:sz w:val="20"/>
                <w:szCs w:val="20"/>
                <w:color w:val="auto"/>
              </w:rPr>
            </w:pPr>
            <w:r>
              <w:rPr>
                <w:rFonts w:ascii="Arial" w:cs="Arial" w:eastAsia="Arial" w:hAnsi="Arial"/>
                <w:sz w:val="18"/>
                <w:szCs w:val="18"/>
                <w:color w:val="auto"/>
              </w:rPr>
              <w:t>David Kelso</w:t>
            </w:r>
          </w:p>
        </w:tc>
        <w:tc>
          <w:tcPr>
            <w:tcW w:w="2920" w:type="dxa"/>
            <w:vAlign w:val="bottom"/>
            <w:shd w:val="clear" w:color="auto" w:fill="D0E0F0"/>
          </w:tcPr>
          <w:p>
            <w:pPr>
              <w:jc w:val="center"/>
              <w:ind w:left="135"/>
              <w:spacing w:after="0"/>
              <w:rPr>
                <w:sz w:val="20"/>
                <w:szCs w:val="20"/>
                <w:color w:val="auto"/>
              </w:rPr>
            </w:pPr>
            <w:r>
              <w:rPr>
                <w:rFonts w:ascii="Arial" w:cs="Arial" w:eastAsia="Arial" w:hAnsi="Arial"/>
                <w:sz w:val="18"/>
                <w:szCs w:val="18"/>
                <w:color w:val="auto"/>
                <w:w w:val="98"/>
              </w:rPr>
              <w:t>38,253</w:t>
            </w:r>
          </w:p>
        </w:tc>
        <w:tc>
          <w:tcPr>
            <w:tcW w:w="2980" w:type="dxa"/>
            <w:vAlign w:val="bottom"/>
            <w:shd w:val="clear" w:color="auto" w:fill="D0E0F0"/>
          </w:tcPr>
          <w:p>
            <w:pPr>
              <w:jc w:val="center"/>
              <w:spacing w:after="0"/>
              <w:rPr>
                <w:sz w:val="20"/>
                <w:szCs w:val="20"/>
                <w:color w:val="auto"/>
              </w:rPr>
            </w:pPr>
            <w:r>
              <w:rPr>
                <w:rFonts w:ascii="Arial" w:cs="Arial" w:eastAsia="Arial" w:hAnsi="Arial"/>
                <w:sz w:val="18"/>
                <w:szCs w:val="18"/>
                <w:color w:val="auto"/>
                <w:w w:val="99"/>
              </w:rPr>
              <w:t>—</w:t>
            </w:r>
          </w:p>
        </w:tc>
        <w:tc>
          <w:tcPr>
            <w:tcW w:w="2760" w:type="dxa"/>
            <w:vAlign w:val="bottom"/>
            <w:shd w:val="clear" w:color="auto" w:fill="D0E0F0"/>
          </w:tcPr>
          <w:p>
            <w:pPr>
              <w:jc w:val="center"/>
              <w:spacing w:after="0"/>
              <w:rPr>
                <w:sz w:val="20"/>
                <w:szCs w:val="20"/>
                <w:color w:val="auto"/>
              </w:rPr>
            </w:pPr>
            <w:r>
              <w:rPr>
                <w:rFonts w:ascii="Arial" w:cs="Arial" w:eastAsia="Arial" w:hAnsi="Arial"/>
                <w:sz w:val="18"/>
                <w:szCs w:val="18"/>
                <w:color w:val="auto"/>
                <w:w w:val="97"/>
              </w:rPr>
              <w:t>1,946</w:t>
            </w:r>
          </w:p>
        </w:tc>
      </w:tr>
      <w:tr>
        <w:trPr>
          <w:trHeight w:val="203"/>
        </w:trPr>
        <w:tc>
          <w:tcPr>
            <w:tcW w:w="2060" w:type="dxa"/>
            <w:vAlign w:val="bottom"/>
          </w:tcPr>
          <w:p>
            <w:pPr>
              <w:ind w:left="100"/>
              <w:spacing w:after="0" w:line="202" w:lineRule="exact"/>
              <w:rPr>
                <w:sz w:val="20"/>
                <w:szCs w:val="20"/>
                <w:color w:val="auto"/>
              </w:rPr>
            </w:pPr>
            <w:r>
              <w:rPr>
                <w:rFonts w:ascii="Arial" w:cs="Arial" w:eastAsia="Arial" w:hAnsi="Arial"/>
                <w:sz w:val="18"/>
                <w:szCs w:val="18"/>
                <w:color w:val="auto"/>
              </w:rPr>
              <w:t>Deborah Kerr</w:t>
            </w:r>
          </w:p>
        </w:tc>
        <w:tc>
          <w:tcPr>
            <w:tcW w:w="2920" w:type="dxa"/>
            <w:vAlign w:val="bottom"/>
          </w:tcPr>
          <w:p>
            <w:pPr>
              <w:jc w:val="center"/>
              <w:ind w:left="135"/>
              <w:spacing w:after="0" w:line="202" w:lineRule="exact"/>
              <w:rPr>
                <w:sz w:val="20"/>
                <w:szCs w:val="20"/>
                <w:color w:val="auto"/>
              </w:rPr>
            </w:pPr>
            <w:r>
              <w:rPr>
                <w:rFonts w:ascii="Arial" w:cs="Arial" w:eastAsia="Arial" w:hAnsi="Arial"/>
                <w:sz w:val="18"/>
                <w:szCs w:val="18"/>
                <w:color w:val="auto"/>
                <w:w w:val="99"/>
              </w:rPr>
              <w:t>—</w:t>
            </w:r>
          </w:p>
        </w:tc>
        <w:tc>
          <w:tcPr>
            <w:tcW w:w="29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2760" w:type="dxa"/>
            <w:vAlign w:val="bottom"/>
          </w:tcPr>
          <w:p>
            <w:pPr>
              <w:jc w:val="center"/>
              <w:spacing w:after="0" w:line="202" w:lineRule="exact"/>
              <w:rPr>
                <w:sz w:val="20"/>
                <w:szCs w:val="20"/>
                <w:color w:val="auto"/>
              </w:rPr>
            </w:pPr>
            <w:r>
              <w:rPr>
                <w:rFonts w:ascii="Arial" w:cs="Arial" w:eastAsia="Arial" w:hAnsi="Arial"/>
                <w:sz w:val="18"/>
                <w:szCs w:val="18"/>
                <w:color w:val="auto"/>
                <w:w w:val="97"/>
              </w:rPr>
              <w:t>1,946</w:t>
            </w:r>
          </w:p>
        </w:tc>
      </w:tr>
      <w:tr>
        <w:trPr>
          <w:trHeight w:val="203"/>
        </w:trPr>
        <w:tc>
          <w:tcPr>
            <w:tcW w:w="206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Anne Minto</w:t>
            </w:r>
          </w:p>
        </w:tc>
        <w:tc>
          <w:tcPr>
            <w:tcW w:w="2920" w:type="dxa"/>
            <w:vAlign w:val="bottom"/>
            <w:shd w:val="clear" w:color="auto" w:fill="D0E0F0"/>
          </w:tcPr>
          <w:p>
            <w:pPr>
              <w:jc w:val="right"/>
              <w:ind w:right="995"/>
              <w:spacing w:after="0" w:line="202" w:lineRule="exact"/>
              <w:rPr>
                <w:sz w:val="20"/>
                <w:szCs w:val="20"/>
                <w:color w:val="auto"/>
              </w:rPr>
            </w:pPr>
            <w:r>
              <w:rPr>
                <w:rFonts w:ascii="Arial" w:cs="Arial" w:eastAsia="Arial" w:hAnsi="Arial"/>
                <w:sz w:val="18"/>
                <w:szCs w:val="18"/>
                <w:color w:val="auto"/>
              </w:rPr>
              <w:t>3,093</w:t>
            </w:r>
          </w:p>
        </w:tc>
        <w:tc>
          <w:tcPr>
            <w:tcW w:w="2980" w:type="dxa"/>
            <w:vAlign w:val="bottom"/>
            <w:shd w:val="clear" w:color="auto" w:fill="D0E0F0"/>
          </w:tcPr>
          <w:p>
            <w:pPr>
              <w:jc w:val="center"/>
              <w:spacing w:after="0" w:line="202" w:lineRule="exact"/>
              <w:rPr>
                <w:sz w:val="20"/>
                <w:szCs w:val="20"/>
                <w:color w:val="auto"/>
              </w:rPr>
            </w:pPr>
            <w:r>
              <w:rPr>
                <w:rFonts w:ascii="Arial" w:cs="Arial" w:eastAsia="Arial" w:hAnsi="Arial"/>
                <w:sz w:val="18"/>
                <w:szCs w:val="18"/>
                <w:color w:val="auto"/>
                <w:w w:val="99"/>
              </w:rPr>
              <w:t>—</w:t>
            </w:r>
          </w:p>
        </w:tc>
        <w:tc>
          <w:tcPr>
            <w:tcW w:w="2760" w:type="dxa"/>
            <w:vAlign w:val="bottom"/>
            <w:shd w:val="clear" w:color="auto" w:fill="D0E0F0"/>
          </w:tcPr>
          <w:p>
            <w:pPr>
              <w:jc w:val="center"/>
              <w:spacing w:after="0" w:line="202" w:lineRule="exact"/>
              <w:rPr>
                <w:sz w:val="20"/>
                <w:szCs w:val="20"/>
                <w:color w:val="auto"/>
              </w:rPr>
            </w:pPr>
            <w:r>
              <w:rPr>
                <w:rFonts w:ascii="Arial" w:cs="Arial" w:eastAsia="Arial" w:hAnsi="Arial"/>
                <w:sz w:val="18"/>
                <w:szCs w:val="18"/>
                <w:color w:val="auto"/>
                <w:w w:val="97"/>
              </w:rPr>
              <w:t>1,946</w:t>
            </w:r>
          </w:p>
        </w:tc>
      </w:tr>
      <w:tr>
        <w:trPr>
          <w:trHeight w:val="203"/>
        </w:trPr>
        <w:tc>
          <w:tcPr>
            <w:tcW w:w="2060" w:type="dxa"/>
            <w:vAlign w:val="bottom"/>
          </w:tcPr>
          <w:p>
            <w:pPr>
              <w:ind w:left="100"/>
              <w:spacing w:after="0" w:line="202" w:lineRule="exact"/>
              <w:rPr>
                <w:sz w:val="20"/>
                <w:szCs w:val="20"/>
                <w:color w:val="auto"/>
              </w:rPr>
            </w:pPr>
            <w:r>
              <w:rPr>
                <w:rFonts w:ascii="Arial" w:cs="Arial" w:eastAsia="Arial" w:hAnsi="Arial"/>
                <w:sz w:val="18"/>
                <w:szCs w:val="18"/>
                <w:color w:val="auto"/>
              </w:rPr>
              <w:t>Som Mittal</w:t>
            </w:r>
          </w:p>
        </w:tc>
        <w:tc>
          <w:tcPr>
            <w:tcW w:w="2920" w:type="dxa"/>
            <w:vAlign w:val="bottom"/>
          </w:tcPr>
          <w:p>
            <w:pPr>
              <w:jc w:val="center"/>
              <w:ind w:left="135"/>
              <w:spacing w:after="0" w:line="202" w:lineRule="exact"/>
              <w:rPr>
                <w:sz w:val="20"/>
                <w:szCs w:val="20"/>
                <w:color w:val="auto"/>
              </w:rPr>
            </w:pPr>
            <w:r>
              <w:rPr>
                <w:rFonts w:ascii="Arial" w:cs="Arial" w:eastAsia="Arial" w:hAnsi="Arial"/>
                <w:sz w:val="18"/>
                <w:szCs w:val="18"/>
                <w:color w:val="auto"/>
                <w:w w:val="99"/>
              </w:rPr>
              <w:t>—</w:t>
            </w:r>
          </w:p>
        </w:tc>
        <w:tc>
          <w:tcPr>
            <w:tcW w:w="29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2760" w:type="dxa"/>
            <w:vAlign w:val="bottom"/>
          </w:tcPr>
          <w:p>
            <w:pPr>
              <w:jc w:val="center"/>
              <w:spacing w:after="0" w:line="202" w:lineRule="exact"/>
              <w:rPr>
                <w:sz w:val="20"/>
                <w:szCs w:val="20"/>
                <w:color w:val="auto"/>
              </w:rPr>
            </w:pPr>
            <w:r>
              <w:rPr>
                <w:rFonts w:ascii="Arial" w:cs="Arial" w:eastAsia="Arial" w:hAnsi="Arial"/>
                <w:sz w:val="18"/>
                <w:szCs w:val="18"/>
                <w:color w:val="auto"/>
                <w:w w:val="97"/>
              </w:rPr>
              <w:t>1,946</w:t>
            </w:r>
          </w:p>
        </w:tc>
      </w:tr>
      <w:tr>
        <w:trPr>
          <w:trHeight w:val="203"/>
        </w:trPr>
        <w:tc>
          <w:tcPr>
            <w:tcW w:w="206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Clyde Ostler</w:t>
            </w:r>
          </w:p>
        </w:tc>
        <w:tc>
          <w:tcPr>
            <w:tcW w:w="2920" w:type="dxa"/>
            <w:vAlign w:val="bottom"/>
            <w:shd w:val="clear" w:color="auto" w:fill="D0E0F0"/>
          </w:tcPr>
          <w:p>
            <w:pPr>
              <w:jc w:val="center"/>
              <w:ind w:left="135"/>
              <w:spacing w:after="0" w:line="202" w:lineRule="exact"/>
              <w:rPr>
                <w:sz w:val="20"/>
                <w:szCs w:val="20"/>
                <w:color w:val="auto"/>
              </w:rPr>
            </w:pPr>
            <w:r>
              <w:rPr>
                <w:rFonts w:ascii="Arial" w:cs="Arial" w:eastAsia="Arial" w:hAnsi="Arial"/>
                <w:sz w:val="18"/>
                <w:szCs w:val="18"/>
                <w:color w:val="auto"/>
                <w:w w:val="98"/>
              </w:rPr>
              <w:t>62,723</w:t>
            </w:r>
          </w:p>
        </w:tc>
        <w:tc>
          <w:tcPr>
            <w:tcW w:w="2980" w:type="dxa"/>
            <w:vAlign w:val="bottom"/>
            <w:shd w:val="clear" w:color="auto" w:fill="D0E0F0"/>
          </w:tcPr>
          <w:p>
            <w:pPr>
              <w:jc w:val="center"/>
              <w:spacing w:after="0" w:line="202" w:lineRule="exact"/>
              <w:rPr>
                <w:sz w:val="20"/>
                <w:szCs w:val="20"/>
                <w:color w:val="auto"/>
              </w:rPr>
            </w:pPr>
            <w:r>
              <w:rPr>
                <w:rFonts w:ascii="Arial" w:cs="Arial" w:eastAsia="Arial" w:hAnsi="Arial"/>
                <w:sz w:val="18"/>
                <w:szCs w:val="18"/>
                <w:color w:val="auto"/>
                <w:w w:val="99"/>
              </w:rPr>
              <w:t>—</w:t>
            </w:r>
          </w:p>
        </w:tc>
        <w:tc>
          <w:tcPr>
            <w:tcW w:w="2760" w:type="dxa"/>
            <w:vAlign w:val="bottom"/>
            <w:shd w:val="clear" w:color="auto" w:fill="D0E0F0"/>
          </w:tcPr>
          <w:p>
            <w:pPr>
              <w:jc w:val="center"/>
              <w:spacing w:after="0" w:line="202" w:lineRule="exact"/>
              <w:rPr>
                <w:sz w:val="20"/>
                <w:szCs w:val="20"/>
                <w:color w:val="auto"/>
              </w:rPr>
            </w:pPr>
            <w:r>
              <w:rPr>
                <w:rFonts w:ascii="Arial" w:cs="Arial" w:eastAsia="Arial" w:hAnsi="Arial"/>
                <w:sz w:val="18"/>
                <w:szCs w:val="18"/>
                <w:color w:val="auto"/>
                <w:w w:val="97"/>
              </w:rPr>
              <w:t>1,946</w:t>
            </w:r>
          </w:p>
        </w:tc>
      </w:tr>
      <w:tr>
        <w:trPr>
          <w:trHeight w:val="203"/>
        </w:trPr>
        <w:tc>
          <w:tcPr>
            <w:tcW w:w="2060" w:type="dxa"/>
            <w:vAlign w:val="bottom"/>
          </w:tcPr>
          <w:p>
            <w:pPr>
              <w:ind w:left="100"/>
              <w:spacing w:after="0" w:line="202" w:lineRule="exact"/>
              <w:rPr>
                <w:sz w:val="20"/>
                <w:szCs w:val="20"/>
                <w:color w:val="auto"/>
              </w:rPr>
            </w:pPr>
            <w:r>
              <w:rPr>
                <w:rFonts w:ascii="Arial" w:cs="Arial" w:eastAsia="Arial" w:hAnsi="Arial"/>
                <w:sz w:val="18"/>
                <w:szCs w:val="18"/>
                <w:color w:val="auto"/>
              </w:rPr>
              <w:t>Nitin Sahney</w:t>
            </w:r>
          </w:p>
        </w:tc>
        <w:tc>
          <w:tcPr>
            <w:tcW w:w="2920" w:type="dxa"/>
            <w:vAlign w:val="bottom"/>
          </w:tcPr>
          <w:p>
            <w:pPr>
              <w:jc w:val="center"/>
              <w:ind w:left="135"/>
              <w:spacing w:after="0" w:line="202" w:lineRule="exact"/>
              <w:rPr>
                <w:sz w:val="20"/>
                <w:szCs w:val="20"/>
                <w:color w:val="auto"/>
              </w:rPr>
            </w:pPr>
            <w:r>
              <w:rPr>
                <w:rFonts w:ascii="Arial" w:cs="Arial" w:eastAsia="Arial" w:hAnsi="Arial"/>
                <w:sz w:val="18"/>
                <w:szCs w:val="18"/>
                <w:color w:val="auto"/>
                <w:w w:val="99"/>
              </w:rPr>
              <w:t>—</w:t>
            </w:r>
          </w:p>
        </w:tc>
        <w:tc>
          <w:tcPr>
            <w:tcW w:w="29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2760" w:type="dxa"/>
            <w:vAlign w:val="bottom"/>
          </w:tcPr>
          <w:p>
            <w:pPr>
              <w:jc w:val="center"/>
              <w:spacing w:after="0" w:line="202" w:lineRule="exact"/>
              <w:rPr>
                <w:sz w:val="20"/>
                <w:szCs w:val="20"/>
                <w:color w:val="auto"/>
              </w:rPr>
            </w:pPr>
            <w:r>
              <w:rPr>
                <w:rFonts w:ascii="Arial" w:cs="Arial" w:eastAsia="Arial" w:hAnsi="Arial"/>
                <w:sz w:val="18"/>
                <w:szCs w:val="18"/>
                <w:color w:val="auto"/>
                <w:w w:val="97"/>
              </w:rPr>
              <w:t>2,992</w:t>
            </w:r>
          </w:p>
        </w:tc>
      </w:tr>
      <w:tr>
        <w:trPr>
          <w:trHeight w:val="203"/>
        </w:trPr>
        <w:tc>
          <w:tcPr>
            <w:tcW w:w="2060" w:type="dxa"/>
            <w:vAlign w:val="bottom"/>
            <w:shd w:val="clear" w:color="auto" w:fill="D0E0F0"/>
          </w:tcPr>
          <w:p>
            <w:pPr>
              <w:ind w:left="100"/>
              <w:spacing w:after="0" w:line="202" w:lineRule="exact"/>
              <w:rPr>
                <w:sz w:val="20"/>
                <w:szCs w:val="20"/>
                <w:color w:val="auto"/>
              </w:rPr>
            </w:pPr>
            <w:r>
              <w:rPr>
                <w:rFonts w:ascii="Arial" w:cs="Arial" w:eastAsia="Arial" w:hAnsi="Arial"/>
                <w:sz w:val="18"/>
                <w:szCs w:val="18"/>
                <w:color w:val="auto"/>
              </w:rPr>
              <w:t>Garen Staglin</w:t>
            </w:r>
          </w:p>
        </w:tc>
        <w:tc>
          <w:tcPr>
            <w:tcW w:w="2920" w:type="dxa"/>
            <w:vAlign w:val="bottom"/>
            <w:shd w:val="clear" w:color="auto" w:fill="D0E0F0"/>
          </w:tcPr>
          <w:p>
            <w:pPr>
              <w:jc w:val="center"/>
              <w:ind w:left="135"/>
              <w:spacing w:after="0" w:line="202" w:lineRule="exact"/>
              <w:rPr>
                <w:sz w:val="20"/>
                <w:szCs w:val="20"/>
                <w:color w:val="auto"/>
              </w:rPr>
            </w:pPr>
            <w:r>
              <w:rPr>
                <w:rFonts w:ascii="Arial" w:cs="Arial" w:eastAsia="Arial" w:hAnsi="Arial"/>
                <w:sz w:val="18"/>
                <w:szCs w:val="18"/>
                <w:color w:val="auto"/>
                <w:w w:val="98"/>
              </w:rPr>
              <w:t>32,723</w:t>
            </w:r>
          </w:p>
        </w:tc>
        <w:tc>
          <w:tcPr>
            <w:tcW w:w="2980" w:type="dxa"/>
            <w:vAlign w:val="bottom"/>
            <w:shd w:val="clear" w:color="auto" w:fill="D0E0F0"/>
          </w:tcPr>
          <w:p>
            <w:pPr>
              <w:jc w:val="center"/>
              <w:spacing w:after="0" w:line="202" w:lineRule="exact"/>
              <w:rPr>
                <w:sz w:val="20"/>
                <w:szCs w:val="20"/>
                <w:color w:val="auto"/>
              </w:rPr>
            </w:pPr>
            <w:r>
              <w:rPr>
                <w:rFonts w:ascii="Arial" w:cs="Arial" w:eastAsia="Arial" w:hAnsi="Arial"/>
                <w:sz w:val="18"/>
                <w:szCs w:val="18"/>
                <w:color w:val="auto"/>
                <w:w w:val="99"/>
              </w:rPr>
              <w:t>—</w:t>
            </w:r>
          </w:p>
        </w:tc>
        <w:tc>
          <w:tcPr>
            <w:tcW w:w="2760" w:type="dxa"/>
            <w:vAlign w:val="bottom"/>
            <w:shd w:val="clear" w:color="auto" w:fill="D0E0F0"/>
          </w:tcPr>
          <w:p>
            <w:pPr>
              <w:jc w:val="center"/>
              <w:spacing w:after="0" w:line="202" w:lineRule="exact"/>
              <w:rPr>
                <w:sz w:val="20"/>
                <w:szCs w:val="20"/>
                <w:color w:val="auto"/>
              </w:rPr>
            </w:pPr>
            <w:r>
              <w:rPr>
                <w:rFonts w:ascii="Arial" w:cs="Arial" w:eastAsia="Arial" w:hAnsi="Arial"/>
                <w:sz w:val="18"/>
                <w:szCs w:val="18"/>
                <w:color w:val="auto"/>
                <w:w w:val="97"/>
              </w:rPr>
              <w:t>4,174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-908685</wp:posOffset>
            </wp:positionV>
            <wp:extent cx="680910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ind w:left="660" w:right="60" w:hanging="328"/>
        <w:spacing w:after="0" w:line="246"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Ms. Minto and Mr. Mittal, amount reflects our reimbursement to the director for tax planning fees. The amount also reflects a subsequent payment made to Ms. Minto and Mr. Mittal to gross up the reimbursement of tax planning fees so that the economic benefit to the director was the same as if such benefit were provided on a non-taxable basis ($9,300 and $4,755, respectively).</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Mr. Staglin, amount reflects our reimbursement for costs associated with secretarial services ($42,250) and telephone charges ($1,395).</w:t>
      </w:r>
    </w:p>
    <w:p>
      <w:pPr>
        <w:spacing w:after="0" w:line="205" w:lineRule="exact"/>
        <w:rPr>
          <w:sz w:val="20"/>
          <w:szCs w:val="20"/>
          <w:color w:val="auto"/>
        </w:rPr>
      </w:pPr>
    </w:p>
    <w:p>
      <w:pPr>
        <w:ind w:right="280" w:firstLine="648"/>
        <w:spacing w:after="0" w:line="237" w:lineRule="auto"/>
        <w:rPr>
          <w:sz w:val="20"/>
          <w:szCs w:val="20"/>
          <w:color w:val="auto"/>
        </w:rPr>
      </w:pPr>
      <w:r>
        <w:rPr>
          <w:rFonts w:ascii="Arial" w:cs="Arial" w:eastAsia="Arial" w:hAnsi="Arial"/>
          <w:sz w:val="18"/>
          <w:szCs w:val="18"/>
          <w:color w:val="auto"/>
        </w:rPr>
        <w:t>For 2016, non-employee directors were eligible to receive an annual retainer fee in the amount of $60,000. The non-executive Chairman of our board of directors was eligible to receive an additional retainer of $150,000 which is paid $ 50,000 in cash and $100,000 in equity. New non-employee directors who join our board of directors during a calendar quarter are eligible to receive the full fee for such calendar quarter. The chairperson of our Audit Committee was eligible to receive an additional annual fee of $25,000, and other members of our Audit Committee were eligible to receive an additional annual fee of $12,500. The Chairpersons of committees other than our Audit Committee were eligible to receive an additional annual fee of $20,000, and members of committees other than our Audit Committee were eligible to</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62" w:name="page63"/>
    <w:bookmarkEnd w:id="62"/>
    <w:p>
      <w:pPr>
        <w:jc w:val="both"/>
        <w:spacing w:after="0"/>
        <w:rPr>
          <w:sz w:val="20"/>
          <w:szCs w:val="20"/>
          <w:color w:val="auto"/>
        </w:rPr>
      </w:pPr>
      <w:r>
        <w:rPr>
          <w:rFonts w:ascii="Arial" w:cs="Arial" w:eastAsia="Arial" w:hAnsi="Arial"/>
          <w:sz w:val="18"/>
          <w:szCs w:val="18"/>
          <w:color w:val="auto"/>
        </w:rPr>
        <w:t>receive an additional annual fee of $10,000. There are no additional fees payable for attendance at our board or committee meetings (whether in person, telephonic or otherwise). We make quarterly cash payments to our directors who elect to receive a portion of their director fees in the form of cash.</w:t>
      </w:r>
    </w:p>
    <w:p>
      <w:pPr>
        <w:spacing w:after="0" w:line="189"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Holders of restricted stock units do not receive the underlying shares of common stock until the units have vested and are settled. The restricted stock units issued to each of our non-employee directors will settle on the earliest of:</w:t>
      </w:r>
    </w:p>
    <w:p>
      <w:pPr>
        <w:spacing w:after="0" w:line="183" w:lineRule="exact"/>
        <w:rPr>
          <w:sz w:val="20"/>
          <w:szCs w:val="20"/>
          <w:color w:val="auto"/>
        </w:rPr>
      </w:pPr>
    </w:p>
    <w:p>
      <w:pPr>
        <w:ind w:left="1300" w:hanging="320"/>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director’s death;</w:t>
      </w:r>
    </w:p>
    <w:p>
      <w:pPr>
        <w:spacing w:after="0" w:line="198" w:lineRule="exact"/>
        <w:rPr>
          <w:rFonts w:ascii="Arial" w:cs="Arial" w:eastAsia="Arial" w:hAnsi="Arial"/>
          <w:sz w:val="18"/>
          <w:szCs w:val="18"/>
          <w:color w:val="auto"/>
        </w:rPr>
      </w:pPr>
    </w:p>
    <w:p>
      <w:pPr>
        <w:ind w:left="1300" w:right="80" w:hanging="320"/>
        <w:spacing w:after="0" w:line="246"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180 days following the end of such director’s term on our board of directors, or if the director has satisfied our stock ownership guidelines and made an election prior to the grant, the vesting date of the award; and</w:t>
      </w:r>
    </w:p>
    <w:p>
      <w:pPr>
        <w:spacing w:after="0" w:line="183" w:lineRule="exact"/>
        <w:rPr>
          <w:rFonts w:ascii="Arial" w:cs="Arial" w:eastAsia="Arial" w:hAnsi="Arial"/>
          <w:sz w:val="18"/>
          <w:szCs w:val="18"/>
          <w:color w:val="auto"/>
        </w:rPr>
      </w:pPr>
    </w:p>
    <w:p>
      <w:pPr>
        <w:ind w:left="1300" w:hanging="320"/>
        <w:spacing w:after="0" w:line="246"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 or 2015 Plan, as applicable, that satisfies the requirements of Section 409A of the Code.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Risk and Compensation Policies</w:t>
      </w:r>
    </w:p>
    <w:p>
      <w:pPr>
        <w:spacing w:after="0" w:line="22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Our Compensation Committee has taken into account its discussions with management regarding our compensation practices and has concluded that any risks arising from our compensation policies and practices are not reasonably likely to have a material adverse effect on us.</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508BC7"/>
        </w:rPr>
        <w:t>STOCK OWNERSHIP OF DIRECTORS, EXECUTIVE OFFICERS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08BC7"/>
        </w:rPr>
        <w:t>AND CERTAIN BENEFICIAL OWNERS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indicated, the table below sets forth information with respect to the beneficial ownership of our common stock by:</w:t>
      </w:r>
    </w:p>
    <w:p>
      <w:pPr>
        <w:spacing w:after="0" w:line="198"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of our directors and each of our named executive officers individually;</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our common stock;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of our current directors and current executive officers (i.e., not just named executive officers) as a group.</w:t>
      </w:r>
    </w:p>
    <w:p>
      <w:pPr>
        <w:spacing w:after="0" w:line="198"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amounts and percentages of common stock beneficially owned below are as of March 31, 2017 (the “Determination Date”), and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the Determination Date. Under these rules, more than one person may be deemed to be a beneficial owner of the same securities. Except as otherwise indicated below, each of the persons named in the table has sole voting and investment power with respect to the securities beneficially owned by such person as set forth opposite such person’s name.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1680" w:type="dxa"/>
            <w:vAlign w:val="bottom"/>
            <w:shd w:val="clear" w:color="auto" w:fill="508BC7"/>
          </w:tcPr>
          <w:p>
            <w:pPr>
              <w:spacing w:after="0"/>
              <w:rPr>
                <w:sz w:val="24"/>
                <w:szCs w:val="24"/>
                <w:color w:val="auto"/>
              </w:rPr>
            </w:pPr>
          </w:p>
        </w:tc>
        <w:tc>
          <w:tcPr>
            <w:tcW w:w="180" w:type="dxa"/>
            <w:vAlign w:val="bottom"/>
            <w:shd w:val="clear" w:color="auto" w:fill="508BC7"/>
          </w:tcPr>
          <w:p>
            <w:pPr>
              <w:spacing w:after="0"/>
              <w:rPr>
                <w:sz w:val="24"/>
                <w:szCs w:val="24"/>
                <w:color w:val="auto"/>
              </w:rPr>
            </w:pPr>
          </w:p>
        </w:tc>
        <w:tc>
          <w:tcPr>
            <w:tcW w:w="3040" w:type="dxa"/>
            <w:vAlign w:val="bottom"/>
            <w:shd w:val="clear" w:color="auto" w:fill="508BC7"/>
          </w:tcPr>
          <w:p>
            <w:pPr>
              <w:spacing w:after="0"/>
              <w:rPr>
                <w:sz w:val="24"/>
                <w:szCs w:val="24"/>
                <w:color w:val="auto"/>
              </w:rPr>
            </w:pPr>
          </w:p>
        </w:tc>
        <w:tc>
          <w:tcPr>
            <w:tcW w:w="3180" w:type="dxa"/>
            <w:vAlign w:val="bottom"/>
            <w:gridSpan w:val="2"/>
            <w:shd w:val="clear" w:color="auto" w:fill="508BC7"/>
          </w:tcPr>
          <w:p>
            <w:pPr>
              <w:jc w:val="right"/>
              <w:ind w:right="590"/>
              <w:spacing w:after="0"/>
              <w:rPr>
                <w:sz w:val="20"/>
                <w:szCs w:val="20"/>
                <w:color w:val="auto"/>
              </w:rPr>
            </w:pPr>
            <w:r>
              <w:rPr>
                <w:rFonts w:ascii="Arial" w:cs="Arial" w:eastAsia="Arial" w:hAnsi="Arial"/>
                <w:sz w:val="18"/>
                <w:szCs w:val="18"/>
                <w:b w:val="1"/>
                <w:bCs w:val="1"/>
                <w:color w:val="FFFFFF"/>
              </w:rPr>
              <w:t>Beneficial Ownership</w:t>
            </w:r>
          </w:p>
        </w:tc>
        <w:tc>
          <w:tcPr>
            <w:tcW w:w="1840" w:type="dxa"/>
            <w:vAlign w:val="bottom"/>
            <w:shd w:val="clear" w:color="auto" w:fill="508BC7"/>
          </w:tcPr>
          <w:p>
            <w:pPr>
              <w:jc w:val="center"/>
              <w:spacing w:after="0"/>
              <w:rPr>
                <w:sz w:val="20"/>
                <w:szCs w:val="20"/>
                <w:color w:val="auto"/>
              </w:rPr>
            </w:pPr>
            <w:r>
              <w:rPr>
                <w:rFonts w:ascii="Arial" w:cs="Arial" w:eastAsia="Arial" w:hAnsi="Arial"/>
                <w:sz w:val="18"/>
                <w:szCs w:val="18"/>
                <w:b w:val="1"/>
                <w:bCs w:val="1"/>
                <w:color w:val="FFFFFF"/>
                <w:w w:val="99"/>
              </w:rPr>
              <w:t>Vested but</w:t>
            </w:r>
          </w:p>
        </w:tc>
        <w:tc>
          <w:tcPr>
            <w:tcW w:w="1480" w:type="dxa"/>
            <w:vAlign w:val="bottom"/>
            <w:shd w:val="clear" w:color="auto" w:fill="508BC7"/>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80" w:type="dxa"/>
            <w:vAlign w:val="bottom"/>
            <w:shd w:val="clear" w:color="auto" w:fill="508BC7"/>
          </w:tcPr>
          <w:p>
            <w:pPr>
              <w:spacing w:after="0"/>
              <w:rPr>
                <w:sz w:val="17"/>
                <w:szCs w:val="17"/>
                <w:color w:val="auto"/>
              </w:rPr>
            </w:pPr>
          </w:p>
        </w:tc>
        <w:tc>
          <w:tcPr>
            <w:tcW w:w="180" w:type="dxa"/>
            <w:vAlign w:val="bottom"/>
            <w:shd w:val="clear" w:color="auto" w:fill="508BC7"/>
          </w:tcPr>
          <w:p>
            <w:pPr>
              <w:spacing w:after="0"/>
              <w:rPr>
                <w:sz w:val="17"/>
                <w:szCs w:val="17"/>
                <w:color w:val="auto"/>
              </w:rPr>
            </w:pPr>
          </w:p>
        </w:tc>
        <w:tc>
          <w:tcPr>
            <w:tcW w:w="3040" w:type="dxa"/>
            <w:vAlign w:val="bottom"/>
            <w:shd w:val="clear" w:color="auto" w:fill="508BC7"/>
          </w:tcPr>
          <w:p>
            <w:pPr>
              <w:spacing w:after="0"/>
              <w:rPr>
                <w:sz w:val="17"/>
                <w:szCs w:val="17"/>
                <w:color w:val="auto"/>
              </w:rPr>
            </w:pPr>
          </w:p>
        </w:tc>
        <w:tc>
          <w:tcPr>
            <w:tcW w:w="1540" w:type="dxa"/>
            <w:vAlign w:val="bottom"/>
            <w:shd w:val="clear" w:color="auto" w:fill="508BC7"/>
          </w:tcPr>
          <w:p>
            <w:pPr>
              <w:spacing w:after="0"/>
              <w:rPr>
                <w:sz w:val="17"/>
                <w:szCs w:val="17"/>
                <w:color w:val="auto"/>
              </w:rPr>
            </w:pPr>
          </w:p>
        </w:tc>
        <w:tc>
          <w:tcPr>
            <w:tcW w:w="1640" w:type="dxa"/>
            <w:vAlign w:val="bottom"/>
            <w:shd w:val="clear" w:color="auto" w:fill="508BC7"/>
          </w:tcPr>
          <w:p>
            <w:pPr>
              <w:jc w:val="right"/>
              <w:ind w:right="210"/>
              <w:spacing w:after="0" w:line="197" w:lineRule="exact"/>
              <w:rPr>
                <w:sz w:val="20"/>
                <w:szCs w:val="20"/>
                <w:color w:val="auto"/>
              </w:rPr>
            </w:pPr>
            <w:r>
              <w:rPr>
                <w:rFonts w:ascii="Arial" w:cs="Arial" w:eastAsia="Arial" w:hAnsi="Arial"/>
                <w:sz w:val="18"/>
                <w:szCs w:val="18"/>
                <w:b w:val="1"/>
                <w:bCs w:val="1"/>
                <w:color w:val="FFFFFF"/>
              </w:rPr>
              <w:t>Percentage</w:t>
            </w:r>
          </w:p>
        </w:tc>
        <w:tc>
          <w:tcPr>
            <w:tcW w:w="1840" w:type="dxa"/>
            <w:vAlign w:val="bottom"/>
            <w:shd w:val="clear" w:color="auto" w:fill="508BC7"/>
          </w:tcPr>
          <w:p>
            <w:pPr>
              <w:jc w:val="center"/>
              <w:spacing w:after="0" w:line="197" w:lineRule="exact"/>
              <w:rPr>
                <w:sz w:val="20"/>
                <w:szCs w:val="20"/>
                <w:color w:val="auto"/>
              </w:rPr>
            </w:pPr>
            <w:r>
              <w:rPr>
                <w:rFonts w:ascii="Arial" w:cs="Arial" w:eastAsia="Arial" w:hAnsi="Arial"/>
                <w:sz w:val="18"/>
                <w:szCs w:val="18"/>
                <w:b w:val="1"/>
                <w:bCs w:val="1"/>
                <w:color w:val="FFFFFF"/>
              </w:rPr>
              <w:t>Unsettled Restricted</w:t>
            </w:r>
          </w:p>
        </w:tc>
        <w:tc>
          <w:tcPr>
            <w:tcW w:w="1480" w:type="dxa"/>
            <w:vAlign w:val="bottom"/>
            <w:shd w:val="clear" w:color="auto" w:fill="508BC7"/>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900" w:type="dxa"/>
            <w:vAlign w:val="bottom"/>
            <w:gridSpan w:val="3"/>
            <w:shd w:val="clear" w:color="auto" w:fill="508BC7"/>
          </w:tcPr>
          <w:p>
            <w:pPr>
              <w:ind w:left="20"/>
              <w:spacing w:after="0" w:line="275" w:lineRule="exact"/>
              <w:rPr>
                <w:sz w:val="20"/>
                <w:szCs w:val="20"/>
                <w:color w:val="auto"/>
              </w:rPr>
            </w:pPr>
            <w:r>
              <w:rPr>
                <w:rFonts w:ascii="Arial" w:cs="Arial" w:eastAsia="Arial" w:hAnsi="Arial"/>
                <w:sz w:val="18"/>
                <w:szCs w:val="18"/>
                <w:b w:val="1"/>
                <w:bCs w:val="1"/>
                <w:color w:val="FFFFFF"/>
              </w:rPr>
              <w:t>Name and Address of Beneficial Owner</w:t>
            </w:r>
            <w:r>
              <w:rPr>
                <w:rFonts w:ascii="Arial" w:cs="Arial" w:eastAsia="Arial" w:hAnsi="Arial"/>
                <w:sz w:val="30"/>
                <w:szCs w:val="30"/>
                <w:b w:val="1"/>
                <w:bCs w:val="1"/>
                <w:color w:val="FFFFFF"/>
                <w:vertAlign w:val="superscript"/>
              </w:rPr>
              <w:t>(1)</w:t>
            </w:r>
          </w:p>
        </w:tc>
        <w:tc>
          <w:tcPr>
            <w:tcW w:w="1540" w:type="dxa"/>
            <w:vAlign w:val="bottom"/>
            <w:shd w:val="clear" w:color="auto" w:fill="508BC7"/>
          </w:tcPr>
          <w:p>
            <w:pPr>
              <w:jc w:val="right"/>
              <w:ind w:right="370"/>
              <w:spacing w:after="0"/>
              <w:rPr>
                <w:sz w:val="20"/>
                <w:szCs w:val="20"/>
                <w:color w:val="auto"/>
              </w:rPr>
            </w:pPr>
            <w:r>
              <w:rPr>
                <w:rFonts w:ascii="Arial" w:cs="Arial" w:eastAsia="Arial" w:hAnsi="Arial"/>
                <w:sz w:val="18"/>
                <w:szCs w:val="18"/>
                <w:b w:val="1"/>
                <w:bCs w:val="1"/>
                <w:color w:val="FFFFFF"/>
              </w:rPr>
              <w:t>Shares</w:t>
            </w:r>
          </w:p>
        </w:tc>
        <w:tc>
          <w:tcPr>
            <w:tcW w:w="1640" w:type="dxa"/>
            <w:vAlign w:val="bottom"/>
            <w:shd w:val="clear" w:color="auto" w:fill="508BC7"/>
          </w:tcPr>
          <w:p>
            <w:pPr>
              <w:jc w:val="right"/>
              <w:ind w:right="470"/>
              <w:spacing w:after="0" w:line="275" w:lineRule="exact"/>
              <w:rPr>
                <w:sz w:val="20"/>
                <w:szCs w:val="20"/>
                <w:color w:val="auto"/>
              </w:rPr>
            </w:pPr>
            <w:r>
              <w:rPr>
                <w:rFonts w:ascii="Arial" w:cs="Arial" w:eastAsia="Arial" w:hAnsi="Arial"/>
                <w:sz w:val="18"/>
                <w:szCs w:val="18"/>
                <w:b w:val="1"/>
                <w:bCs w:val="1"/>
                <w:color w:val="FFFFFF"/>
              </w:rPr>
              <w:t>(%)</w:t>
            </w:r>
            <w:r>
              <w:rPr>
                <w:rFonts w:ascii="Arial" w:cs="Arial" w:eastAsia="Arial" w:hAnsi="Arial"/>
                <w:sz w:val="30"/>
                <w:szCs w:val="30"/>
                <w:b w:val="1"/>
                <w:bCs w:val="1"/>
                <w:color w:val="FFFFFF"/>
                <w:vertAlign w:val="superscript"/>
              </w:rPr>
              <w:t>(2)</w:t>
            </w:r>
          </w:p>
        </w:tc>
        <w:tc>
          <w:tcPr>
            <w:tcW w:w="1840" w:type="dxa"/>
            <w:vAlign w:val="bottom"/>
            <w:shd w:val="clear" w:color="auto" w:fill="508BC7"/>
          </w:tcPr>
          <w:p>
            <w:pPr>
              <w:jc w:val="center"/>
              <w:spacing w:after="0" w:line="275" w:lineRule="exact"/>
              <w:rPr>
                <w:sz w:val="20"/>
                <w:szCs w:val="20"/>
                <w:color w:val="auto"/>
              </w:rPr>
            </w:pPr>
            <w:r>
              <w:rPr>
                <w:rFonts w:ascii="Arial" w:cs="Arial" w:eastAsia="Arial" w:hAnsi="Arial"/>
                <w:sz w:val="18"/>
                <w:szCs w:val="18"/>
                <w:b w:val="1"/>
                <w:bCs w:val="1"/>
                <w:color w:val="FFFFFF"/>
                <w:w w:val="95"/>
              </w:rPr>
              <w:t>Stock Units</w:t>
            </w:r>
            <w:r>
              <w:rPr>
                <w:rFonts w:ascii="Arial" w:cs="Arial" w:eastAsia="Arial" w:hAnsi="Arial"/>
                <w:sz w:val="30"/>
                <w:szCs w:val="30"/>
                <w:b w:val="1"/>
                <w:bCs w:val="1"/>
                <w:color w:val="FFFFFF"/>
                <w:w w:val="95"/>
                <w:vertAlign w:val="superscript"/>
              </w:rPr>
              <w:t>(3)</w:t>
            </w:r>
          </w:p>
        </w:tc>
        <w:tc>
          <w:tcPr>
            <w:tcW w:w="1480" w:type="dxa"/>
            <w:vAlign w:val="bottom"/>
            <w:shd w:val="clear" w:color="auto" w:fill="508BC7"/>
          </w:tcPr>
          <w:p>
            <w:pPr>
              <w:jc w:val="right"/>
              <w:ind w:right="39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5% Beneficial Owners</w:t>
            </w:r>
          </w:p>
        </w:tc>
        <w:tc>
          <w:tcPr>
            <w:tcW w:w="15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gridSpan w:val="3"/>
            <w:shd w:val="clear" w:color="auto" w:fill="D0E0F0"/>
          </w:tcPr>
          <w:p>
            <w:pPr>
              <w:spacing w:after="0" w:line="243" w:lineRule="exact"/>
              <w:rPr>
                <w:sz w:val="20"/>
                <w:szCs w:val="20"/>
                <w:color w:val="auto"/>
              </w:rPr>
            </w:pPr>
            <w:r>
              <w:rPr>
                <w:rFonts w:ascii="Arial" w:cs="Arial" w:eastAsia="Arial" w:hAnsi="Arial"/>
                <w:sz w:val="17"/>
                <w:szCs w:val="17"/>
                <w:color w:val="auto"/>
              </w:rPr>
              <w:t>Blackrock Inc.</w:t>
            </w:r>
            <w:r>
              <w:rPr>
                <w:rFonts w:ascii="Arial" w:cs="Arial" w:eastAsia="Arial" w:hAnsi="Arial"/>
                <w:sz w:val="28"/>
                <w:szCs w:val="28"/>
                <w:color w:val="auto"/>
                <w:vertAlign w:val="superscript"/>
              </w:rPr>
              <w:t>(4)</w:t>
            </w:r>
          </w:p>
        </w:tc>
        <w:tc>
          <w:tcPr>
            <w:tcW w:w="1540" w:type="dxa"/>
            <w:vAlign w:val="bottom"/>
            <w:shd w:val="clear" w:color="auto" w:fill="D0E0F0"/>
          </w:tcPr>
          <w:p>
            <w:pPr>
              <w:jc w:val="right"/>
              <w:ind w:right="250"/>
              <w:spacing w:after="0"/>
              <w:rPr>
                <w:sz w:val="20"/>
                <w:szCs w:val="20"/>
                <w:color w:val="auto"/>
              </w:rPr>
            </w:pPr>
            <w:r>
              <w:rPr>
                <w:rFonts w:ascii="Arial" w:cs="Arial" w:eastAsia="Arial" w:hAnsi="Arial"/>
                <w:sz w:val="18"/>
                <w:szCs w:val="18"/>
                <w:color w:val="auto"/>
              </w:rPr>
              <w:t>3,689,149</w:t>
            </w:r>
          </w:p>
        </w:tc>
        <w:tc>
          <w:tcPr>
            <w:tcW w:w="1640" w:type="dxa"/>
            <w:vAlign w:val="bottom"/>
            <w:shd w:val="clear" w:color="auto" w:fill="D0E0F0"/>
          </w:tcPr>
          <w:p>
            <w:pPr>
              <w:jc w:val="right"/>
              <w:ind w:right="290"/>
              <w:spacing w:after="0"/>
              <w:rPr>
                <w:sz w:val="20"/>
                <w:szCs w:val="20"/>
                <w:color w:val="auto"/>
              </w:rPr>
            </w:pPr>
            <w:r>
              <w:rPr>
                <w:rFonts w:ascii="Arial" w:cs="Arial" w:eastAsia="Arial" w:hAnsi="Arial"/>
                <w:sz w:val="18"/>
                <w:szCs w:val="18"/>
                <w:color w:val="auto"/>
              </w:rPr>
              <w:t>10.92</w:t>
            </w:r>
          </w:p>
        </w:tc>
        <w:tc>
          <w:tcPr>
            <w:tcW w:w="1840" w:type="dxa"/>
            <w:vAlign w:val="bottom"/>
            <w:shd w:val="clear" w:color="auto" w:fill="D0E0F0"/>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0E0F0"/>
          </w:tcPr>
          <w:p>
            <w:pPr>
              <w:jc w:val="right"/>
              <w:spacing w:after="0"/>
              <w:rPr>
                <w:sz w:val="20"/>
                <w:szCs w:val="20"/>
                <w:color w:val="auto"/>
              </w:rPr>
            </w:pPr>
            <w:r>
              <w:rPr>
                <w:rFonts w:ascii="Arial" w:cs="Arial" w:eastAsia="Arial" w:hAnsi="Arial"/>
                <w:sz w:val="18"/>
                <w:szCs w:val="18"/>
                <w:color w:val="auto"/>
              </w:rPr>
              <w:t>3,689,149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3"/>
          </w:tcPr>
          <w:p>
            <w:pPr>
              <w:spacing w:after="0" w:line="243" w:lineRule="exact"/>
              <w:rPr>
                <w:sz w:val="20"/>
                <w:szCs w:val="20"/>
                <w:color w:val="auto"/>
              </w:rPr>
            </w:pPr>
            <w:r>
              <w:rPr>
                <w:rFonts w:ascii="Arial" w:cs="Arial" w:eastAsia="Arial" w:hAnsi="Arial"/>
                <w:sz w:val="17"/>
                <w:szCs w:val="17"/>
                <w:color w:val="auto"/>
              </w:rPr>
              <w:t>FMR LLC</w:t>
            </w:r>
            <w:r>
              <w:rPr>
                <w:rFonts w:ascii="Arial" w:cs="Arial" w:eastAsia="Arial" w:hAnsi="Arial"/>
                <w:sz w:val="28"/>
                <w:szCs w:val="28"/>
                <w:color w:val="auto"/>
                <w:vertAlign w:val="superscript"/>
              </w:rPr>
              <w:t>(5)</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3,560,022</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10.53</w:t>
            </w:r>
          </w:p>
        </w:tc>
        <w:tc>
          <w:tcPr>
            <w:tcW w:w="18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3,560,022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3"/>
            <w:shd w:val="clear" w:color="auto" w:fill="D0E0F0"/>
          </w:tcPr>
          <w:p>
            <w:pPr>
              <w:spacing w:after="0" w:line="243" w:lineRule="exact"/>
              <w:rPr>
                <w:sz w:val="20"/>
                <w:szCs w:val="20"/>
                <w:color w:val="auto"/>
              </w:rPr>
            </w:pPr>
            <w:r>
              <w:rPr>
                <w:rFonts w:ascii="Arial" w:cs="Arial" w:eastAsia="Arial" w:hAnsi="Arial"/>
                <w:sz w:val="17"/>
                <w:szCs w:val="17"/>
                <w:color w:val="auto"/>
              </w:rPr>
              <w:t>Vanguard Group, Inc.</w:t>
            </w:r>
            <w:r>
              <w:rPr>
                <w:rFonts w:ascii="Arial" w:cs="Arial" w:eastAsia="Arial" w:hAnsi="Arial"/>
                <w:sz w:val="28"/>
                <w:szCs w:val="28"/>
                <w:color w:val="auto"/>
                <w:vertAlign w:val="superscript"/>
              </w:rPr>
              <w:t>(6)</w:t>
            </w:r>
          </w:p>
        </w:tc>
        <w:tc>
          <w:tcPr>
            <w:tcW w:w="1540" w:type="dxa"/>
            <w:vAlign w:val="bottom"/>
            <w:shd w:val="clear" w:color="auto" w:fill="D0E0F0"/>
          </w:tcPr>
          <w:p>
            <w:pPr>
              <w:jc w:val="right"/>
              <w:ind w:right="250"/>
              <w:spacing w:after="0"/>
              <w:rPr>
                <w:sz w:val="20"/>
                <w:szCs w:val="20"/>
                <w:color w:val="auto"/>
              </w:rPr>
            </w:pPr>
            <w:r>
              <w:rPr>
                <w:rFonts w:ascii="Arial" w:cs="Arial" w:eastAsia="Arial" w:hAnsi="Arial"/>
                <w:sz w:val="18"/>
                <w:szCs w:val="18"/>
                <w:color w:val="auto"/>
              </w:rPr>
              <w:t>2,752,412</w:t>
            </w:r>
          </w:p>
        </w:tc>
        <w:tc>
          <w:tcPr>
            <w:tcW w:w="1640" w:type="dxa"/>
            <w:vAlign w:val="bottom"/>
            <w:shd w:val="clear" w:color="auto" w:fill="D0E0F0"/>
          </w:tcPr>
          <w:p>
            <w:pPr>
              <w:jc w:val="right"/>
              <w:ind w:right="290"/>
              <w:spacing w:after="0"/>
              <w:rPr>
                <w:sz w:val="20"/>
                <w:szCs w:val="20"/>
                <w:color w:val="auto"/>
              </w:rPr>
            </w:pPr>
            <w:r>
              <w:rPr>
                <w:rFonts w:ascii="Arial" w:cs="Arial" w:eastAsia="Arial" w:hAnsi="Arial"/>
                <w:sz w:val="18"/>
                <w:szCs w:val="18"/>
                <w:color w:val="auto"/>
              </w:rPr>
              <w:t>8.14</w:t>
            </w:r>
          </w:p>
        </w:tc>
        <w:tc>
          <w:tcPr>
            <w:tcW w:w="1840" w:type="dxa"/>
            <w:vAlign w:val="bottom"/>
            <w:shd w:val="clear" w:color="auto" w:fill="D0E0F0"/>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0E0F0"/>
          </w:tcPr>
          <w:p>
            <w:pPr>
              <w:jc w:val="right"/>
              <w:spacing w:after="0"/>
              <w:rPr>
                <w:sz w:val="20"/>
                <w:szCs w:val="20"/>
                <w:color w:val="auto"/>
              </w:rPr>
            </w:pPr>
            <w:r>
              <w:rPr>
                <w:rFonts w:ascii="Arial" w:cs="Arial" w:eastAsia="Arial" w:hAnsi="Arial"/>
                <w:sz w:val="18"/>
                <w:szCs w:val="18"/>
                <w:color w:val="auto"/>
              </w:rPr>
              <w:t>2,752,412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00" w:type="dxa"/>
            <w:vAlign w:val="bottom"/>
            <w:gridSpan w:val="3"/>
          </w:tcPr>
          <w:p>
            <w:pPr>
              <w:spacing w:after="0" w:line="220" w:lineRule="exact"/>
              <w:rPr>
                <w:sz w:val="20"/>
                <w:szCs w:val="20"/>
                <w:color w:val="auto"/>
              </w:rPr>
            </w:pPr>
            <w:r>
              <w:rPr>
                <w:rFonts w:ascii="Arial" w:cs="Arial" w:eastAsia="Arial" w:hAnsi="Arial"/>
                <w:sz w:val="16"/>
                <w:szCs w:val="16"/>
                <w:color w:val="auto"/>
              </w:rPr>
              <w:t>Wellington Management Group LLP</w:t>
            </w:r>
            <w:r>
              <w:rPr>
                <w:rFonts w:ascii="Arial" w:cs="Arial" w:eastAsia="Arial" w:hAnsi="Arial"/>
                <w:sz w:val="25"/>
                <w:szCs w:val="25"/>
                <w:color w:val="auto"/>
                <w:vertAlign w:val="superscript"/>
              </w:rPr>
              <w:t>(7)</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2,037,425</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6.03</w:t>
            </w:r>
          </w:p>
        </w:tc>
        <w:tc>
          <w:tcPr>
            <w:tcW w:w="18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2,037,425</w:t>
            </w:r>
          </w:p>
        </w:tc>
        <w:tc>
          <w:tcPr>
            <w:tcW w:w="0" w:type="dxa"/>
            <w:vAlign w:val="bottom"/>
          </w:tcPr>
          <w:p>
            <w:pPr>
              <w:spacing w:after="0"/>
              <w:rPr>
                <w:sz w:val="1"/>
                <w:szCs w:val="1"/>
                <w:color w:val="auto"/>
              </w:rPr>
            </w:pPr>
          </w:p>
        </w:tc>
      </w:tr>
      <w:tr>
        <w:trPr>
          <w:trHeight w:val="198"/>
        </w:trPr>
        <w:tc>
          <w:tcPr>
            <w:tcW w:w="4920" w:type="dxa"/>
            <w:vAlign w:val="bottom"/>
            <w:gridSpan w:val="4"/>
          </w:tcPr>
          <w:p>
            <w:pPr>
              <w:spacing w:after="0" w:line="199" w:lineRule="exact"/>
              <w:rPr>
                <w:sz w:val="20"/>
                <w:szCs w:val="20"/>
                <w:color w:val="auto"/>
              </w:rPr>
            </w:pPr>
            <w:r>
              <w:rPr>
                <w:rFonts w:ascii="Arial" w:cs="Arial" w:eastAsia="Arial" w:hAnsi="Arial"/>
                <w:sz w:val="18"/>
                <w:szCs w:val="18"/>
                <w:b w:val="1"/>
                <w:bCs w:val="1"/>
                <w:color w:val="auto"/>
              </w:rPr>
              <w:t>NEOs and Directors</w:t>
            </w:r>
          </w:p>
        </w:tc>
        <w:tc>
          <w:tcPr>
            <w:tcW w:w="1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Pavan Bagai</w:t>
            </w:r>
          </w:p>
        </w:tc>
        <w:tc>
          <w:tcPr>
            <w:tcW w:w="3220" w:type="dxa"/>
            <w:vAlign w:val="bottom"/>
            <w:gridSpan w:val="2"/>
          </w:tcPr>
          <w:p>
            <w:pPr>
              <w:spacing w:after="0"/>
              <w:rPr>
                <w:sz w:val="20"/>
                <w:szCs w:val="20"/>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125,581</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125,581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3"/>
            <w:shd w:val="clear" w:color="auto" w:fill="D0E0F0"/>
          </w:tcPr>
          <w:p>
            <w:pPr>
              <w:spacing w:after="0" w:line="243" w:lineRule="exact"/>
              <w:rPr>
                <w:sz w:val="20"/>
                <w:szCs w:val="20"/>
                <w:color w:val="auto"/>
              </w:rPr>
            </w:pPr>
            <w:r>
              <w:rPr>
                <w:rFonts w:ascii="Arial" w:cs="Arial" w:eastAsia="Arial" w:hAnsi="Arial"/>
                <w:sz w:val="17"/>
                <w:szCs w:val="17"/>
                <w:color w:val="auto"/>
              </w:rPr>
              <w:t>Rembert de Villa</w:t>
            </w:r>
            <w:r>
              <w:rPr>
                <w:rFonts w:ascii="Arial" w:cs="Arial" w:eastAsia="Arial" w:hAnsi="Arial"/>
                <w:sz w:val="28"/>
                <w:szCs w:val="28"/>
                <w:color w:val="auto"/>
                <w:vertAlign w:val="superscript"/>
              </w:rPr>
              <w:t>(8)</w:t>
            </w:r>
          </w:p>
        </w:tc>
        <w:tc>
          <w:tcPr>
            <w:tcW w:w="1540" w:type="dxa"/>
            <w:vAlign w:val="bottom"/>
            <w:shd w:val="clear" w:color="auto" w:fill="D0E0F0"/>
          </w:tcPr>
          <w:p>
            <w:pPr>
              <w:jc w:val="right"/>
              <w:ind w:right="250"/>
              <w:spacing w:after="0"/>
              <w:rPr>
                <w:sz w:val="20"/>
                <w:szCs w:val="20"/>
                <w:color w:val="auto"/>
              </w:rPr>
            </w:pPr>
            <w:r>
              <w:rPr>
                <w:rFonts w:ascii="Arial" w:cs="Arial" w:eastAsia="Arial" w:hAnsi="Arial"/>
                <w:sz w:val="18"/>
                <w:szCs w:val="18"/>
                <w:color w:val="auto"/>
              </w:rPr>
              <w:t>97,397</w:t>
            </w:r>
          </w:p>
        </w:tc>
        <w:tc>
          <w:tcPr>
            <w:tcW w:w="1640" w:type="dxa"/>
            <w:vAlign w:val="bottom"/>
            <w:shd w:val="clear" w:color="auto" w:fill="D0E0F0"/>
          </w:tcPr>
          <w:p>
            <w:pPr>
              <w:jc w:val="right"/>
              <w:ind w:right="290"/>
              <w:spacing w:after="0"/>
              <w:rPr>
                <w:sz w:val="20"/>
                <w:szCs w:val="20"/>
                <w:color w:val="auto"/>
              </w:rPr>
            </w:pPr>
            <w:r>
              <w:rPr>
                <w:rFonts w:ascii="Arial" w:cs="Arial" w:eastAsia="Arial" w:hAnsi="Arial"/>
                <w:sz w:val="18"/>
                <w:szCs w:val="18"/>
                <w:color w:val="auto"/>
              </w:rPr>
              <w:t>*</w:t>
            </w:r>
          </w:p>
        </w:tc>
        <w:tc>
          <w:tcPr>
            <w:tcW w:w="1840" w:type="dxa"/>
            <w:vAlign w:val="bottom"/>
            <w:shd w:val="clear" w:color="auto" w:fill="D0E0F0"/>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0E0F0"/>
          </w:tcPr>
          <w:p>
            <w:pPr>
              <w:jc w:val="right"/>
              <w:spacing w:after="0"/>
              <w:rPr>
                <w:sz w:val="20"/>
                <w:szCs w:val="20"/>
                <w:color w:val="auto"/>
              </w:rPr>
            </w:pPr>
            <w:r>
              <w:rPr>
                <w:rFonts w:ascii="Arial" w:cs="Arial" w:eastAsia="Arial" w:hAnsi="Arial"/>
                <w:sz w:val="18"/>
                <w:szCs w:val="18"/>
                <w:color w:val="auto"/>
              </w:rPr>
              <w:t>97,397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3"/>
          </w:tcPr>
          <w:p>
            <w:pPr>
              <w:spacing w:after="0" w:line="243" w:lineRule="exact"/>
              <w:rPr>
                <w:sz w:val="20"/>
                <w:szCs w:val="20"/>
                <w:color w:val="auto"/>
              </w:rPr>
            </w:pPr>
            <w:r>
              <w:rPr>
                <w:rFonts w:ascii="Arial" w:cs="Arial" w:eastAsia="Arial" w:hAnsi="Arial"/>
                <w:sz w:val="17"/>
                <w:szCs w:val="17"/>
                <w:color w:val="auto"/>
              </w:rPr>
              <w:t>Vishal Chhibbar</w:t>
            </w:r>
            <w:r>
              <w:rPr>
                <w:rFonts w:ascii="Arial" w:cs="Arial" w:eastAsia="Arial" w:hAnsi="Arial"/>
                <w:sz w:val="28"/>
                <w:szCs w:val="28"/>
                <w:color w:val="auto"/>
                <w:vertAlign w:val="superscript"/>
              </w:rPr>
              <w:t>(9)</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64,025</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64,025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gridSpan w:val="3"/>
            <w:shd w:val="clear" w:color="auto" w:fill="D0E0F0"/>
          </w:tcPr>
          <w:p>
            <w:pPr>
              <w:spacing w:after="0"/>
              <w:rPr>
                <w:sz w:val="20"/>
                <w:szCs w:val="20"/>
                <w:color w:val="auto"/>
              </w:rPr>
            </w:pPr>
            <w:r>
              <w:rPr>
                <w:rFonts w:ascii="Arial" w:cs="Arial" w:eastAsia="Arial" w:hAnsi="Arial"/>
                <w:sz w:val="18"/>
                <w:szCs w:val="18"/>
                <w:color w:val="auto"/>
              </w:rPr>
              <w:t>Nalin Miglani</w:t>
            </w:r>
          </w:p>
        </w:tc>
        <w:tc>
          <w:tcPr>
            <w:tcW w:w="1540" w:type="dxa"/>
            <w:vAlign w:val="bottom"/>
            <w:shd w:val="clear" w:color="auto" w:fill="D0E0F0"/>
          </w:tcPr>
          <w:p>
            <w:pPr>
              <w:jc w:val="right"/>
              <w:ind w:right="5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D0E0F0"/>
          </w:tcPr>
          <w:p>
            <w:pPr>
              <w:jc w:val="right"/>
              <w:ind w:right="290"/>
              <w:spacing w:after="0"/>
              <w:rPr>
                <w:sz w:val="20"/>
                <w:szCs w:val="20"/>
                <w:color w:val="auto"/>
              </w:rPr>
            </w:pPr>
            <w:r>
              <w:rPr>
                <w:rFonts w:ascii="Arial" w:cs="Arial" w:eastAsia="Arial" w:hAnsi="Arial"/>
                <w:sz w:val="18"/>
                <w:szCs w:val="18"/>
                <w:color w:val="auto"/>
              </w:rPr>
              <w:t>*</w:t>
            </w:r>
          </w:p>
        </w:tc>
        <w:tc>
          <w:tcPr>
            <w:tcW w:w="1840" w:type="dxa"/>
            <w:vAlign w:val="bottom"/>
            <w:shd w:val="clear" w:color="auto" w:fill="D0E0F0"/>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0E0F0"/>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3"/>
          </w:tcPr>
          <w:p>
            <w:pPr>
              <w:spacing w:after="0" w:line="243" w:lineRule="exact"/>
              <w:rPr>
                <w:sz w:val="20"/>
                <w:szCs w:val="20"/>
                <w:color w:val="auto"/>
              </w:rPr>
            </w:pPr>
            <w:r>
              <w:rPr>
                <w:rFonts w:ascii="Arial" w:cs="Arial" w:eastAsia="Arial" w:hAnsi="Arial"/>
                <w:sz w:val="17"/>
                <w:szCs w:val="17"/>
                <w:color w:val="auto"/>
              </w:rPr>
              <w:t>Rohit Kapoor</w:t>
            </w:r>
            <w:r>
              <w:rPr>
                <w:rFonts w:ascii="Arial" w:cs="Arial" w:eastAsia="Arial" w:hAnsi="Arial"/>
                <w:sz w:val="28"/>
                <w:szCs w:val="28"/>
                <w:color w:val="auto"/>
                <w:vertAlign w:val="superscript"/>
              </w:rPr>
              <w:t>(10)</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1,534,074</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4.48</w:t>
            </w:r>
          </w:p>
        </w:tc>
        <w:tc>
          <w:tcPr>
            <w:tcW w:w="18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1,534,074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3"/>
            <w:shd w:val="clear" w:color="auto" w:fill="D0E0F0"/>
          </w:tcPr>
          <w:p>
            <w:pPr>
              <w:spacing w:after="0" w:line="243" w:lineRule="exact"/>
              <w:rPr>
                <w:sz w:val="20"/>
                <w:szCs w:val="20"/>
                <w:color w:val="auto"/>
              </w:rPr>
            </w:pPr>
            <w:r>
              <w:rPr>
                <w:rFonts w:ascii="Arial" w:cs="Arial" w:eastAsia="Arial" w:hAnsi="Arial"/>
                <w:sz w:val="17"/>
                <w:szCs w:val="17"/>
                <w:color w:val="auto"/>
              </w:rPr>
              <w:t>David B. Kelso</w:t>
            </w:r>
            <w:r>
              <w:rPr>
                <w:rFonts w:ascii="Arial" w:cs="Arial" w:eastAsia="Arial" w:hAnsi="Arial"/>
                <w:sz w:val="28"/>
                <w:szCs w:val="28"/>
                <w:color w:val="auto"/>
                <w:vertAlign w:val="superscript"/>
              </w:rPr>
              <w:t>(11)</w:t>
            </w:r>
          </w:p>
        </w:tc>
        <w:tc>
          <w:tcPr>
            <w:tcW w:w="1540" w:type="dxa"/>
            <w:vAlign w:val="bottom"/>
            <w:shd w:val="clear" w:color="auto" w:fill="D0E0F0"/>
          </w:tcPr>
          <w:p>
            <w:pPr>
              <w:jc w:val="right"/>
              <w:ind w:right="250"/>
              <w:spacing w:after="0"/>
              <w:rPr>
                <w:sz w:val="20"/>
                <w:szCs w:val="20"/>
                <w:color w:val="auto"/>
              </w:rPr>
            </w:pPr>
            <w:r>
              <w:rPr>
                <w:rFonts w:ascii="Arial" w:cs="Arial" w:eastAsia="Arial" w:hAnsi="Arial"/>
                <w:sz w:val="18"/>
                <w:szCs w:val="18"/>
                <w:color w:val="auto"/>
              </w:rPr>
              <w:t>43,253</w:t>
            </w:r>
          </w:p>
        </w:tc>
        <w:tc>
          <w:tcPr>
            <w:tcW w:w="1640" w:type="dxa"/>
            <w:vAlign w:val="bottom"/>
            <w:shd w:val="clear" w:color="auto" w:fill="D0E0F0"/>
          </w:tcPr>
          <w:p>
            <w:pPr>
              <w:jc w:val="right"/>
              <w:ind w:right="290"/>
              <w:spacing w:after="0"/>
              <w:rPr>
                <w:sz w:val="20"/>
                <w:szCs w:val="20"/>
                <w:color w:val="auto"/>
              </w:rPr>
            </w:pPr>
            <w:r>
              <w:rPr>
                <w:rFonts w:ascii="Arial" w:cs="Arial" w:eastAsia="Arial" w:hAnsi="Arial"/>
                <w:sz w:val="18"/>
                <w:szCs w:val="18"/>
                <w:color w:val="auto"/>
              </w:rPr>
              <w:t>*</w:t>
            </w:r>
          </w:p>
        </w:tc>
        <w:tc>
          <w:tcPr>
            <w:tcW w:w="1840" w:type="dxa"/>
            <w:vAlign w:val="bottom"/>
            <w:shd w:val="clear" w:color="auto" w:fill="D0E0F0"/>
          </w:tcPr>
          <w:p>
            <w:pPr>
              <w:jc w:val="right"/>
              <w:ind w:right="370"/>
              <w:spacing w:after="0"/>
              <w:rPr>
                <w:sz w:val="20"/>
                <w:szCs w:val="20"/>
                <w:color w:val="auto"/>
              </w:rPr>
            </w:pPr>
            <w:r>
              <w:rPr>
                <w:rFonts w:ascii="Arial" w:cs="Arial" w:eastAsia="Arial" w:hAnsi="Arial"/>
                <w:sz w:val="18"/>
                <w:szCs w:val="18"/>
                <w:color w:val="auto"/>
              </w:rPr>
              <w:t>38,061</w:t>
            </w:r>
          </w:p>
        </w:tc>
        <w:tc>
          <w:tcPr>
            <w:tcW w:w="1480" w:type="dxa"/>
            <w:vAlign w:val="bottom"/>
            <w:shd w:val="clear" w:color="auto" w:fill="D0E0F0"/>
          </w:tcPr>
          <w:p>
            <w:pPr>
              <w:jc w:val="right"/>
              <w:spacing w:after="0"/>
              <w:rPr>
                <w:sz w:val="20"/>
                <w:szCs w:val="20"/>
                <w:color w:val="auto"/>
              </w:rPr>
            </w:pPr>
            <w:r>
              <w:rPr>
                <w:rFonts w:ascii="Arial" w:cs="Arial" w:eastAsia="Arial" w:hAnsi="Arial"/>
                <w:sz w:val="18"/>
                <w:szCs w:val="18"/>
                <w:color w:val="auto"/>
              </w:rPr>
              <w:t>81,314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Deborah Kerr</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370"/>
              <w:spacing w:after="0"/>
              <w:rPr>
                <w:sz w:val="20"/>
                <w:szCs w:val="20"/>
                <w:color w:val="auto"/>
              </w:rPr>
            </w:pPr>
            <w:r>
              <w:rPr>
                <w:rFonts w:ascii="Arial" w:cs="Arial" w:eastAsia="Arial" w:hAnsi="Arial"/>
                <w:sz w:val="18"/>
                <w:szCs w:val="18"/>
                <w:color w:val="auto"/>
              </w:rPr>
              <w:t>4,470</w:t>
            </w:r>
          </w:p>
        </w:tc>
        <w:tc>
          <w:tcPr>
            <w:tcW w:w="1480" w:type="dxa"/>
            <w:vAlign w:val="bottom"/>
          </w:tcPr>
          <w:p>
            <w:pPr>
              <w:jc w:val="right"/>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3"/>
            <w:shd w:val="clear" w:color="auto" w:fill="D0E0F0"/>
          </w:tcPr>
          <w:p>
            <w:pPr>
              <w:spacing w:after="0" w:line="243" w:lineRule="exact"/>
              <w:rPr>
                <w:sz w:val="20"/>
                <w:szCs w:val="20"/>
                <w:color w:val="auto"/>
              </w:rPr>
            </w:pPr>
            <w:r>
              <w:rPr>
                <w:rFonts w:ascii="Arial" w:cs="Arial" w:eastAsia="Arial" w:hAnsi="Arial"/>
                <w:sz w:val="17"/>
                <w:szCs w:val="17"/>
                <w:color w:val="auto"/>
              </w:rPr>
              <w:t>Anne E. Minto</w:t>
            </w:r>
            <w:r>
              <w:rPr>
                <w:rFonts w:ascii="Arial" w:cs="Arial" w:eastAsia="Arial" w:hAnsi="Arial"/>
                <w:sz w:val="28"/>
                <w:szCs w:val="28"/>
                <w:color w:val="auto"/>
                <w:vertAlign w:val="superscript"/>
              </w:rPr>
              <w:t>(12)</w:t>
            </w:r>
          </w:p>
        </w:tc>
        <w:tc>
          <w:tcPr>
            <w:tcW w:w="1540" w:type="dxa"/>
            <w:vAlign w:val="bottom"/>
            <w:shd w:val="clear" w:color="auto" w:fill="D0E0F0"/>
          </w:tcPr>
          <w:p>
            <w:pPr>
              <w:jc w:val="right"/>
              <w:ind w:right="250"/>
              <w:spacing w:after="0"/>
              <w:rPr>
                <w:sz w:val="20"/>
                <w:szCs w:val="20"/>
                <w:color w:val="auto"/>
              </w:rPr>
            </w:pPr>
            <w:r>
              <w:rPr>
                <w:rFonts w:ascii="Arial" w:cs="Arial" w:eastAsia="Arial" w:hAnsi="Arial"/>
                <w:sz w:val="18"/>
                <w:szCs w:val="18"/>
                <w:color w:val="auto"/>
              </w:rPr>
              <w:t>3,093</w:t>
            </w:r>
          </w:p>
        </w:tc>
        <w:tc>
          <w:tcPr>
            <w:tcW w:w="1640" w:type="dxa"/>
            <w:vAlign w:val="bottom"/>
            <w:shd w:val="clear" w:color="auto" w:fill="D0E0F0"/>
          </w:tcPr>
          <w:p>
            <w:pPr>
              <w:jc w:val="right"/>
              <w:ind w:right="290"/>
              <w:spacing w:after="0"/>
              <w:rPr>
                <w:sz w:val="20"/>
                <w:szCs w:val="20"/>
                <w:color w:val="auto"/>
              </w:rPr>
            </w:pPr>
            <w:r>
              <w:rPr>
                <w:rFonts w:ascii="Arial" w:cs="Arial" w:eastAsia="Arial" w:hAnsi="Arial"/>
                <w:sz w:val="18"/>
                <w:szCs w:val="18"/>
                <w:color w:val="auto"/>
              </w:rPr>
              <w:t>*</w:t>
            </w:r>
          </w:p>
        </w:tc>
        <w:tc>
          <w:tcPr>
            <w:tcW w:w="1840" w:type="dxa"/>
            <w:vAlign w:val="bottom"/>
            <w:shd w:val="clear" w:color="auto" w:fill="D0E0F0"/>
          </w:tcPr>
          <w:p>
            <w:pPr>
              <w:jc w:val="right"/>
              <w:ind w:right="370"/>
              <w:spacing w:after="0"/>
              <w:rPr>
                <w:sz w:val="20"/>
                <w:szCs w:val="20"/>
                <w:color w:val="auto"/>
              </w:rPr>
            </w:pPr>
            <w:r>
              <w:rPr>
                <w:rFonts w:ascii="Arial" w:cs="Arial" w:eastAsia="Arial" w:hAnsi="Arial"/>
                <w:sz w:val="18"/>
                <w:szCs w:val="18"/>
                <w:color w:val="auto"/>
              </w:rPr>
              <w:t>11,621</w:t>
            </w:r>
          </w:p>
        </w:tc>
        <w:tc>
          <w:tcPr>
            <w:tcW w:w="1480" w:type="dxa"/>
            <w:vAlign w:val="bottom"/>
            <w:shd w:val="clear" w:color="auto" w:fill="D0E0F0"/>
          </w:tcPr>
          <w:p>
            <w:pPr>
              <w:jc w:val="right"/>
              <w:spacing w:after="0"/>
              <w:rPr>
                <w:sz w:val="20"/>
                <w:szCs w:val="20"/>
                <w:color w:val="auto"/>
              </w:rPr>
            </w:pPr>
            <w:r>
              <w:rPr>
                <w:rFonts w:ascii="Arial" w:cs="Arial" w:eastAsia="Arial" w:hAnsi="Arial"/>
                <w:sz w:val="18"/>
                <w:szCs w:val="18"/>
                <w:color w:val="auto"/>
              </w:rPr>
              <w:t>14,714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Som Mittal</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370"/>
              <w:spacing w:after="0"/>
              <w:rPr>
                <w:sz w:val="20"/>
                <w:szCs w:val="20"/>
                <w:color w:val="auto"/>
              </w:rPr>
            </w:pPr>
            <w:r>
              <w:rPr>
                <w:rFonts w:ascii="Arial" w:cs="Arial" w:eastAsia="Arial" w:hAnsi="Arial"/>
                <w:sz w:val="18"/>
                <w:szCs w:val="18"/>
                <w:color w:val="auto"/>
              </w:rPr>
              <w:t>8,874</w:t>
            </w:r>
          </w:p>
        </w:tc>
        <w:tc>
          <w:tcPr>
            <w:tcW w:w="1480" w:type="dxa"/>
            <w:vAlign w:val="bottom"/>
          </w:tcPr>
          <w:p>
            <w:pPr>
              <w:jc w:val="right"/>
              <w:spacing w:after="0"/>
              <w:rPr>
                <w:sz w:val="20"/>
                <w:szCs w:val="20"/>
                <w:color w:val="auto"/>
              </w:rPr>
            </w:pPr>
            <w:r>
              <w:rPr>
                <w:rFonts w:ascii="Arial" w:cs="Arial" w:eastAsia="Arial" w:hAnsi="Arial"/>
                <w:sz w:val="18"/>
                <w:szCs w:val="18"/>
                <w:color w:val="auto"/>
              </w:rPr>
              <w:t>8,874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3"/>
            <w:shd w:val="clear" w:color="auto" w:fill="D0E0F0"/>
          </w:tcPr>
          <w:p>
            <w:pPr>
              <w:spacing w:after="0" w:line="243" w:lineRule="exact"/>
              <w:rPr>
                <w:sz w:val="20"/>
                <w:szCs w:val="20"/>
                <w:color w:val="auto"/>
              </w:rPr>
            </w:pPr>
            <w:r>
              <w:rPr>
                <w:rFonts w:ascii="Arial" w:cs="Arial" w:eastAsia="Arial" w:hAnsi="Arial"/>
                <w:sz w:val="17"/>
                <w:szCs w:val="17"/>
                <w:color w:val="auto"/>
              </w:rPr>
              <w:t>Clyde W. Ostler</w:t>
            </w:r>
            <w:r>
              <w:rPr>
                <w:rFonts w:ascii="Arial" w:cs="Arial" w:eastAsia="Arial" w:hAnsi="Arial"/>
                <w:sz w:val="28"/>
                <w:szCs w:val="28"/>
                <w:color w:val="auto"/>
                <w:vertAlign w:val="superscript"/>
              </w:rPr>
              <w:t>(13)</w:t>
            </w:r>
          </w:p>
        </w:tc>
        <w:tc>
          <w:tcPr>
            <w:tcW w:w="1540" w:type="dxa"/>
            <w:vAlign w:val="bottom"/>
            <w:shd w:val="clear" w:color="auto" w:fill="D0E0F0"/>
          </w:tcPr>
          <w:p>
            <w:pPr>
              <w:jc w:val="right"/>
              <w:ind w:right="250"/>
              <w:spacing w:after="0"/>
              <w:rPr>
                <w:sz w:val="20"/>
                <w:szCs w:val="20"/>
                <w:color w:val="auto"/>
              </w:rPr>
            </w:pPr>
            <w:r>
              <w:rPr>
                <w:rFonts w:ascii="Arial" w:cs="Arial" w:eastAsia="Arial" w:hAnsi="Arial"/>
                <w:sz w:val="18"/>
                <w:szCs w:val="18"/>
                <w:color w:val="auto"/>
              </w:rPr>
              <w:t>62,723</w:t>
            </w:r>
          </w:p>
        </w:tc>
        <w:tc>
          <w:tcPr>
            <w:tcW w:w="1640" w:type="dxa"/>
            <w:vAlign w:val="bottom"/>
            <w:shd w:val="clear" w:color="auto" w:fill="D0E0F0"/>
          </w:tcPr>
          <w:p>
            <w:pPr>
              <w:jc w:val="right"/>
              <w:ind w:right="290"/>
              <w:spacing w:after="0"/>
              <w:rPr>
                <w:sz w:val="20"/>
                <w:szCs w:val="20"/>
                <w:color w:val="auto"/>
              </w:rPr>
            </w:pPr>
            <w:r>
              <w:rPr>
                <w:rFonts w:ascii="Arial" w:cs="Arial" w:eastAsia="Arial" w:hAnsi="Arial"/>
                <w:sz w:val="18"/>
                <w:szCs w:val="18"/>
                <w:color w:val="auto"/>
              </w:rPr>
              <w:t>*</w:t>
            </w:r>
          </w:p>
        </w:tc>
        <w:tc>
          <w:tcPr>
            <w:tcW w:w="1840" w:type="dxa"/>
            <w:vAlign w:val="bottom"/>
            <w:shd w:val="clear" w:color="auto" w:fill="D0E0F0"/>
          </w:tcPr>
          <w:p>
            <w:pPr>
              <w:jc w:val="right"/>
              <w:ind w:right="370"/>
              <w:spacing w:after="0"/>
              <w:rPr>
                <w:sz w:val="20"/>
                <w:szCs w:val="20"/>
                <w:color w:val="auto"/>
              </w:rPr>
            </w:pPr>
            <w:r>
              <w:rPr>
                <w:rFonts w:ascii="Arial" w:cs="Arial" w:eastAsia="Arial" w:hAnsi="Arial"/>
                <w:sz w:val="18"/>
                <w:szCs w:val="18"/>
                <w:color w:val="auto"/>
              </w:rPr>
              <w:t>28,788</w:t>
            </w:r>
          </w:p>
        </w:tc>
        <w:tc>
          <w:tcPr>
            <w:tcW w:w="1480" w:type="dxa"/>
            <w:vAlign w:val="bottom"/>
            <w:shd w:val="clear" w:color="auto" w:fill="D0E0F0"/>
          </w:tcPr>
          <w:p>
            <w:pPr>
              <w:jc w:val="right"/>
              <w:spacing w:after="0"/>
              <w:rPr>
                <w:sz w:val="20"/>
                <w:szCs w:val="20"/>
                <w:color w:val="auto"/>
              </w:rPr>
            </w:pPr>
            <w:r>
              <w:rPr>
                <w:rFonts w:ascii="Arial" w:cs="Arial" w:eastAsia="Arial" w:hAnsi="Arial"/>
                <w:sz w:val="18"/>
                <w:szCs w:val="18"/>
                <w:color w:val="auto"/>
              </w:rPr>
              <w:t>91,511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Nitin Sahney</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370"/>
              <w:spacing w:after="0"/>
              <w:rPr>
                <w:sz w:val="20"/>
                <w:szCs w:val="20"/>
                <w:color w:val="auto"/>
              </w:rPr>
            </w:pPr>
            <w:r>
              <w:rPr>
                <w:rFonts w:ascii="Arial" w:cs="Arial" w:eastAsia="Arial" w:hAnsi="Arial"/>
                <w:sz w:val="18"/>
                <w:szCs w:val="18"/>
                <w:color w:val="auto"/>
              </w:rPr>
              <w:t>1,046</w:t>
            </w:r>
          </w:p>
        </w:tc>
        <w:tc>
          <w:tcPr>
            <w:tcW w:w="148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3"/>
            <w:shd w:val="clear" w:color="auto" w:fill="D0E0F0"/>
          </w:tcPr>
          <w:p>
            <w:pPr>
              <w:spacing w:after="0" w:line="243" w:lineRule="exact"/>
              <w:rPr>
                <w:sz w:val="20"/>
                <w:szCs w:val="20"/>
                <w:color w:val="auto"/>
              </w:rPr>
            </w:pPr>
            <w:r>
              <w:rPr>
                <w:rFonts w:ascii="Arial" w:cs="Arial" w:eastAsia="Arial" w:hAnsi="Arial"/>
                <w:sz w:val="17"/>
                <w:szCs w:val="17"/>
                <w:color w:val="auto"/>
              </w:rPr>
              <w:t>Garen K. Staglin</w:t>
            </w:r>
            <w:r>
              <w:rPr>
                <w:rFonts w:ascii="Arial" w:cs="Arial" w:eastAsia="Arial" w:hAnsi="Arial"/>
                <w:sz w:val="28"/>
                <w:szCs w:val="28"/>
                <w:color w:val="auto"/>
                <w:vertAlign w:val="superscript"/>
              </w:rPr>
              <w:t>(14)</w:t>
            </w:r>
          </w:p>
        </w:tc>
        <w:tc>
          <w:tcPr>
            <w:tcW w:w="1540" w:type="dxa"/>
            <w:vAlign w:val="bottom"/>
            <w:shd w:val="clear" w:color="auto" w:fill="D0E0F0"/>
          </w:tcPr>
          <w:p>
            <w:pPr>
              <w:jc w:val="right"/>
              <w:ind w:right="250"/>
              <w:spacing w:after="0"/>
              <w:rPr>
                <w:sz w:val="20"/>
                <w:szCs w:val="20"/>
                <w:color w:val="auto"/>
              </w:rPr>
            </w:pPr>
            <w:r>
              <w:rPr>
                <w:rFonts w:ascii="Arial" w:cs="Arial" w:eastAsia="Arial" w:hAnsi="Arial"/>
                <w:sz w:val="18"/>
                <w:szCs w:val="18"/>
                <w:color w:val="auto"/>
              </w:rPr>
              <w:t>55,769</w:t>
            </w:r>
          </w:p>
        </w:tc>
        <w:tc>
          <w:tcPr>
            <w:tcW w:w="1640" w:type="dxa"/>
            <w:vAlign w:val="bottom"/>
            <w:shd w:val="clear" w:color="auto" w:fill="D0E0F0"/>
          </w:tcPr>
          <w:p>
            <w:pPr>
              <w:jc w:val="right"/>
              <w:ind w:right="290"/>
              <w:spacing w:after="0"/>
              <w:rPr>
                <w:sz w:val="20"/>
                <w:szCs w:val="20"/>
                <w:color w:val="auto"/>
              </w:rPr>
            </w:pPr>
            <w:r>
              <w:rPr>
                <w:rFonts w:ascii="Arial" w:cs="Arial" w:eastAsia="Arial" w:hAnsi="Arial"/>
                <w:sz w:val="18"/>
                <w:szCs w:val="18"/>
                <w:color w:val="auto"/>
              </w:rPr>
              <w:t>*</w:t>
            </w:r>
          </w:p>
        </w:tc>
        <w:tc>
          <w:tcPr>
            <w:tcW w:w="1840" w:type="dxa"/>
            <w:vAlign w:val="bottom"/>
            <w:shd w:val="clear" w:color="auto" w:fill="D0E0F0"/>
          </w:tcPr>
          <w:p>
            <w:pPr>
              <w:jc w:val="right"/>
              <w:ind w:right="370"/>
              <w:spacing w:after="0"/>
              <w:rPr>
                <w:sz w:val="20"/>
                <w:szCs w:val="20"/>
                <w:color w:val="auto"/>
              </w:rPr>
            </w:pPr>
            <w:r>
              <w:rPr>
                <w:rFonts w:ascii="Arial" w:cs="Arial" w:eastAsia="Arial" w:hAnsi="Arial"/>
                <w:sz w:val="18"/>
                <w:szCs w:val="18"/>
                <w:color w:val="auto"/>
              </w:rPr>
              <w:t>45,468</w:t>
            </w:r>
          </w:p>
        </w:tc>
        <w:tc>
          <w:tcPr>
            <w:tcW w:w="1480" w:type="dxa"/>
            <w:vAlign w:val="bottom"/>
            <w:shd w:val="clear" w:color="auto" w:fill="D0E0F0"/>
          </w:tcPr>
          <w:p>
            <w:pPr>
              <w:jc w:val="right"/>
              <w:spacing w:after="0"/>
              <w:rPr>
                <w:sz w:val="20"/>
                <w:szCs w:val="20"/>
                <w:color w:val="auto"/>
              </w:rPr>
            </w:pPr>
            <w:r>
              <w:rPr>
                <w:rFonts w:ascii="Arial" w:cs="Arial" w:eastAsia="Arial" w:hAnsi="Arial"/>
                <w:sz w:val="18"/>
                <w:szCs w:val="18"/>
                <w:color w:val="auto"/>
              </w:rPr>
              <w:t>101,237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900" w:type="dxa"/>
            <w:vAlign w:val="bottom"/>
            <w:gridSpan w:val="3"/>
          </w:tcPr>
          <w:p>
            <w:pPr>
              <w:spacing w:after="0" w:line="184" w:lineRule="exact"/>
              <w:rPr>
                <w:sz w:val="20"/>
                <w:szCs w:val="20"/>
                <w:color w:val="auto"/>
              </w:rPr>
            </w:pPr>
            <w:r>
              <w:rPr>
                <w:rFonts w:ascii="Arial" w:cs="Arial" w:eastAsia="Arial" w:hAnsi="Arial"/>
                <w:sz w:val="18"/>
                <w:szCs w:val="18"/>
                <w:b w:val="1"/>
                <w:bCs w:val="1"/>
                <w:color w:val="auto"/>
              </w:rPr>
              <w:t>All current directors and current executive officers as a</w:t>
            </w:r>
          </w:p>
        </w:tc>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4900" w:type="dxa"/>
            <w:vAlign w:val="bottom"/>
            <w:gridSpan w:val="3"/>
          </w:tcPr>
          <w:p>
            <w:pPr>
              <w:ind w:left="160"/>
              <w:spacing w:after="0"/>
              <w:rPr>
                <w:sz w:val="20"/>
                <w:szCs w:val="20"/>
                <w:color w:val="auto"/>
              </w:rPr>
            </w:pPr>
            <w:r>
              <w:rPr>
                <w:rFonts w:ascii="Arial" w:cs="Arial" w:eastAsia="Arial" w:hAnsi="Arial"/>
                <w:sz w:val="18"/>
                <w:szCs w:val="18"/>
                <w:b w:val="1"/>
                <w:bCs w:val="1"/>
                <w:color w:val="auto"/>
              </w:rPr>
              <w:t>group (15 persons)</w:t>
            </w:r>
            <w:r>
              <w:rPr>
                <w:rFonts w:ascii="Arial" w:cs="Arial" w:eastAsia="Arial" w:hAnsi="Arial"/>
                <w:sz w:val="30"/>
                <w:szCs w:val="30"/>
                <w:b w:val="1"/>
                <w:bCs w:val="1"/>
                <w:color w:val="auto"/>
                <w:vertAlign w:val="superscript"/>
              </w:rPr>
              <w:t>(15)</w:t>
            </w: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2,003,085</w:t>
            </w:r>
          </w:p>
        </w:tc>
        <w:tc>
          <w:tcPr>
            <w:tcW w:w="1640" w:type="dxa"/>
            <w:vAlign w:val="bottom"/>
          </w:tcPr>
          <w:p>
            <w:pPr>
              <w:jc w:val="right"/>
              <w:ind w:right="290"/>
              <w:spacing w:after="0"/>
              <w:rPr>
                <w:sz w:val="20"/>
                <w:szCs w:val="20"/>
                <w:color w:val="auto"/>
              </w:rPr>
            </w:pPr>
            <w:r>
              <w:rPr>
                <w:rFonts w:ascii="Arial" w:cs="Arial" w:eastAsia="Arial" w:hAnsi="Arial"/>
                <w:sz w:val="18"/>
                <w:szCs w:val="18"/>
                <w:b w:val="1"/>
                <w:bCs w:val="1"/>
                <w:color w:val="auto"/>
              </w:rPr>
              <w:t>5.80%</w:t>
            </w:r>
          </w:p>
        </w:tc>
        <w:tc>
          <w:tcPr>
            <w:tcW w:w="1840" w:type="dxa"/>
            <w:vAlign w:val="bottom"/>
          </w:tcPr>
          <w:p>
            <w:pPr>
              <w:jc w:val="right"/>
              <w:ind w:right="370"/>
              <w:spacing w:after="0"/>
              <w:rPr>
                <w:sz w:val="20"/>
                <w:szCs w:val="20"/>
                <w:color w:val="auto"/>
              </w:rPr>
            </w:pPr>
            <w:r>
              <w:rPr>
                <w:rFonts w:ascii="Arial" w:cs="Arial" w:eastAsia="Arial" w:hAnsi="Arial"/>
                <w:sz w:val="18"/>
                <w:szCs w:val="18"/>
                <w:b w:val="1"/>
                <w:bCs w:val="1"/>
                <w:color w:val="auto"/>
              </w:rPr>
              <w:t>138,328</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2,141,413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-3355340</wp:posOffset>
            </wp:positionV>
            <wp:extent cx="18865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14490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3"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64" w:name="page65"/>
    <w:bookmarkEnd w:id="64"/>
    <w:p>
      <w:pPr>
        <w:ind w:left="332" w:hanging="332"/>
        <w:spacing w:after="0"/>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beneficial owner is c/o ExlService Holdings, Inc., 280 Park Avenue, 38th Floor, New York, New York 10017.</w:t>
      </w:r>
    </w:p>
    <w:p>
      <w:pPr>
        <w:spacing w:after="0" w:line="1" w:lineRule="exact"/>
        <w:rPr>
          <w:rFonts w:ascii="Arial" w:cs="Arial" w:eastAsia="Arial" w:hAnsi="Arial"/>
          <w:sz w:val="14"/>
          <w:szCs w:val="14"/>
          <w:color w:val="auto"/>
        </w:rPr>
      </w:pPr>
    </w:p>
    <w:p>
      <w:pPr>
        <w:ind w:left="332" w:hanging="332"/>
        <w:spacing w:after="0"/>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33,796,135 shares outstanding as of the Determination Date.</w:t>
      </w:r>
    </w:p>
    <w:p>
      <w:pPr>
        <w:spacing w:after="0" w:line="1" w:lineRule="exact"/>
        <w:rPr>
          <w:rFonts w:ascii="Arial" w:cs="Arial" w:eastAsia="Arial" w:hAnsi="Arial"/>
          <w:sz w:val="14"/>
          <w:szCs w:val="14"/>
          <w:color w:val="auto"/>
        </w:rPr>
      </w:pPr>
    </w:p>
    <w:p>
      <w:pPr>
        <w:ind w:left="332" w:right="20" w:hanging="332"/>
        <w:spacing w:after="0" w:line="241"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non-management directors, this column includes restricted stock units (previously granted for service on the Board) that have vested but are unsettled. Because vested restricted stock units generally settle 180 days following the director’s term of service (see “Director Compensation for Fiscal Year 2016” for additional details on settlement), the units are not treated as beneficially owned under SEC rules because the holder does not have the right to acquire the underlying stock within 60 days of the Determination Date. Restricted stock units that are vested but unsettled count towards our stock ownership policy for non-employee directors, which requires directors to maintain stock ownership of at least five times their respective annual retainers.</w:t>
      </w:r>
    </w:p>
    <w:p>
      <w:pPr>
        <w:spacing w:after="0" w:line="1" w:lineRule="exact"/>
        <w:rPr>
          <w:rFonts w:ascii="Arial" w:cs="Arial" w:eastAsia="Arial" w:hAnsi="Arial"/>
          <w:sz w:val="14"/>
          <w:szCs w:val="14"/>
          <w:color w:val="auto"/>
        </w:rPr>
      </w:pPr>
    </w:p>
    <w:p>
      <w:pPr>
        <w:ind w:left="332" w:right="160" w:hanging="332"/>
        <w:spacing w:after="0" w:line="241"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the Schedule 13G/A filed on January 12, 2017, BlackRock, Inc. had sole voting power with respect to 3,620,458 shares and sole dispositive power with respect to 3,689,149 shares. The business address of Blackrock, Inc. is 55 East 52nd Street, New York, New York 10022.</w:t>
      </w:r>
    </w:p>
    <w:p>
      <w:pPr>
        <w:ind w:left="332" w:right="480" w:hanging="332"/>
        <w:spacing w:after="0" w:line="241"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the Schedule 13G/A filed on February 14, 2017, FMR LLC had sole voting power with respect to 1,320,751 shares and sole dispositive power with respect to 3,560,022 shares. The business address of FMR LLC is 245 Summer Street, Boston, Massachusetts 02210.</w:t>
      </w:r>
    </w:p>
    <w:p>
      <w:pPr>
        <w:ind w:left="332" w:right="40" w:hanging="332"/>
        <w:spacing w:after="0" w:line="241"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the Schedule 13G/A filed on February 9, 2017, Vanguard Group, Inc. had sole voting power with respect to 64,756 shares, shared voting power with respect to 4,834 shares, sole dispositive power with respect to 2,684,388 shares and shared dispositive power with respect to 68,024 shares. The business address of Vanguard Group, Inc. is 100 Vanguard Boulevard, Malvern, PA 19355.</w:t>
      </w:r>
    </w:p>
    <w:p>
      <w:pPr>
        <w:spacing w:after="0" w:line="1" w:lineRule="exact"/>
        <w:rPr>
          <w:rFonts w:ascii="Arial" w:cs="Arial" w:eastAsia="Arial" w:hAnsi="Arial"/>
          <w:sz w:val="14"/>
          <w:szCs w:val="14"/>
          <w:color w:val="auto"/>
        </w:rPr>
      </w:pPr>
    </w:p>
    <w:p>
      <w:pPr>
        <w:ind w:left="332" w:right="80" w:hanging="332"/>
        <w:spacing w:after="0" w:line="241"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the Schedule 13G/A filed on February 9, 2017, Wellington Management Group LLP had shared voting power with respect to 1,765,775 shares and shared dispositive power with respect to 2,037,425 shares. The business address of the combined filers is c/o Wellington Management Company, LLP, 280 Congress Street, Boston, Massachusetts 02210.</w:t>
      </w:r>
    </w:p>
    <w:p>
      <w:pPr>
        <w:spacing w:after="0" w:line="1" w:lineRule="exact"/>
        <w:rPr>
          <w:rFonts w:ascii="Arial" w:cs="Arial" w:eastAsia="Arial" w:hAnsi="Arial"/>
          <w:sz w:val="14"/>
          <w:szCs w:val="14"/>
          <w:color w:val="auto"/>
        </w:rPr>
      </w:pPr>
    </w:p>
    <w:p>
      <w:pPr>
        <w:ind w:left="332" w:hanging="332"/>
        <w:spacing w:after="0" w:line="241"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amount includes 85,800 shares of our common stock of which Mr. de Villa has the right to acquire beneficial ownership within 60 days of the Determination Date pursuant to currently vested and exercisable stock options.</w:t>
      </w:r>
    </w:p>
    <w:p>
      <w:pPr>
        <w:ind w:left="332" w:right="480" w:hanging="332"/>
        <w:spacing w:after="0" w:line="241"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amount includes 48,000 shares of our common stock of which Mr. Chhibbar has the right to acquire beneficial ownership within 60 days of the Determination Date pursuant to currently vested and exercisable stock options.</w:t>
      </w:r>
    </w:p>
    <w:p>
      <w:pPr>
        <w:ind w:left="332" w:hanging="332"/>
        <w:spacing w:after="0" w:line="241"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Kapoor had sole voting and dispositive power with respect to 374,136 shares and shared voting and dispositive power with respect to 718,538 shares. The amount reported in the table above includes 177,134 shares of our common stock owned indirectly by Mr. Kapoor through a family trust created in 2016 under a 2005 grantor-retained annuity trust, for which Mr. Kapoor’s spouse and Mr. Kapoor’s brother are the co-trustees and share dispositive and voting control over the shares in the trust, and 40,219 shares of our common stock owned indirectly by Mr. Kapoor through a family trust created in 2016 under a 2013 grantor retained annuity trust, for which Mr. Kapoor’s spouse and Mr. Kapoor’s brother are the co-trustees and share dispositive and voting control over the shares in the trust. The amount reported in the table above includes 84,000 shares of our common stock owned indirectly by Mr. Kapoor through a spousal lifetime access trust. Mr. Kapoor’s spouse and Mr. Kapoor’s brother are the co-trustees of this trust and share dispositive and voting control over the shares in the trust. The amount reported in the table above also includes 84,000 shares of our common stock owned indirectly by Mr. Kapoor through a spousal lifetime access trust for Mr. Kapoor’s spouse. Mr. Kapoor and Mr. Kapoor’s brother are the co-trustees of this trust and share dispositive and voting control over the shares in the trust. The amount reported in the table above also includes 333,185 shares of our common stock owned indirectly by Mr. Kapoor through a family trust for which Mr. Kapoor is the investment advisor to Commonwealth Trust Company, the trustee. The amount reported in the table above also includes 441,400 shares of our common stock of which Mr. Kapoor has the right to acquire beneficial ownership within 60 days of the Determination Date pursuant to currently vested and exercisable stock options.</w:t>
      </w:r>
    </w:p>
    <w:p>
      <w:pPr>
        <w:spacing w:after="0" w:line="166" w:lineRule="exact"/>
        <w:rPr>
          <w:rFonts w:ascii="Arial" w:cs="Arial" w:eastAsia="Arial" w:hAnsi="Arial"/>
          <w:sz w:val="14"/>
          <w:szCs w:val="14"/>
          <w:color w:val="auto"/>
        </w:rPr>
      </w:pPr>
    </w:p>
    <w:p>
      <w:pPr>
        <w:ind w:left="332" w:right="120" w:hanging="332"/>
        <w:spacing w:after="0" w:line="241"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amount includes 38,253 shares of our common stock of which Mr. Kelso has the right to acquire beneficial ownership within 60 days of the Determination Date pursuant to currently vested and exercisable stock options.</w:t>
      </w:r>
    </w:p>
    <w:p>
      <w:pPr>
        <w:ind w:left="332" w:hanging="332"/>
        <w:spacing w:after="0" w:line="241"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amount includes 3,093 shares of our common stock of which Ms. Minto has the right to acquire beneficial ownership within 60 days of the Determination Date pursuant to currently vested and exercisable stock options.</w:t>
      </w:r>
    </w:p>
    <w:p>
      <w:pPr>
        <w:ind w:left="332" w:right="80" w:hanging="332"/>
        <w:spacing w:after="0" w:line="241"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amount includes 62,723 shares of our common stock of which Mr. Ostler has the right to acquire beneficial ownership within 60 days of the Determination Date pursuant to currently vested and exercisable stock options.</w:t>
      </w:r>
    </w:p>
    <w:p>
      <w:pPr>
        <w:ind w:left="332" w:right="40" w:hanging="332"/>
        <w:spacing w:after="0" w:line="241"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amount includes 32,723 shares of our common stock of which Mr. Staglin has the right to acquire beneficial ownership within 60 days of the Determination Date pursuant to currently vested and exercisable stock options.</w:t>
      </w:r>
    </w:p>
    <w:p>
      <w:pPr>
        <w:ind w:left="332" w:right="220" w:hanging="332"/>
        <w:spacing w:after="0" w:line="258"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amount includes an aggregate of 717,992 shares of our common stock of which our current directors and current executive officers have the right to acquire beneficial ownership within 60 days of the Determination Date pursuant to currently vested and exercisable stock options.</w:t>
      </w: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47" w:right="239" w:bottom="1440" w:gutter="0" w:footer="0" w:header="0"/>
        </w:sectPr>
      </w:pPr>
    </w:p>
    <w:bookmarkStart w:id="65" w:name="page66"/>
    <w:bookmarkEnd w:id="65"/>
    <w:p>
      <w:pPr>
        <w:ind w:left="2180"/>
        <w:spacing w:after="0"/>
        <w:rPr>
          <w:sz w:val="20"/>
          <w:szCs w:val="20"/>
          <w:color w:val="auto"/>
        </w:rPr>
      </w:pPr>
      <w:r>
        <w:rPr>
          <w:rFonts w:ascii="Arial" w:cs="Arial" w:eastAsia="Arial" w:hAnsi="Arial"/>
          <w:sz w:val="22"/>
          <w:szCs w:val="22"/>
          <w:b w:val="1"/>
          <w:bCs w:val="1"/>
          <w:color w:val="508BC7"/>
        </w:rPr>
        <w:t>CERTAIN RELATIONSHIPS AND RELATED PERSON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Review and Approval of Related Party Transactions</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review all transactions in which we, our directors and executive officers or their immediate family members and our 5% stockholders are participants to determine whether such persons have a direct or indirect material interest in such transactions. Our Code of Conduct and Ethics instructs our directors, officers and employees to report the facts and circumstances of any such transaction or potential transaction to our General Counsel or our Audit Committee. Our board of directors has adopted a policy regarding the review of potential related party transactions. Under this policy, our General Counsel will review the facts and circumstances of any covered transaction. If our General Counsel determines that the transaction involves a related party transaction and that the amount involved does not equal or exceed $120,000, our General Counsel will approve or disapprove the transaction. If our General Counsel determines that the transaction involves a related party transaction and that the amount involved equals or exceeds $120,000, our General Counsel will refer the transaction to our Audit Committee for approval.</w:t>
      </w:r>
    </w:p>
    <w:p>
      <w:pPr>
        <w:spacing w:after="0" w:line="19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For each transaction, our General Counsel and Audit Committee, as applicable, will review all factors it considers appropriate, including, but not limited to, the nature of the related party transaction, the related party’s interest in the transaction and the material terms of the transaction, the importance of the transaction to us and to the related party and whether the transaction would impair the judgment of a director or executive officer to act in our best interest. As required under SEC rules, transactions that are determined to be directly or indirectly material to us or a related person and which involve amounts exceeding $120,000 in the previous fiscal year are disclosed in our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Related Party Transactions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769" w:right="35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22"/>
          <w:szCs w:val="22"/>
          <w:b w:val="1"/>
          <w:bCs w:val="1"/>
          <w:color w:val="508BC7"/>
        </w:rPr>
        <w:t>REPORT OF THE AUDIT COMMITTEE</w:t>
      </w:r>
    </w:p>
    <w:p>
      <w:pPr>
        <w:spacing w:after="0" w:line="224" w:lineRule="exact"/>
        <w:rPr>
          <w:sz w:val="20"/>
          <w:szCs w:val="20"/>
          <w:color w:val="auto"/>
        </w:rPr>
      </w:pPr>
    </w:p>
    <w:p>
      <w:pPr>
        <w:ind w:right="680" w:firstLine="648"/>
        <w:spacing w:after="0" w:line="246" w:lineRule="auto"/>
        <w:rPr>
          <w:sz w:val="20"/>
          <w:szCs w:val="20"/>
          <w:color w:val="auto"/>
        </w:rPr>
      </w:pPr>
      <w:r>
        <w:rPr>
          <w:rFonts w:ascii="Arial" w:cs="Arial" w:eastAsia="Arial" w:hAnsi="Arial"/>
          <w:sz w:val="18"/>
          <w:szCs w:val="18"/>
          <w:color w:val="auto"/>
        </w:rPr>
        <w:t>The Audit Committee of the board of directors of ExlService Holdings, Inc. assists our board of directors in fulfilling its oversight responsibilities with respect to the following:</w:t>
      </w:r>
    </w:p>
    <w:p>
      <w:pPr>
        <w:spacing w:after="0" w:line="183" w:lineRule="exact"/>
        <w:rPr>
          <w:sz w:val="20"/>
          <w:szCs w:val="20"/>
          <w:color w:val="auto"/>
        </w:rPr>
      </w:pPr>
    </w:p>
    <w:p>
      <w:pPr>
        <w:ind w:left="1300" w:hanging="644"/>
        <w:spacing w:after="0" w:line="246"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stock exchanges and others;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registered independent public accounting firm’s qualifications and independence;</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audit of our financial statements;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w:t>
      </w:r>
    </w:p>
    <w:p>
      <w:pPr>
        <w:spacing w:after="0" w:line="198"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In connection with these responsibilities, the Audit Committee met with management and Ernst &amp; Young LLP to review and discuss the December 31, 2016 audited consolidated financial statements. The Audit Committee also discussed with Ernst &amp; Young LLP the matters required to be discussed by the Statement on Auditing Standards No. 61 (Communication with Audit Committees), as amended, as adopted by the Public Company Accounting Oversight Board in Rule 3200T. The Audit Committee also received written disclosures and the letter from Ernst &amp; Young LLP required by Rule 3526 of the Public Company Accounting Oversight Board (Communications with Audit Committees Concerning Independence), and the Audit Committee discussed with Ernst &amp; Young LLP the firm’s independence.</w:t>
      </w:r>
    </w:p>
    <w:p>
      <w:pPr>
        <w:spacing w:after="0" w:line="192"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Based on the review and discussions referred to above, the Audit Committee approved the inclusion of the audited financial statements in the Company’s Annual Report on Form 10-K for the fiscal year ended December 31, 2016.</w:t>
      </w:r>
    </w:p>
    <w:p>
      <w:pPr>
        <w:spacing w:after="0" w:line="18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AUDIT COMMITTEE</w:t>
      </w:r>
    </w:p>
    <w:p>
      <w:pPr>
        <w:spacing w:after="0" w:line="194"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Mr. Clyde W. Ostler (Chairman)</w:t>
      </w:r>
    </w:p>
    <w:p>
      <w:pPr>
        <w:ind w:left="8000"/>
        <w:spacing w:after="0" w:line="234" w:lineRule="auto"/>
        <w:rPr>
          <w:sz w:val="20"/>
          <w:szCs w:val="20"/>
          <w:color w:val="auto"/>
        </w:rPr>
      </w:pPr>
      <w:r>
        <w:rPr>
          <w:rFonts w:ascii="Arial" w:cs="Arial" w:eastAsia="Arial" w:hAnsi="Arial"/>
          <w:sz w:val="18"/>
          <w:szCs w:val="18"/>
          <w:color w:val="auto"/>
        </w:rPr>
        <w:t>Mr. David B. Kelso</w:t>
      </w:r>
    </w:p>
    <w:p>
      <w:pPr>
        <w:ind w:left="8000"/>
        <w:spacing w:after="0" w:line="235" w:lineRule="auto"/>
        <w:rPr>
          <w:sz w:val="20"/>
          <w:szCs w:val="20"/>
          <w:color w:val="auto"/>
        </w:rPr>
      </w:pPr>
      <w:r>
        <w:rPr>
          <w:rFonts w:ascii="Arial" w:cs="Arial" w:eastAsia="Arial" w:hAnsi="Arial"/>
          <w:sz w:val="18"/>
          <w:szCs w:val="18"/>
          <w:color w:val="auto"/>
        </w:rPr>
        <w:t>Ms. Deborah Kerr</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Mr. Nitin Sahney</w:t>
      </w:r>
    </w:p>
    <w:p>
      <w:pPr>
        <w:spacing w:after="0" w:line="30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b w:val="1"/>
          <w:bCs w:val="1"/>
          <w:color w:val="508BC7"/>
        </w:rPr>
        <w:t>PROPOSAL 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08BC7"/>
        </w:rPr>
        <w:t>ELECTION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The Nominees</w:t>
      </w:r>
    </w:p>
    <w:p>
      <w:pPr>
        <w:spacing w:after="0" w:line="220"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Our Nominating and Governance Committee has nominated, and our board of directors has designated, Messrs. Kelso, Mittal and Ostler to stand for election as Class II directors at the Annual Meeting. All three nominees are standing for re-election. If elected, each of the Class II director nominees will serve on our board of directors until our 2020 Annual Meeting of Stockholders or until their successors are duly elected and qualified in accordance with our by-laws.</w:t>
      </w:r>
    </w:p>
    <w:p>
      <w:pPr>
        <w:spacing w:after="0" w:line="188"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The proxies given to the proxy holders will be voted or not voted as directed and, if no direction is given, will be voted FOR these three nominees. Our board of directors knows of no reason why any of these nominees should be unable or unwilling to serve. However, if for any reason any nominee should be unable or unwilling to stand for election, the shares represented by proxies will be voted for the election of any substitute nominee designated by our board of directors to fill the vacancy.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General Information About Nominees</w:t>
      </w:r>
    </w:p>
    <w:p>
      <w:pPr>
        <w:spacing w:after="0" w:line="220"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age,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 Other information required with respect to any solicitation of proxies in connection with the election of directors is found elsewhere in this proxy statement.</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160" w:type="dxa"/>
            <w:vAlign w:val="bottom"/>
            <w:tcBorders>
              <w:top w:val="single" w:sz="8" w:color="auto"/>
              <w:left w:val="single" w:sz="8" w:color="auto"/>
              <w:bottom w:val="single" w:sz="8" w:color="auto"/>
            </w:tcBorders>
            <w:shd w:val="clear" w:color="auto" w:fill="508BC7"/>
          </w:tcPr>
          <w:p>
            <w:pPr>
              <w:ind w:left="1140"/>
              <w:spacing w:after="0"/>
              <w:rPr>
                <w:sz w:val="20"/>
                <w:szCs w:val="20"/>
                <w:color w:val="auto"/>
              </w:rPr>
            </w:pPr>
            <w:r>
              <w:rPr>
                <w:rFonts w:ascii="Arial" w:cs="Arial" w:eastAsia="Arial" w:hAnsi="Arial"/>
                <w:sz w:val="14"/>
                <w:szCs w:val="14"/>
                <w:b w:val="1"/>
                <w:bCs w:val="1"/>
                <w:color w:val="FFFFFF"/>
              </w:rPr>
              <w:t>Name</w:t>
            </w:r>
          </w:p>
        </w:tc>
        <w:tc>
          <w:tcPr>
            <w:tcW w:w="1060" w:type="dxa"/>
            <w:vAlign w:val="bottom"/>
            <w:tcBorders>
              <w:top w:val="single" w:sz="8" w:color="auto"/>
              <w:bottom w:val="single" w:sz="8" w:color="auto"/>
            </w:tcBorders>
            <w:shd w:val="clear" w:color="auto" w:fill="508BC7"/>
          </w:tcPr>
          <w:p>
            <w:pPr>
              <w:jc w:val="center"/>
              <w:ind w:left="414"/>
              <w:spacing w:after="0"/>
              <w:rPr>
                <w:sz w:val="20"/>
                <w:szCs w:val="20"/>
                <w:color w:val="auto"/>
              </w:rPr>
            </w:pPr>
            <w:r>
              <w:rPr>
                <w:rFonts w:ascii="Arial" w:cs="Arial" w:eastAsia="Arial" w:hAnsi="Arial"/>
                <w:sz w:val="14"/>
                <w:szCs w:val="14"/>
                <w:b w:val="1"/>
                <w:bCs w:val="1"/>
                <w:color w:val="FFFFFF"/>
              </w:rPr>
              <w:t>Age</w:t>
            </w:r>
          </w:p>
        </w:tc>
        <w:tc>
          <w:tcPr>
            <w:tcW w:w="2080" w:type="dxa"/>
            <w:vAlign w:val="bottom"/>
            <w:tcBorders>
              <w:top w:val="single" w:sz="8" w:color="auto"/>
              <w:bottom w:val="single" w:sz="8" w:color="auto"/>
            </w:tcBorders>
            <w:shd w:val="clear" w:color="auto" w:fill="508BC7"/>
          </w:tcPr>
          <w:p>
            <w:pPr>
              <w:ind w:left="660"/>
              <w:spacing w:after="0"/>
              <w:rPr>
                <w:sz w:val="20"/>
                <w:szCs w:val="20"/>
                <w:color w:val="auto"/>
              </w:rPr>
            </w:pPr>
            <w:r>
              <w:rPr>
                <w:rFonts w:ascii="Arial" w:cs="Arial" w:eastAsia="Arial" w:hAnsi="Arial"/>
                <w:sz w:val="14"/>
                <w:szCs w:val="14"/>
                <w:b w:val="1"/>
                <w:bCs w:val="1"/>
                <w:color w:val="FFFFFF"/>
              </w:rPr>
              <w:t>Director Since</w:t>
            </w:r>
          </w:p>
        </w:tc>
        <w:tc>
          <w:tcPr>
            <w:tcW w:w="1440" w:type="dxa"/>
            <w:vAlign w:val="bottom"/>
            <w:tcBorders>
              <w:top w:val="single" w:sz="8" w:color="auto"/>
              <w:bottom w:val="single" w:sz="8" w:color="auto"/>
            </w:tcBorders>
            <w:shd w:val="clear" w:color="auto" w:fill="508BC7"/>
          </w:tcPr>
          <w:p>
            <w:pPr>
              <w:jc w:val="center"/>
              <w:ind w:left="234"/>
              <w:spacing w:after="0"/>
              <w:rPr>
                <w:sz w:val="20"/>
                <w:szCs w:val="20"/>
                <w:color w:val="auto"/>
              </w:rPr>
            </w:pPr>
            <w:r>
              <w:rPr>
                <w:rFonts w:ascii="Arial" w:cs="Arial" w:eastAsia="Arial" w:hAnsi="Arial"/>
                <w:sz w:val="14"/>
                <w:szCs w:val="14"/>
                <w:b w:val="1"/>
                <w:bCs w:val="1"/>
                <w:color w:val="FFFFFF"/>
              </w:rPr>
              <w:t>Independent</w:t>
            </w:r>
          </w:p>
        </w:tc>
        <w:tc>
          <w:tcPr>
            <w:tcW w:w="300" w:type="dxa"/>
            <w:vAlign w:val="bottom"/>
            <w:tcBorders>
              <w:top w:val="single" w:sz="8" w:color="auto"/>
              <w:bottom w:val="single" w:sz="8" w:color="auto"/>
            </w:tcBorders>
            <w:shd w:val="clear" w:color="auto" w:fill="508BC7"/>
          </w:tcPr>
          <w:p>
            <w:pPr>
              <w:spacing w:after="0"/>
              <w:rPr>
                <w:sz w:val="16"/>
                <w:szCs w:val="16"/>
                <w:color w:val="auto"/>
              </w:rPr>
            </w:pPr>
          </w:p>
        </w:tc>
        <w:tc>
          <w:tcPr>
            <w:tcW w:w="4380" w:type="dxa"/>
            <w:vAlign w:val="bottom"/>
            <w:tcBorders>
              <w:top w:val="single" w:sz="8" w:color="auto"/>
              <w:bottom w:val="single" w:sz="8" w:color="auto"/>
              <w:right w:val="single" w:sz="8" w:color="auto"/>
            </w:tcBorders>
            <w:shd w:val="clear" w:color="auto" w:fill="508BC7"/>
          </w:tcPr>
          <w:p>
            <w:pPr>
              <w:ind w:left="1420"/>
              <w:spacing w:after="0"/>
              <w:rPr>
                <w:sz w:val="20"/>
                <w:szCs w:val="20"/>
                <w:color w:val="auto"/>
              </w:rPr>
            </w:pPr>
            <w:r>
              <w:rPr>
                <w:rFonts w:ascii="Arial" w:cs="Arial" w:eastAsia="Arial" w:hAnsi="Arial"/>
                <w:sz w:val="14"/>
                <w:szCs w:val="14"/>
                <w:b w:val="1"/>
                <w:bCs w:val="1"/>
                <w:color w:val="FFFFFF"/>
              </w:rPr>
              <w:t>Committee/Position</w:t>
            </w:r>
          </w:p>
        </w:tc>
      </w:tr>
      <w:tr>
        <w:trPr>
          <w:trHeight w:val="195"/>
        </w:trPr>
        <w:tc>
          <w:tcPr>
            <w:tcW w:w="2160" w:type="dxa"/>
            <w:vAlign w:val="bottom"/>
            <w:tcBorders>
              <w:left w:val="single" w:sz="8" w:color="auto"/>
            </w:tcBorders>
            <w:shd w:val="clear" w:color="auto" w:fill="D0E0F0"/>
          </w:tcPr>
          <w:p>
            <w:pPr>
              <w:ind w:left="100"/>
              <w:spacing w:after="0" w:line="195" w:lineRule="exact"/>
              <w:rPr>
                <w:sz w:val="20"/>
                <w:szCs w:val="20"/>
                <w:color w:val="auto"/>
              </w:rPr>
            </w:pPr>
            <w:r>
              <w:rPr>
                <w:rFonts w:ascii="Arial" w:cs="Arial" w:eastAsia="Arial" w:hAnsi="Arial"/>
                <w:sz w:val="18"/>
                <w:szCs w:val="18"/>
                <w:color w:val="auto"/>
              </w:rPr>
              <w:t>David B. Kelso</w:t>
            </w:r>
          </w:p>
        </w:tc>
        <w:tc>
          <w:tcPr>
            <w:tcW w:w="1060" w:type="dxa"/>
            <w:vAlign w:val="bottom"/>
            <w:shd w:val="clear" w:color="auto" w:fill="D0E0F0"/>
          </w:tcPr>
          <w:p>
            <w:pPr>
              <w:jc w:val="center"/>
              <w:ind w:left="414"/>
              <w:spacing w:after="0" w:line="195" w:lineRule="exact"/>
              <w:rPr>
                <w:sz w:val="20"/>
                <w:szCs w:val="20"/>
                <w:color w:val="auto"/>
              </w:rPr>
            </w:pPr>
            <w:r>
              <w:rPr>
                <w:rFonts w:ascii="Arial" w:cs="Arial" w:eastAsia="Arial" w:hAnsi="Arial"/>
                <w:sz w:val="18"/>
                <w:szCs w:val="18"/>
                <w:color w:val="auto"/>
                <w:w w:val="99"/>
              </w:rPr>
              <w:t>64</w:t>
            </w:r>
          </w:p>
        </w:tc>
        <w:tc>
          <w:tcPr>
            <w:tcW w:w="2080" w:type="dxa"/>
            <w:vAlign w:val="bottom"/>
            <w:shd w:val="clear" w:color="auto" w:fill="D0E0F0"/>
          </w:tcPr>
          <w:p>
            <w:pPr>
              <w:ind w:left="140"/>
              <w:spacing w:after="0" w:line="195" w:lineRule="exact"/>
              <w:rPr>
                <w:sz w:val="20"/>
                <w:szCs w:val="20"/>
                <w:color w:val="auto"/>
              </w:rPr>
            </w:pPr>
            <w:r>
              <w:rPr>
                <w:rFonts w:ascii="Arial" w:cs="Arial" w:eastAsia="Arial" w:hAnsi="Arial"/>
                <w:sz w:val="18"/>
                <w:szCs w:val="18"/>
                <w:color w:val="auto"/>
              </w:rPr>
              <w:t>July 2006</w:t>
            </w:r>
          </w:p>
        </w:tc>
        <w:tc>
          <w:tcPr>
            <w:tcW w:w="1440" w:type="dxa"/>
            <w:vAlign w:val="bottom"/>
            <w:shd w:val="clear" w:color="auto" w:fill="D0E0F0"/>
          </w:tcPr>
          <w:p>
            <w:pPr>
              <w:jc w:val="center"/>
              <w:ind w:left="234"/>
              <w:spacing w:after="0" w:line="195" w:lineRule="exact"/>
              <w:rPr>
                <w:sz w:val="20"/>
                <w:szCs w:val="20"/>
                <w:color w:val="auto"/>
              </w:rPr>
            </w:pPr>
            <w:r>
              <w:rPr>
                <w:rFonts w:ascii="Arial" w:cs="Arial" w:eastAsia="Arial" w:hAnsi="Arial"/>
                <w:sz w:val="18"/>
                <w:szCs w:val="18"/>
                <w:color w:val="auto"/>
                <w:w w:val="90"/>
              </w:rPr>
              <w:t>Yes</w:t>
            </w:r>
          </w:p>
        </w:tc>
        <w:tc>
          <w:tcPr>
            <w:tcW w:w="300" w:type="dxa"/>
            <w:vAlign w:val="bottom"/>
            <w:shd w:val="clear" w:color="auto" w:fill="D0E0F0"/>
          </w:tcPr>
          <w:p>
            <w:pPr>
              <w:ind w:left="120"/>
              <w:spacing w:after="0" w:line="195" w:lineRule="exact"/>
              <w:rPr>
                <w:sz w:val="20"/>
                <w:szCs w:val="20"/>
                <w:color w:val="auto"/>
              </w:rPr>
            </w:pPr>
            <w:r>
              <w:rPr>
                <w:rFonts w:ascii="Arial" w:cs="Arial" w:eastAsia="Arial" w:hAnsi="Arial"/>
                <w:sz w:val="18"/>
                <w:szCs w:val="18"/>
                <w:color w:val="auto"/>
              </w:rPr>
              <w:t>●</w:t>
            </w:r>
          </w:p>
        </w:tc>
        <w:tc>
          <w:tcPr>
            <w:tcW w:w="4380" w:type="dxa"/>
            <w:vAlign w:val="bottom"/>
            <w:tcBorders>
              <w:right w:val="single" w:sz="8" w:color="auto"/>
            </w:tcBorders>
            <w:shd w:val="clear" w:color="auto" w:fill="D0E0F0"/>
          </w:tcPr>
          <w:p>
            <w:pPr>
              <w:ind w:left="80"/>
              <w:spacing w:after="0" w:line="195" w:lineRule="exact"/>
              <w:rPr>
                <w:sz w:val="20"/>
                <w:szCs w:val="20"/>
                <w:color w:val="auto"/>
              </w:rPr>
            </w:pPr>
            <w:r>
              <w:rPr>
                <w:rFonts w:ascii="Arial" w:cs="Arial" w:eastAsia="Arial" w:hAnsi="Arial"/>
                <w:sz w:val="18"/>
                <w:szCs w:val="18"/>
                <w:color w:val="auto"/>
              </w:rPr>
              <w:t>Nominating and Corporate Governance Committee</w:t>
            </w:r>
          </w:p>
        </w:tc>
      </w:tr>
      <w:tr>
        <w:trPr>
          <w:trHeight w:val="203"/>
        </w:trPr>
        <w:tc>
          <w:tcPr>
            <w:tcW w:w="2160" w:type="dxa"/>
            <w:vAlign w:val="bottom"/>
            <w:tcBorders>
              <w:left w:val="single" w:sz="8" w:color="auto"/>
            </w:tcBorders>
            <w:shd w:val="clear" w:color="auto" w:fill="D0E0F0"/>
          </w:tcPr>
          <w:p>
            <w:pPr>
              <w:spacing w:after="0"/>
              <w:rPr>
                <w:sz w:val="17"/>
                <w:szCs w:val="17"/>
                <w:color w:val="auto"/>
              </w:rPr>
            </w:pPr>
          </w:p>
        </w:tc>
        <w:tc>
          <w:tcPr>
            <w:tcW w:w="1060" w:type="dxa"/>
            <w:vAlign w:val="bottom"/>
            <w:shd w:val="clear" w:color="auto" w:fill="D0E0F0"/>
          </w:tcPr>
          <w:p>
            <w:pPr>
              <w:spacing w:after="0"/>
              <w:rPr>
                <w:sz w:val="17"/>
                <w:szCs w:val="17"/>
                <w:color w:val="auto"/>
              </w:rPr>
            </w:pPr>
          </w:p>
        </w:tc>
        <w:tc>
          <w:tcPr>
            <w:tcW w:w="2080" w:type="dxa"/>
            <w:vAlign w:val="bottom"/>
            <w:shd w:val="clear" w:color="auto" w:fill="D0E0F0"/>
          </w:tcPr>
          <w:p>
            <w:pPr>
              <w:spacing w:after="0"/>
              <w:rPr>
                <w:sz w:val="17"/>
                <w:szCs w:val="17"/>
                <w:color w:val="auto"/>
              </w:rPr>
            </w:pPr>
          </w:p>
        </w:tc>
        <w:tc>
          <w:tcPr>
            <w:tcW w:w="1440" w:type="dxa"/>
            <w:vAlign w:val="bottom"/>
            <w:shd w:val="clear" w:color="auto" w:fill="D0E0F0"/>
          </w:tcPr>
          <w:p>
            <w:pPr>
              <w:spacing w:after="0"/>
              <w:rPr>
                <w:sz w:val="17"/>
                <w:szCs w:val="17"/>
                <w:color w:val="auto"/>
              </w:rPr>
            </w:pPr>
          </w:p>
        </w:tc>
        <w:tc>
          <w:tcPr>
            <w:tcW w:w="300" w:type="dxa"/>
            <w:vAlign w:val="bottom"/>
            <w:shd w:val="clear" w:color="auto" w:fill="D0E0F0"/>
          </w:tcPr>
          <w:p>
            <w:pPr>
              <w:spacing w:after="0"/>
              <w:rPr>
                <w:sz w:val="17"/>
                <w:szCs w:val="17"/>
                <w:color w:val="auto"/>
              </w:rPr>
            </w:pPr>
          </w:p>
        </w:tc>
        <w:tc>
          <w:tcPr>
            <w:tcW w:w="4380" w:type="dxa"/>
            <w:vAlign w:val="bottom"/>
            <w:tcBorders>
              <w:right w:val="single" w:sz="8" w:color="auto"/>
            </w:tcBorders>
            <w:shd w:val="clear" w:color="auto" w:fill="D0E0F0"/>
          </w:tcPr>
          <w:p>
            <w:pPr>
              <w:ind w:left="80"/>
              <w:spacing w:after="0" w:line="202" w:lineRule="exact"/>
              <w:rPr>
                <w:sz w:val="20"/>
                <w:szCs w:val="20"/>
                <w:color w:val="auto"/>
              </w:rPr>
            </w:pPr>
            <w:r>
              <w:rPr>
                <w:rFonts w:ascii="Arial" w:cs="Arial" w:eastAsia="Arial" w:hAnsi="Arial"/>
                <w:sz w:val="18"/>
                <w:szCs w:val="18"/>
                <w:color w:val="auto"/>
              </w:rPr>
              <w:t>Chairman</w:t>
            </w:r>
          </w:p>
        </w:tc>
      </w:tr>
      <w:tr>
        <w:trPr>
          <w:trHeight w:val="203"/>
        </w:trPr>
        <w:tc>
          <w:tcPr>
            <w:tcW w:w="2160" w:type="dxa"/>
            <w:vAlign w:val="bottom"/>
            <w:tcBorders>
              <w:left w:val="single" w:sz="8" w:color="auto"/>
            </w:tcBorders>
            <w:shd w:val="clear" w:color="auto" w:fill="D0E0F0"/>
          </w:tcPr>
          <w:p>
            <w:pPr>
              <w:spacing w:after="0"/>
              <w:rPr>
                <w:sz w:val="17"/>
                <w:szCs w:val="17"/>
                <w:color w:val="auto"/>
              </w:rPr>
            </w:pPr>
          </w:p>
        </w:tc>
        <w:tc>
          <w:tcPr>
            <w:tcW w:w="1060" w:type="dxa"/>
            <w:vAlign w:val="bottom"/>
            <w:shd w:val="clear" w:color="auto" w:fill="D0E0F0"/>
          </w:tcPr>
          <w:p>
            <w:pPr>
              <w:spacing w:after="0"/>
              <w:rPr>
                <w:sz w:val="17"/>
                <w:szCs w:val="17"/>
                <w:color w:val="auto"/>
              </w:rPr>
            </w:pPr>
          </w:p>
        </w:tc>
        <w:tc>
          <w:tcPr>
            <w:tcW w:w="2080" w:type="dxa"/>
            <w:vAlign w:val="bottom"/>
            <w:shd w:val="clear" w:color="auto" w:fill="D0E0F0"/>
          </w:tcPr>
          <w:p>
            <w:pPr>
              <w:spacing w:after="0"/>
              <w:rPr>
                <w:sz w:val="17"/>
                <w:szCs w:val="17"/>
                <w:color w:val="auto"/>
              </w:rPr>
            </w:pPr>
          </w:p>
        </w:tc>
        <w:tc>
          <w:tcPr>
            <w:tcW w:w="1440" w:type="dxa"/>
            <w:vAlign w:val="bottom"/>
            <w:shd w:val="clear" w:color="auto" w:fill="D0E0F0"/>
          </w:tcPr>
          <w:p>
            <w:pPr>
              <w:spacing w:after="0"/>
              <w:rPr>
                <w:sz w:val="17"/>
                <w:szCs w:val="17"/>
                <w:color w:val="auto"/>
              </w:rPr>
            </w:pPr>
          </w:p>
        </w:tc>
        <w:tc>
          <w:tcPr>
            <w:tcW w:w="300" w:type="dxa"/>
            <w:vAlign w:val="bottom"/>
            <w:shd w:val="clear" w:color="auto" w:fill="D0E0F0"/>
          </w:tcPr>
          <w:p>
            <w:pPr>
              <w:ind w:left="120"/>
              <w:spacing w:after="0" w:line="203" w:lineRule="exact"/>
              <w:rPr>
                <w:sz w:val="20"/>
                <w:szCs w:val="20"/>
                <w:color w:val="auto"/>
              </w:rPr>
            </w:pPr>
            <w:r>
              <w:rPr>
                <w:rFonts w:ascii="Arial" w:cs="Arial" w:eastAsia="Arial" w:hAnsi="Arial"/>
                <w:sz w:val="18"/>
                <w:szCs w:val="18"/>
                <w:color w:val="auto"/>
              </w:rPr>
              <w:t>●</w:t>
            </w:r>
          </w:p>
        </w:tc>
        <w:tc>
          <w:tcPr>
            <w:tcW w:w="4380" w:type="dxa"/>
            <w:vAlign w:val="bottom"/>
            <w:tcBorders>
              <w:right w:val="single" w:sz="8" w:color="auto"/>
            </w:tcBorders>
            <w:shd w:val="clear" w:color="auto" w:fill="D0E0F0"/>
          </w:tcPr>
          <w:p>
            <w:pPr>
              <w:ind w:left="80"/>
              <w:spacing w:after="0" w:line="203" w:lineRule="exact"/>
              <w:rPr>
                <w:sz w:val="20"/>
                <w:szCs w:val="20"/>
                <w:color w:val="auto"/>
              </w:rPr>
            </w:pPr>
            <w:r>
              <w:rPr>
                <w:rFonts w:ascii="Arial" w:cs="Arial" w:eastAsia="Arial" w:hAnsi="Arial"/>
                <w:sz w:val="18"/>
                <w:szCs w:val="18"/>
                <w:color w:val="auto"/>
              </w:rPr>
              <w:t>Audit Committee Member</w:t>
            </w:r>
          </w:p>
        </w:tc>
      </w:tr>
      <w:tr>
        <w:trPr>
          <w:trHeight w:val="202"/>
        </w:trPr>
        <w:tc>
          <w:tcPr>
            <w:tcW w:w="2160" w:type="dxa"/>
            <w:vAlign w:val="bottom"/>
            <w:tcBorders>
              <w:left w:val="single" w:sz="8" w:color="auto"/>
            </w:tcBorders>
          </w:tcPr>
          <w:p>
            <w:pPr>
              <w:ind w:left="100"/>
              <w:spacing w:after="0" w:line="201" w:lineRule="exact"/>
              <w:rPr>
                <w:sz w:val="20"/>
                <w:szCs w:val="20"/>
                <w:color w:val="auto"/>
              </w:rPr>
            </w:pPr>
            <w:r>
              <w:rPr>
                <w:rFonts w:ascii="Arial" w:cs="Arial" w:eastAsia="Arial" w:hAnsi="Arial"/>
                <w:sz w:val="18"/>
                <w:szCs w:val="18"/>
                <w:color w:val="auto"/>
              </w:rPr>
              <w:t>Som Mittal</w:t>
            </w:r>
          </w:p>
        </w:tc>
        <w:tc>
          <w:tcPr>
            <w:tcW w:w="1060" w:type="dxa"/>
            <w:vAlign w:val="bottom"/>
          </w:tcPr>
          <w:p>
            <w:pPr>
              <w:jc w:val="center"/>
              <w:ind w:left="414"/>
              <w:spacing w:after="0" w:line="201" w:lineRule="exact"/>
              <w:rPr>
                <w:sz w:val="20"/>
                <w:szCs w:val="20"/>
                <w:color w:val="auto"/>
              </w:rPr>
            </w:pPr>
            <w:r>
              <w:rPr>
                <w:rFonts w:ascii="Arial" w:cs="Arial" w:eastAsia="Arial" w:hAnsi="Arial"/>
                <w:sz w:val="18"/>
                <w:szCs w:val="18"/>
                <w:color w:val="auto"/>
                <w:w w:val="99"/>
              </w:rPr>
              <w:t>65</w:t>
            </w:r>
          </w:p>
        </w:tc>
        <w:tc>
          <w:tcPr>
            <w:tcW w:w="2080" w:type="dxa"/>
            <w:vAlign w:val="bottom"/>
          </w:tcPr>
          <w:p>
            <w:pPr>
              <w:ind w:left="140"/>
              <w:spacing w:after="0" w:line="201" w:lineRule="exact"/>
              <w:rPr>
                <w:sz w:val="20"/>
                <w:szCs w:val="20"/>
                <w:color w:val="auto"/>
              </w:rPr>
            </w:pPr>
            <w:r>
              <w:rPr>
                <w:rFonts w:ascii="Arial" w:cs="Arial" w:eastAsia="Arial" w:hAnsi="Arial"/>
                <w:sz w:val="18"/>
                <w:szCs w:val="18"/>
                <w:color w:val="auto"/>
              </w:rPr>
              <w:t>December 2013</w:t>
            </w:r>
          </w:p>
        </w:tc>
        <w:tc>
          <w:tcPr>
            <w:tcW w:w="1440" w:type="dxa"/>
            <w:vAlign w:val="bottom"/>
          </w:tcPr>
          <w:p>
            <w:pPr>
              <w:jc w:val="center"/>
              <w:ind w:left="234"/>
              <w:spacing w:after="0" w:line="201" w:lineRule="exact"/>
              <w:rPr>
                <w:sz w:val="20"/>
                <w:szCs w:val="20"/>
                <w:color w:val="auto"/>
              </w:rPr>
            </w:pPr>
            <w:r>
              <w:rPr>
                <w:rFonts w:ascii="Arial" w:cs="Arial" w:eastAsia="Arial" w:hAnsi="Arial"/>
                <w:sz w:val="18"/>
                <w:szCs w:val="18"/>
                <w:color w:val="auto"/>
                <w:w w:val="90"/>
              </w:rPr>
              <w:t>Yes</w:t>
            </w:r>
          </w:p>
        </w:tc>
        <w:tc>
          <w:tcPr>
            <w:tcW w:w="30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43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Compensation Committee Member</w:t>
            </w:r>
          </w:p>
        </w:tc>
      </w:tr>
      <w:tr>
        <w:trPr>
          <w:trHeight w:val="203"/>
        </w:trPr>
        <w:tc>
          <w:tcPr>
            <w:tcW w:w="2160" w:type="dxa"/>
            <w:vAlign w:val="bottom"/>
            <w:tcBorders>
              <w:lef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8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  Nominating and Corporate Governance Committee</w:t>
            </w:r>
          </w:p>
        </w:tc>
      </w:tr>
      <w:tr>
        <w:trPr>
          <w:trHeight w:val="203"/>
        </w:trPr>
        <w:tc>
          <w:tcPr>
            <w:tcW w:w="2160" w:type="dxa"/>
            <w:vAlign w:val="bottom"/>
            <w:tcBorders>
              <w:lef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380" w:type="dxa"/>
            <w:vAlign w:val="bottom"/>
            <w:tcBorders>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Member</w:t>
            </w:r>
          </w:p>
        </w:tc>
      </w:tr>
      <w:tr>
        <w:trPr>
          <w:trHeight w:val="202"/>
        </w:trPr>
        <w:tc>
          <w:tcPr>
            <w:tcW w:w="2160" w:type="dxa"/>
            <w:vAlign w:val="bottom"/>
            <w:tcBorders>
              <w:left w:val="single" w:sz="8" w:color="auto"/>
            </w:tcBorders>
            <w:shd w:val="clear" w:color="auto" w:fill="D0E0F0"/>
          </w:tcPr>
          <w:p>
            <w:pPr>
              <w:ind w:left="100"/>
              <w:spacing w:after="0" w:line="201" w:lineRule="exact"/>
              <w:rPr>
                <w:sz w:val="20"/>
                <w:szCs w:val="20"/>
                <w:color w:val="auto"/>
              </w:rPr>
            </w:pPr>
            <w:r>
              <w:rPr>
                <w:rFonts w:ascii="Arial" w:cs="Arial" w:eastAsia="Arial" w:hAnsi="Arial"/>
                <w:sz w:val="18"/>
                <w:szCs w:val="18"/>
                <w:color w:val="auto"/>
              </w:rPr>
              <w:t>Clyde Ostler</w:t>
            </w:r>
          </w:p>
        </w:tc>
        <w:tc>
          <w:tcPr>
            <w:tcW w:w="1060" w:type="dxa"/>
            <w:vAlign w:val="bottom"/>
            <w:shd w:val="clear" w:color="auto" w:fill="D0E0F0"/>
          </w:tcPr>
          <w:p>
            <w:pPr>
              <w:jc w:val="center"/>
              <w:ind w:left="414"/>
              <w:spacing w:after="0" w:line="201" w:lineRule="exact"/>
              <w:rPr>
                <w:sz w:val="20"/>
                <w:szCs w:val="20"/>
                <w:color w:val="auto"/>
              </w:rPr>
            </w:pPr>
            <w:r>
              <w:rPr>
                <w:rFonts w:ascii="Arial" w:cs="Arial" w:eastAsia="Arial" w:hAnsi="Arial"/>
                <w:sz w:val="18"/>
                <w:szCs w:val="18"/>
                <w:color w:val="auto"/>
                <w:w w:val="99"/>
              </w:rPr>
              <w:t>70</w:t>
            </w:r>
          </w:p>
        </w:tc>
        <w:tc>
          <w:tcPr>
            <w:tcW w:w="2080" w:type="dxa"/>
            <w:vAlign w:val="bottom"/>
            <w:shd w:val="clear" w:color="auto" w:fill="D0E0F0"/>
          </w:tcPr>
          <w:p>
            <w:pPr>
              <w:ind w:left="140"/>
              <w:spacing w:after="0" w:line="201" w:lineRule="exact"/>
              <w:rPr>
                <w:sz w:val="20"/>
                <w:szCs w:val="20"/>
                <w:color w:val="auto"/>
              </w:rPr>
            </w:pPr>
            <w:r>
              <w:rPr>
                <w:rFonts w:ascii="Arial" w:cs="Arial" w:eastAsia="Arial" w:hAnsi="Arial"/>
                <w:sz w:val="18"/>
                <w:szCs w:val="18"/>
                <w:color w:val="auto"/>
              </w:rPr>
              <w:t>December 2007</w:t>
            </w:r>
          </w:p>
        </w:tc>
        <w:tc>
          <w:tcPr>
            <w:tcW w:w="1440" w:type="dxa"/>
            <w:vAlign w:val="bottom"/>
            <w:shd w:val="clear" w:color="auto" w:fill="D0E0F0"/>
          </w:tcPr>
          <w:p>
            <w:pPr>
              <w:jc w:val="center"/>
              <w:ind w:left="234"/>
              <w:spacing w:after="0" w:line="201" w:lineRule="exact"/>
              <w:rPr>
                <w:sz w:val="20"/>
                <w:szCs w:val="20"/>
                <w:color w:val="auto"/>
              </w:rPr>
            </w:pPr>
            <w:r>
              <w:rPr>
                <w:rFonts w:ascii="Arial" w:cs="Arial" w:eastAsia="Arial" w:hAnsi="Arial"/>
                <w:sz w:val="18"/>
                <w:szCs w:val="18"/>
                <w:color w:val="auto"/>
                <w:w w:val="90"/>
              </w:rPr>
              <w:t>Yes</w:t>
            </w:r>
          </w:p>
        </w:tc>
        <w:tc>
          <w:tcPr>
            <w:tcW w:w="300" w:type="dxa"/>
            <w:vAlign w:val="bottom"/>
            <w:shd w:val="clear" w:color="auto" w:fill="D0E0F0"/>
          </w:tcPr>
          <w:p>
            <w:pPr>
              <w:ind w:left="120"/>
              <w:spacing w:after="0" w:line="201" w:lineRule="exact"/>
              <w:rPr>
                <w:sz w:val="20"/>
                <w:szCs w:val="20"/>
                <w:color w:val="auto"/>
              </w:rPr>
            </w:pPr>
            <w:r>
              <w:rPr>
                <w:rFonts w:ascii="Arial" w:cs="Arial" w:eastAsia="Arial" w:hAnsi="Arial"/>
                <w:sz w:val="18"/>
                <w:szCs w:val="18"/>
                <w:color w:val="auto"/>
              </w:rPr>
              <w:t>●</w:t>
            </w:r>
          </w:p>
        </w:tc>
        <w:tc>
          <w:tcPr>
            <w:tcW w:w="4380" w:type="dxa"/>
            <w:vAlign w:val="bottom"/>
            <w:tcBorders>
              <w:right w:val="single" w:sz="8" w:color="auto"/>
            </w:tcBorders>
            <w:shd w:val="clear" w:color="auto" w:fill="D0E0F0"/>
          </w:tcPr>
          <w:p>
            <w:pPr>
              <w:ind w:left="80"/>
              <w:spacing w:after="0" w:line="201" w:lineRule="exact"/>
              <w:rPr>
                <w:sz w:val="20"/>
                <w:szCs w:val="20"/>
                <w:color w:val="auto"/>
              </w:rPr>
            </w:pPr>
            <w:r>
              <w:rPr>
                <w:rFonts w:ascii="Arial" w:cs="Arial" w:eastAsia="Arial" w:hAnsi="Arial"/>
                <w:sz w:val="18"/>
                <w:szCs w:val="18"/>
                <w:color w:val="auto"/>
              </w:rPr>
              <w:t>Audit Committee Chairman</w:t>
            </w:r>
          </w:p>
        </w:tc>
      </w:tr>
      <w:tr>
        <w:trPr>
          <w:trHeight w:val="217"/>
        </w:trPr>
        <w:tc>
          <w:tcPr>
            <w:tcW w:w="2160" w:type="dxa"/>
            <w:vAlign w:val="bottom"/>
            <w:tcBorders>
              <w:left w:val="single" w:sz="8" w:color="auto"/>
              <w:bottom w:val="single" w:sz="8" w:color="auto"/>
            </w:tcBorders>
            <w:shd w:val="clear" w:color="auto" w:fill="D0E0F0"/>
          </w:tcPr>
          <w:p>
            <w:pPr>
              <w:spacing w:after="0"/>
              <w:rPr>
                <w:sz w:val="18"/>
                <w:szCs w:val="18"/>
                <w:color w:val="auto"/>
              </w:rPr>
            </w:pPr>
          </w:p>
        </w:tc>
        <w:tc>
          <w:tcPr>
            <w:tcW w:w="1060" w:type="dxa"/>
            <w:vAlign w:val="bottom"/>
            <w:tcBorders>
              <w:bottom w:val="single" w:sz="8" w:color="auto"/>
            </w:tcBorders>
            <w:shd w:val="clear" w:color="auto" w:fill="D0E0F0"/>
          </w:tcPr>
          <w:p>
            <w:pPr>
              <w:spacing w:after="0"/>
              <w:rPr>
                <w:sz w:val="18"/>
                <w:szCs w:val="18"/>
                <w:color w:val="auto"/>
              </w:rPr>
            </w:pPr>
          </w:p>
        </w:tc>
        <w:tc>
          <w:tcPr>
            <w:tcW w:w="2080" w:type="dxa"/>
            <w:vAlign w:val="bottom"/>
            <w:tcBorders>
              <w:bottom w:val="single" w:sz="8" w:color="auto"/>
            </w:tcBorders>
            <w:shd w:val="clear" w:color="auto" w:fill="D0E0F0"/>
          </w:tcPr>
          <w:p>
            <w:pPr>
              <w:spacing w:after="0"/>
              <w:rPr>
                <w:sz w:val="18"/>
                <w:szCs w:val="18"/>
                <w:color w:val="auto"/>
              </w:rPr>
            </w:pPr>
          </w:p>
        </w:tc>
        <w:tc>
          <w:tcPr>
            <w:tcW w:w="1440" w:type="dxa"/>
            <w:vAlign w:val="bottom"/>
            <w:tcBorders>
              <w:bottom w:val="single" w:sz="8" w:color="auto"/>
            </w:tcBorders>
            <w:shd w:val="clear" w:color="auto" w:fill="D0E0F0"/>
          </w:tcPr>
          <w:p>
            <w:pPr>
              <w:spacing w:after="0"/>
              <w:rPr>
                <w:sz w:val="18"/>
                <w:szCs w:val="18"/>
                <w:color w:val="auto"/>
              </w:rPr>
            </w:pPr>
          </w:p>
        </w:tc>
        <w:tc>
          <w:tcPr>
            <w:tcW w:w="300" w:type="dxa"/>
            <w:vAlign w:val="bottom"/>
            <w:tcBorders>
              <w:bottom w:val="single" w:sz="8" w:color="auto"/>
            </w:tcBorders>
            <w:shd w:val="clear" w:color="auto" w:fill="D0E0F0"/>
          </w:tcPr>
          <w:p>
            <w:pPr>
              <w:ind w:left="120"/>
              <w:spacing w:after="0"/>
              <w:rPr>
                <w:sz w:val="20"/>
                <w:szCs w:val="20"/>
                <w:color w:val="auto"/>
              </w:rPr>
            </w:pPr>
            <w:r>
              <w:rPr>
                <w:rFonts w:ascii="Arial" w:cs="Arial" w:eastAsia="Arial" w:hAnsi="Arial"/>
                <w:sz w:val="18"/>
                <w:szCs w:val="18"/>
                <w:color w:val="auto"/>
              </w:rPr>
              <w:t>●</w:t>
            </w:r>
          </w:p>
        </w:tc>
        <w:tc>
          <w:tcPr>
            <w:tcW w:w="4380" w:type="dxa"/>
            <w:vAlign w:val="bottom"/>
            <w:tcBorders>
              <w:bottom w:val="single" w:sz="8" w:color="auto"/>
              <w:right w:val="single" w:sz="8" w:color="auto"/>
            </w:tcBorders>
            <w:shd w:val="clear" w:color="auto" w:fill="D0E0F0"/>
          </w:tcPr>
          <w:p>
            <w:pPr>
              <w:ind w:left="80"/>
              <w:spacing w:after="0"/>
              <w:rPr>
                <w:sz w:val="20"/>
                <w:szCs w:val="20"/>
                <w:color w:val="auto"/>
              </w:rPr>
            </w:pPr>
            <w:r>
              <w:rPr>
                <w:rFonts w:ascii="Arial" w:cs="Arial" w:eastAsia="Arial" w:hAnsi="Arial"/>
                <w:sz w:val="18"/>
                <w:szCs w:val="18"/>
                <w:color w:val="auto"/>
              </w:rPr>
              <w:t>Compensation Committee Member</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Required Vote</w:t>
      </w:r>
    </w:p>
    <w:p>
      <w:pPr>
        <w:spacing w:after="0" w:line="220" w:lineRule="exact"/>
        <w:rPr>
          <w:sz w:val="20"/>
          <w:szCs w:val="20"/>
          <w:color w:val="auto"/>
        </w:rPr>
      </w:pPr>
    </w:p>
    <w:p>
      <w:pPr>
        <w:ind w:right="180" w:firstLine="648"/>
        <w:spacing w:after="0" w:line="238" w:lineRule="auto"/>
        <w:rPr>
          <w:sz w:val="20"/>
          <w:szCs w:val="20"/>
          <w:color w:val="auto"/>
        </w:rPr>
      </w:pPr>
      <w:r>
        <w:rPr>
          <w:rFonts w:ascii="Arial" w:cs="Arial" w:eastAsia="Arial" w:hAnsi="Arial"/>
          <w:sz w:val="18"/>
          <w:szCs w:val="18"/>
          <w:color w:val="auto"/>
        </w:rPr>
        <w:t>The affirmative vote of a majority of votes (meaning the number of shares voted “for” a nominee must exceed the number of shares voted “against” such nominee) cast in person or represented by proxy and entitled to vote at the Annual Meeting will elect the three nominees as Class II directors for the specified three-year term. If any nominee for director receives a greater number of votes “against” his or her election than votes “for” such election, our by-laws provide that such person shall tender to the board of directors his or her resignation as a director. Unless marked to the contrary, proxies received will be voted “FOR” the nominees.</w:t>
      </w:r>
    </w:p>
    <w:p>
      <w:pPr>
        <w:spacing w:after="0" w:line="167" w:lineRule="exact"/>
        <w:rPr>
          <w:sz w:val="20"/>
          <w:szCs w:val="20"/>
          <w:color w:val="auto"/>
        </w:rPr>
      </w:pPr>
    </w:p>
    <w:p>
      <w:pPr>
        <w:ind w:right="360" w:firstLine="648"/>
        <w:spacing w:after="0" w:line="271" w:lineRule="auto"/>
        <w:rPr>
          <w:sz w:val="20"/>
          <w:szCs w:val="20"/>
          <w:color w:val="auto"/>
        </w:rPr>
      </w:pPr>
      <w:r>
        <w:rPr>
          <w:rFonts w:ascii="Arial" w:cs="Arial" w:eastAsia="Arial" w:hAnsi="Arial"/>
          <w:sz w:val="18"/>
          <w:szCs w:val="18"/>
          <w:b w:val="1"/>
          <w:bCs w:val="1"/>
          <w:color w:val="auto"/>
        </w:rPr>
        <w:t>Our board of directors recommends a vote FOR the election of Messrs. Kelso, Mittal and Ostler as Class II directors of the Company.</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9"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508BC7"/>
        </w:rPr>
        <w:t>PROPOSAL 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08BC7"/>
        </w:rPr>
        <w:t>RATIFICATION OF THE APPOINTMENT OF</w:t>
      </w:r>
    </w:p>
    <w:p>
      <w:pPr>
        <w:jc w:val="center"/>
        <w:spacing w:after="0"/>
        <w:rPr>
          <w:sz w:val="20"/>
          <w:szCs w:val="20"/>
          <w:color w:val="auto"/>
        </w:rPr>
      </w:pPr>
      <w:r>
        <w:rPr>
          <w:rFonts w:ascii="Arial" w:cs="Arial" w:eastAsia="Arial" w:hAnsi="Arial"/>
          <w:sz w:val="22"/>
          <w:szCs w:val="22"/>
          <w:b w:val="1"/>
          <w:bCs w:val="1"/>
          <w:color w:val="508BC7"/>
        </w:rPr>
        <w:t>INDEPENDENT REGISTERED PUBLIC ACCOUNTING FIRM</w:t>
      </w:r>
    </w:p>
    <w:p>
      <w:pPr>
        <w:spacing w:after="0" w:line="19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Our Audit Committee has selected Ernst &amp; Young LLP as the independent registered public accounting firm to audit the Company’s and its subsidiaries’ books, records and accounts for the fiscal year 2017. Our board of directors has endorsed this appointment. Ratification of the selection of Ernst &amp; Young LLP by our stockholders is not required by law. However, as a matter of good corporate practice, such selection is being submitted to our stockholders for ratification at the Annual Meeting. If our stockholders do not ratify the selection, our board of directors and our Audit Committee will reconsider whether or not to retain Ernst &amp; Young LLP, but may nonetheless retain Ernst &amp; Young LLP. Even if the selection is ratified, the Audit Committee in its discretion may change such appointment at any time during the year if it determines that such change would be in the best interests of the Company and our stockholders. Ernst &amp; Young LLP audited our consolidated financial statements for fiscal years 2016 and 2015. Representatives of Ernst &amp; Young LLP are expected to be present at the Annual Meeting. They will have an opportunity to make a statement, if they desire to do so, and will be available to respond to appropriate questions.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Audit and Non-Audit Fees</w:t>
      </w:r>
    </w:p>
    <w:p>
      <w:pPr>
        <w:spacing w:after="0" w:line="220"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The following is a summary of the fees billed to us by Ernst &amp; Young LLP for professional services rendered in each of the last two fiscal years (for fiscal 2016, audit fees include an estimate of amounts not yet billed):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shd w:val="clear" w:color="auto" w:fill="508BC7"/>
          </w:tcPr>
          <w:p>
            <w:pPr>
              <w:spacing w:after="0"/>
              <w:rPr>
                <w:sz w:val="14"/>
                <w:szCs w:val="14"/>
                <w:color w:val="auto"/>
              </w:rPr>
            </w:pPr>
          </w:p>
        </w:tc>
        <w:tc>
          <w:tcPr>
            <w:tcW w:w="220" w:type="dxa"/>
            <w:vAlign w:val="bottom"/>
            <w:shd w:val="clear" w:color="auto" w:fill="508BC7"/>
          </w:tcPr>
          <w:p>
            <w:pPr>
              <w:spacing w:after="0"/>
              <w:rPr>
                <w:sz w:val="14"/>
                <w:szCs w:val="14"/>
                <w:color w:val="auto"/>
              </w:rPr>
            </w:pPr>
          </w:p>
        </w:tc>
        <w:tc>
          <w:tcPr>
            <w:tcW w:w="1020" w:type="dxa"/>
            <w:vAlign w:val="bottom"/>
            <w:shd w:val="clear" w:color="auto" w:fill="508BC7"/>
          </w:tcPr>
          <w:p>
            <w:pPr>
              <w:jc w:val="right"/>
              <w:spacing w:after="0"/>
              <w:rPr>
                <w:sz w:val="20"/>
                <w:szCs w:val="20"/>
                <w:color w:val="auto"/>
              </w:rPr>
            </w:pPr>
            <w:r>
              <w:rPr>
                <w:rFonts w:ascii="Arial" w:cs="Arial" w:eastAsia="Arial" w:hAnsi="Arial"/>
                <w:sz w:val="14"/>
                <w:szCs w:val="14"/>
                <w:b w:val="1"/>
                <w:bCs w:val="1"/>
                <w:color w:val="FFFFFF"/>
              </w:rPr>
              <w:t>Fiscal</w:t>
            </w:r>
          </w:p>
        </w:tc>
        <w:tc>
          <w:tcPr>
            <w:tcW w:w="520" w:type="dxa"/>
            <w:vAlign w:val="bottom"/>
            <w:shd w:val="clear" w:color="auto" w:fill="508BC7"/>
          </w:tcPr>
          <w:p>
            <w:pPr>
              <w:spacing w:after="0"/>
              <w:rPr>
                <w:sz w:val="14"/>
                <w:szCs w:val="14"/>
                <w:color w:val="auto"/>
              </w:rPr>
            </w:pPr>
          </w:p>
        </w:tc>
        <w:tc>
          <w:tcPr>
            <w:tcW w:w="100" w:type="dxa"/>
            <w:vAlign w:val="bottom"/>
            <w:shd w:val="clear" w:color="auto" w:fill="508BC7"/>
          </w:tcPr>
          <w:p>
            <w:pPr>
              <w:spacing w:after="0"/>
              <w:rPr>
                <w:sz w:val="14"/>
                <w:szCs w:val="14"/>
                <w:color w:val="auto"/>
              </w:rPr>
            </w:pPr>
          </w:p>
        </w:tc>
        <w:tc>
          <w:tcPr>
            <w:tcW w:w="1400" w:type="dxa"/>
            <w:vAlign w:val="bottom"/>
            <w:shd w:val="clear" w:color="auto" w:fill="508BC7"/>
          </w:tcPr>
          <w:p>
            <w:pPr>
              <w:jc w:val="right"/>
              <w:ind w:right="419"/>
              <w:spacing w:after="0"/>
              <w:rPr>
                <w:sz w:val="20"/>
                <w:szCs w:val="20"/>
                <w:color w:val="auto"/>
              </w:rPr>
            </w:pPr>
            <w:r>
              <w:rPr>
                <w:rFonts w:ascii="Arial" w:cs="Arial" w:eastAsia="Arial" w:hAnsi="Arial"/>
                <w:sz w:val="14"/>
                <w:szCs w:val="14"/>
                <w:b w:val="1"/>
                <w:bCs w:val="1"/>
                <w:color w:val="FFFFFF"/>
              </w:rPr>
              <w:t>Fiscal</w:t>
            </w:r>
          </w:p>
        </w:tc>
      </w:tr>
      <w:tr>
        <w:trPr>
          <w:trHeight w:val="190"/>
        </w:trPr>
        <w:tc>
          <w:tcPr>
            <w:tcW w:w="8160" w:type="dxa"/>
            <w:vAlign w:val="bottom"/>
            <w:shd w:val="clear" w:color="auto" w:fill="508BC7"/>
          </w:tcPr>
          <w:p>
            <w:pPr>
              <w:ind w:left="3640"/>
              <w:spacing w:after="0"/>
              <w:rPr>
                <w:sz w:val="20"/>
                <w:szCs w:val="20"/>
                <w:color w:val="auto"/>
              </w:rPr>
            </w:pPr>
            <w:r>
              <w:rPr>
                <w:rFonts w:ascii="Arial" w:cs="Arial" w:eastAsia="Arial" w:hAnsi="Arial"/>
                <w:sz w:val="14"/>
                <w:szCs w:val="14"/>
                <w:b w:val="1"/>
                <w:bCs w:val="1"/>
                <w:color w:val="FFFFFF"/>
              </w:rPr>
              <w:t>Fee Category</w:t>
            </w:r>
          </w:p>
        </w:tc>
        <w:tc>
          <w:tcPr>
            <w:tcW w:w="1240" w:type="dxa"/>
            <w:vAlign w:val="bottom"/>
            <w:gridSpan w:val="2"/>
            <w:shd w:val="clear" w:color="auto" w:fill="508BC7"/>
          </w:tcPr>
          <w:p>
            <w:pPr>
              <w:jc w:val="right"/>
              <w:ind w:right="19"/>
              <w:spacing w:after="0"/>
              <w:rPr>
                <w:sz w:val="20"/>
                <w:szCs w:val="20"/>
                <w:color w:val="auto"/>
              </w:rPr>
            </w:pPr>
            <w:r>
              <w:rPr>
                <w:rFonts w:ascii="Arial" w:cs="Arial" w:eastAsia="Arial" w:hAnsi="Arial"/>
                <w:sz w:val="14"/>
                <w:szCs w:val="14"/>
                <w:b w:val="1"/>
                <w:bCs w:val="1"/>
                <w:color w:val="FFFFFF"/>
              </w:rPr>
              <w:t>2016</w:t>
            </w:r>
          </w:p>
        </w:tc>
        <w:tc>
          <w:tcPr>
            <w:tcW w:w="2020" w:type="dxa"/>
            <w:vAlign w:val="bottom"/>
            <w:gridSpan w:val="3"/>
            <w:shd w:val="clear" w:color="auto" w:fill="508BC7"/>
          </w:tcPr>
          <w:p>
            <w:pPr>
              <w:jc w:val="right"/>
              <w:ind w:right="479"/>
              <w:spacing w:after="0"/>
              <w:rPr>
                <w:sz w:val="20"/>
                <w:szCs w:val="20"/>
                <w:color w:val="auto"/>
              </w:rPr>
            </w:pPr>
            <w:r>
              <w:rPr>
                <w:rFonts w:ascii="Arial" w:cs="Arial" w:eastAsia="Arial" w:hAnsi="Arial"/>
                <w:sz w:val="14"/>
                <w:szCs w:val="14"/>
                <w:b w:val="1"/>
                <w:bCs w:val="1"/>
                <w:color w:val="FFFFFF"/>
              </w:rPr>
              <w:t>2015</w:t>
            </w:r>
          </w:p>
        </w:tc>
      </w:tr>
      <w:tr>
        <w:trPr>
          <w:trHeight w:val="188"/>
        </w:trPr>
        <w:tc>
          <w:tcPr>
            <w:tcW w:w="8160" w:type="dxa"/>
            <w:vAlign w:val="bottom"/>
            <w:shd w:val="clear" w:color="auto" w:fill="508BC7"/>
          </w:tcPr>
          <w:p>
            <w:pPr>
              <w:spacing w:after="0"/>
              <w:rPr>
                <w:sz w:val="16"/>
                <w:szCs w:val="16"/>
                <w:color w:val="auto"/>
              </w:rPr>
            </w:pPr>
          </w:p>
        </w:tc>
        <w:tc>
          <w:tcPr>
            <w:tcW w:w="220" w:type="dxa"/>
            <w:vAlign w:val="bottom"/>
            <w:shd w:val="clear" w:color="auto" w:fill="508BC7"/>
          </w:tcPr>
          <w:p>
            <w:pPr>
              <w:spacing w:after="0"/>
              <w:rPr>
                <w:sz w:val="16"/>
                <w:szCs w:val="16"/>
                <w:color w:val="auto"/>
              </w:rPr>
            </w:pPr>
          </w:p>
        </w:tc>
        <w:tc>
          <w:tcPr>
            <w:tcW w:w="1020" w:type="dxa"/>
            <w:vAlign w:val="bottom"/>
            <w:shd w:val="clear" w:color="auto" w:fill="508BC7"/>
          </w:tcPr>
          <w:p>
            <w:pPr>
              <w:spacing w:after="0"/>
              <w:rPr>
                <w:sz w:val="16"/>
                <w:szCs w:val="16"/>
                <w:color w:val="auto"/>
              </w:rPr>
            </w:pPr>
          </w:p>
        </w:tc>
        <w:tc>
          <w:tcPr>
            <w:tcW w:w="2020" w:type="dxa"/>
            <w:vAlign w:val="bottom"/>
            <w:gridSpan w:val="3"/>
            <w:shd w:val="clear" w:color="auto" w:fill="508BC7"/>
          </w:tcPr>
          <w:p>
            <w:pPr>
              <w:jc w:val="right"/>
              <w:ind w:right="939"/>
              <w:spacing w:after="0"/>
              <w:rPr>
                <w:sz w:val="20"/>
                <w:szCs w:val="20"/>
                <w:color w:val="auto"/>
              </w:rPr>
            </w:pPr>
            <w:r>
              <w:rPr>
                <w:rFonts w:ascii="Arial" w:cs="Arial" w:eastAsia="Arial" w:hAnsi="Arial"/>
                <w:sz w:val="14"/>
                <w:szCs w:val="14"/>
                <w:b w:val="1"/>
                <w:bCs w:val="1"/>
                <w:color w:val="FFFFFF"/>
              </w:rPr>
              <w:t>(in thousands)</w:t>
            </w:r>
          </w:p>
        </w:tc>
      </w:tr>
      <w:tr>
        <w:trPr>
          <w:trHeight w:val="203"/>
        </w:trPr>
        <w:tc>
          <w:tcPr>
            <w:tcW w:w="8160" w:type="dxa"/>
            <w:vAlign w:val="bottom"/>
            <w:shd w:val="clear" w:color="auto" w:fill="D0E0F0"/>
          </w:tcPr>
          <w:p>
            <w:pPr>
              <w:spacing w:after="0" w:line="202" w:lineRule="exact"/>
              <w:rPr>
                <w:sz w:val="20"/>
                <w:szCs w:val="20"/>
                <w:color w:val="auto"/>
              </w:rPr>
            </w:pPr>
            <w:r>
              <w:rPr>
                <w:rFonts w:ascii="Arial" w:cs="Arial" w:eastAsia="Arial" w:hAnsi="Arial"/>
                <w:sz w:val="18"/>
                <w:szCs w:val="18"/>
                <w:color w:val="auto"/>
              </w:rPr>
              <w:t>Audit Fees</w:t>
            </w:r>
          </w:p>
        </w:tc>
        <w:tc>
          <w:tcPr>
            <w:tcW w:w="1240" w:type="dxa"/>
            <w:vAlign w:val="bottom"/>
            <w:gridSpan w:val="2"/>
            <w:shd w:val="clear" w:color="auto" w:fill="D0E0F0"/>
          </w:tcPr>
          <w:p>
            <w:pPr>
              <w:jc w:val="right"/>
              <w:spacing w:after="0" w:line="202" w:lineRule="exact"/>
              <w:rPr>
                <w:sz w:val="20"/>
                <w:szCs w:val="20"/>
                <w:color w:val="auto"/>
              </w:rPr>
            </w:pPr>
            <w:r>
              <w:rPr>
                <w:rFonts w:ascii="Arial" w:cs="Arial" w:eastAsia="Arial" w:hAnsi="Arial"/>
                <w:sz w:val="18"/>
                <w:szCs w:val="18"/>
                <w:color w:val="auto"/>
              </w:rPr>
              <w:t>$1,551</w:t>
            </w:r>
          </w:p>
        </w:tc>
        <w:tc>
          <w:tcPr>
            <w:tcW w:w="2020" w:type="dxa"/>
            <w:vAlign w:val="bottom"/>
            <w:gridSpan w:val="3"/>
            <w:shd w:val="clear" w:color="auto" w:fill="D0E0F0"/>
          </w:tcPr>
          <w:p>
            <w:pPr>
              <w:jc w:val="right"/>
              <w:ind w:right="179"/>
              <w:spacing w:after="0" w:line="202" w:lineRule="exact"/>
              <w:rPr>
                <w:sz w:val="20"/>
                <w:szCs w:val="20"/>
                <w:color w:val="auto"/>
              </w:rPr>
            </w:pPr>
            <w:r>
              <w:rPr>
                <w:rFonts w:ascii="Arial" w:cs="Arial" w:eastAsia="Arial" w:hAnsi="Arial"/>
                <w:sz w:val="18"/>
                <w:szCs w:val="18"/>
                <w:color w:val="auto"/>
              </w:rPr>
              <w:t>$1,453</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Audit-Related Fees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2020" w:type="dxa"/>
            <w:vAlign w:val="bottom"/>
            <w:gridSpan w:val="3"/>
          </w:tcPr>
          <w:p>
            <w:pPr>
              <w:jc w:val="right"/>
              <w:ind w:right="179"/>
              <w:spacing w:after="0"/>
              <w:rPr>
                <w:sz w:val="20"/>
                <w:szCs w:val="20"/>
                <w:color w:val="auto"/>
              </w:rPr>
            </w:pPr>
            <w:r>
              <w:rPr>
                <w:rFonts w:ascii="Arial" w:cs="Arial" w:eastAsia="Arial" w:hAnsi="Arial"/>
                <w:sz w:val="18"/>
                <w:szCs w:val="18"/>
                <w:color w:val="auto"/>
              </w:rPr>
              <w:t>179</w:t>
            </w:r>
          </w:p>
        </w:tc>
      </w:tr>
      <w:tr>
        <w:trPr>
          <w:trHeight w:val="216"/>
        </w:trPr>
        <w:tc>
          <w:tcPr>
            <w:tcW w:w="8160" w:type="dxa"/>
            <w:vAlign w:val="bottom"/>
            <w:shd w:val="clear" w:color="auto" w:fill="D0E0F0"/>
          </w:tcPr>
          <w:p>
            <w:pPr>
              <w:spacing w:after="0"/>
              <w:rPr>
                <w:sz w:val="20"/>
                <w:szCs w:val="20"/>
                <w:color w:val="auto"/>
              </w:rPr>
            </w:pPr>
            <w:r>
              <w:rPr>
                <w:rFonts w:ascii="Arial" w:cs="Arial" w:eastAsia="Arial" w:hAnsi="Arial"/>
                <w:sz w:val="18"/>
                <w:szCs w:val="18"/>
                <w:color w:val="auto"/>
              </w:rPr>
              <w:t>Tax Fees</w:t>
            </w:r>
          </w:p>
        </w:tc>
        <w:tc>
          <w:tcPr>
            <w:tcW w:w="1240" w:type="dxa"/>
            <w:vAlign w:val="bottom"/>
            <w:gridSpan w:val="2"/>
            <w:shd w:val="clear" w:color="auto" w:fill="D0E0F0"/>
          </w:tcPr>
          <w:p>
            <w:pPr>
              <w:jc w:val="right"/>
              <w:spacing w:after="0"/>
              <w:rPr>
                <w:sz w:val="20"/>
                <w:szCs w:val="20"/>
                <w:color w:val="auto"/>
              </w:rPr>
            </w:pPr>
            <w:r>
              <w:rPr>
                <w:rFonts w:ascii="Arial" w:cs="Arial" w:eastAsia="Arial" w:hAnsi="Arial"/>
                <w:sz w:val="18"/>
                <w:szCs w:val="18"/>
                <w:color w:val="auto"/>
              </w:rPr>
              <w:t>44</w:t>
            </w:r>
          </w:p>
        </w:tc>
        <w:tc>
          <w:tcPr>
            <w:tcW w:w="2020" w:type="dxa"/>
            <w:vAlign w:val="bottom"/>
            <w:gridSpan w:val="3"/>
            <w:shd w:val="clear" w:color="auto" w:fill="D0E0F0"/>
          </w:tcPr>
          <w:p>
            <w:pPr>
              <w:jc w:val="right"/>
              <w:ind w:right="179"/>
              <w:spacing w:after="0"/>
              <w:rPr>
                <w:sz w:val="20"/>
                <w:szCs w:val="20"/>
                <w:color w:val="auto"/>
              </w:rPr>
            </w:pPr>
            <w:r>
              <w:rPr>
                <w:rFonts w:ascii="Arial" w:cs="Arial" w:eastAsia="Arial" w:hAnsi="Arial"/>
                <w:sz w:val="18"/>
                <w:szCs w:val="18"/>
                <w:color w:val="auto"/>
              </w:rPr>
              <w:t>45</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All Other Fees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020" w:type="dxa"/>
            <w:vAlign w:val="bottom"/>
            <w:gridSpan w:val="3"/>
          </w:tcPr>
          <w:p>
            <w:pPr>
              <w:jc w:val="right"/>
              <w:ind w:right="179"/>
              <w:spacing w:after="0"/>
              <w:rPr>
                <w:sz w:val="20"/>
                <w:szCs w:val="20"/>
                <w:color w:val="auto"/>
              </w:rPr>
            </w:pPr>
            <w:r>
              <w:rPr>
                <w:rFonts w:ascii="Arial" w:cs="Arial" w:eastAsia="Arial" w:hAnsi="Arial"/>
                <w:sz w:val="18"/>
                <w:szCs w:val="18"/>
                <w:color w:val="auto"/>
              </w:rPr>
              <w:t>31</w:t>
            </w:r>
          </w:p>
        </w:tc>
      </w:tr>
      <w:tr>
        <w:trPr>
          <w:trHeight w:val="196"/>
        </w:trPr>
        <w:tc>
          <w:tcPr>
            <w:tcW w:w="8160" w:type="dxa"/>
            <w:vAlign w:val="bottom"/>
            <w:tcBorders>
              <w:top w:val="single" w:sz="8" w:color="D0E0F0"/>
            </w:tcBorders>
            <w:shd w:val="clear" w:color="auto" w:fill="D0E0F0"/>
          </w:tcPr>
          <w:p>
            <w:pPr>
              <w:spacing w:after="0" w:line="196" w:lineRule="exact"/>
              <w:rPr>
                <w:sz w:val="20"/>
                <w:szCs w:val="20"/>
                <w:color w:val="auto"/>
              </w:rPr>
            </w:pPr>
            <w:r>
              <w:rPr>
                <w:rFonts w:ascii="Arial" w:cs="Arial" w:eastAsia="Arial" w:hAnsi="Arial"/>
                <w:sz w:val="18"/>
                <w:szCs w:val="18"/>
                <w:color w:val="auto"/>
              </w:rPr>
              <w:t>Total Fees</w:t>
            </w:r>
          </w:p>
        </w:tc>
        <w:tc>
          <w:tcPr>
            <w:tcW w:w="220" w:type="dxa"/>
            <w:vAlign w:val="bottom"/>
            <w:tcBorders>
              <w:top w:val="single" w:sz="8" w:color="D0E0F0"/>
            </w:tcBorders>
            <w:shd w:val="clear" w:color="auto" w:fill="D0E0F0"/>
          </w:tcPr>
          <w:p>
            <w:pPr>
              <w:spacing w:after="0"/>
              <w:rPr>
                <w:sz w:val="17"/>
                <w:szCs w:val="17"/>
                <w:color w:val="auto"/>
              </w:rPr>
            </w:pPr>
          </w:p>
        </w:tc>
        <w:tc>
          <w:tcPr>
            <w:tcW w:w="1020" w:type="dxa"/>
            <w:vAlign w:val="bottom"/>
            <w:tcBorders>
              <w:top w:val="single" w:sz="8" w:color="auto"/>
            </w:tcBorders>
            <w:shd w:val="clear" w:color="auto" w:fill="D0E0F0"/>
          </w:tcPr>
          <w:p>
            <w:pPr>
              <w:jc w:val="right"/>
              <w:spacing w:after="0" w:line="196" w:lineRule="exact"/>
              <w:rPr>
                <w:sz w:val="20"/>
                <w:szCs w:val="20"/>
                <w:color w:val="auto"/>
              </w:rPr>
            </w:pPr>
            <w:r>
              <w:rPr>
                <w:rFonts w:ascii="Arial" w:cs="Arial" w:eastAsia="Arial" w:hAnsi="Arial"/>
                <w:sz w:val="18"/>
                <w:szCs w:val="18"/>
                <w:color w:val="auto"/>
              </w:rPr>
              <w:t>$1,953</w:t>
            </w:r>
          </w:p>
        </w:tc>
        <w:tc>
          <w:tcPr>
            <w:tcW w:w="520" w:type="dxa"/>
            <w:vAlign w:val="bottom"/>
            <w:tcBorders>
              <w:top w:val="single" w:sz="8" w:color="auto"/>
            </w:tcBorders>
            <w:shd w:val="clear" w:color="auto" w:fill="D0E0F0"/>
          </w:tcPr>
          <w:p>
            <w:pPr>
              <w:spacing w:after="0"/>
              <w:rPr>
                <w:sz w:val="17"/>
                <w:szCs w:val="17"/>
                <w:color w:val="auto"/>
              </w:rPr>
            </w:pPr>
          </w:p>
        </w:tc>
        <w:tc>
          <w:tcPr>
            <w:tcW w:w="100" w:type="dxa"/>
            <w:vAlign w:val="bottom"/>
            <w:tcBorders>
              <w:top w:val="single" w:sz="8" w:color="D0E0F0"/>
            </w:tcBorders>
            <w:shd w:val="clear" w:color="auto" w:fill="D0E0F0"/>
          </w:tcPr>
          <w:p>
            <w:pPr>
              <w:spacing w:after="0"/>
              <w:rPr>
                <w:sz w:val="17"/>
                <w:szCs w:val="17"/>
                <w:color w:val="auto"/>
              </w:rPr>
            </w:pPr>
          </w:p>
        </w:tc>
        <w:tc>
          <w:tcPr>
            <w:tcW w:w="1400" w:type="dxa"/>
            <w:vAlign w:val="bottom"/>
            <w:tcBorders>
              <w:top w:val="single" w:sz="8" w:color="auto"/>
            </w:tcBorders>
            <w:shd w:val="clear" w:color="auto" w:fill="D0E0F0"/>
          </w:tcPr>
          <w:p>
            <w:pPr>
              <w:jc w:val="right"/>
              <w:ind w:right="179"/>
              <w:spacing w:after="0" w:line="196" w:lineRule="exact"/>
              <w:rPr>
                <w:sz w:val="20"/>
                <w:szCs w:val="20"/>
                <w:color w:val="auto"/>
              </w:rPr>
            </w:pPr>
            <w:r>
              <w:rPr>
                <w:rFonts w:ascii="Arial" w:cs="Arial" w:eastAsia="Arial" w:hAnsi="Arial"/>
                <w:sz w:val="18"/>
                <w:szCs w:val="18"/>
                <w:color w:val="auto"/>
              </w:rPr>
              <w:t>$1,708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Consist of fees billed for professional services rendered for the audit of our consolidated financial statements, including (i)</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of effectiveness of internal control over financial reporting, (ii) review of our consolidated financial statements included in our quarterly reports, and (iii) services that are normally provided by our registered independent public accountants including services in connection with statutory or regulatory filings or engagements for those fiscal years.</w:t>
      </w:r>
    </w:p>
    <w:p>
      <w:pPr>
        <w:spacing w:after="0" w:line="168"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consolidated financial statements and are not reported under “Audit Fees.” These services include, for both years, SSAE 16 service organization audits and due diligence in connection with acquisition activity.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Consist primarily of fees for other tax filing and advisory projects.</w:t>
      </w:r>
    </w:p>
    <w:p>
      <w:pPr>
        <w:spacing w:after="0" w:line="198" w:lineRule="exact"/>
        <w:rPr>
          <w:sz w:val="20"/>
          <w:szCs w:val="20"/>
          <w:color w:val="auto"/>
        </w:rPr>
      </w:pPr>
    </w:p>
    <w:p>
      <w:pPr>
        <w:ind w:right="320" w:firstLine="648"/>
        <w:spacing w:after="0" w:line="26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Consist of fees billed for other permissible work performed by Ernst &amp; Young that does not meet the above category</w:t>
      </w:r>
      <w:r>
        <w:rPr>
          <w:rFonts w:ascii="Arial" w:cs="Arial" w:eastAsia="Arial" w:hAnsi="Arial"/>
          <w:sz w:val="18"/>
          <w:szCs w:val="18"/>
          <w:i w:val="1"/>
          <w:iCs w:val="1"/>
          <w:color w:val="auto"/>
        </w:rPr>
        <w:t xml:space="preserve"> </w:t>
      </w:r>
      <w:r>
        <w:rPr>
          <w:rFonts w:ascii="Arial" w:cs="Arial" w:eastAsia="Arial" w:hAnsi="Arial"/>
          <w:sz w:val="18"/>
          <w:szCs w:val="18"/>
          <w:color w:val="auto"/>
        </w:rPr>
        <w:t>descriptions, including fees related to online access to an accounting and financial reporting research tool.</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69" w:name="page70"/>
    <w:bookmarkEnd w:id="69"/>
    <w:p>
      <w:pPr>
        <w:ind w:firstLine="648"/>
        <w:spacing w:after="0" w:line="238" w:lineRule="auto"/>
        <w:rPr>
          <w:sz w:val="20"/>
          <w:szCs w:val="20"/>
          <w:color w:val="auto"/>
        </w:rPr>
      </w:pPr>
      <w:r>
        <w:rPr>
          <w:rFonts w:ascii="Arial" w:cs="Arial" w:eastAsia="Arial" w:hAnsi="Arial"/>
          <w:sz w:val="18"/>
          <w:szCs w:val="18"/>
          <w:color w:val="auto"/>
        </w:rPr>
        <w:t>Our Audit Committee pre-approves and is responsible for the engagement of all auditing services provided by our independent registered public accountants and all non-auditing services to be provided by such accountants to the extent permitted under Section 10A of the Exchange Act, including all fees and other terms of engagement. Our Audit Committee may delegate the authority to pre-approve audit and permitted non-audit services between meetings of our Audit Committee to a designated member of our Audit Committee, provided that the decisions made by such member are presented to our full Audit Committee for ratification at its next scheduled meeting.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fees paid to Ernst &amp; Young LLP in 2016 and 2015 were pre-approved by the Audit Committee.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Required Vote</w:t>
      </w:r>
    </w:p>
    <w:p>
      <w:pPr>
        <w:spacing w:after="0" w:line="220"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The ratification of the appointment of Ernst &amp; Young LLP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167" w:lineRule="exact"/>
        <w:rPr>
          <w:sz w:val="20"/>
          <w:szCs w:val="20"/>
          <w:color w:val="auto"/>
        </w:rPr>
      </w:pPr>
    </w:p>
    <w:p>
      <w:pPr>
        <w:ind w:right="240" w:firstLine="648"/>
        <w:spacing w:after="0" w:line="271" w:lineRule="auto"/>
        <w:rPr>
          <w:sz w:val="20"/>
          <w:szCs w:val="20"/>
          <w:color w:val="auto"/>
        </w:rPr>
      </w:pPr>
      <w:r>
        <w:rPr>
          <w:rFonts w:ascii="Arial" w:cs="Arial" w:eastAsia="Arial" w:hAnsi="Arial"/>
          <w:sz w:val="18"/>
          <w:szCs w:val="18"/>
          <w:b w:val="1"/>
          <w:bCs w:val="1"/>
          <w:color w:val="auto"/>
        </w:rPr>
        <w:t>Our board of directors recommends a vote FOR the ratification of Ernst &amp; Young LLP as our independent registered public accounting firm</w:t>
      </w:r>
      <w:r>
        <w:rPr>
          <w:rFonts w:ascii="Arial" w:cs="Arial" w:eastAsia="Arial" w:hAnsi="Arial"/>
          <w:sz w:val="18"/>
          <w:szCs w:val="18"/>
          <w:color w:val="auto"/>
        </w:rPr>
        <w:t>.</w:t>
      </w: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22"/>
          <w:szCs w:val="22"/>
          <w:b w:val="1"/>
          <w:bCs w:val="1"/>
          <w:color w:val="508BC7"/>
        </w:rPr>
        <w:t>PROPOSAL 3</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508BC7"/>
        </w:rPr>
        <w:t>ADVISORY (NON-BINDING) VOTE ON EXECUTIVE COMPENSATION</w:t>
      </w:r>
    </w:p>
    <w:p>
      <w:pPr>
        <w:spacing w:after="0" w:line="198"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Proposal 3 is a vote, on a non-binding advisory basis, to approve the compensation of our executive officers as described in this proxy statement. Although the vote is advisory and is not binding on the board of directors, our Compensation Committee will take into account the outcome of the vote when considering future executive compensation decisions. We refer to this vote as the “say-on-pay” vote.</w:t>
      </w:r>
    </w:p>
    <w:p>
      <w:pPr>
        <w:spacing w:after="0" w:line="189"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At the 2011 Annual Meeting of Stockholders, our stockholders voted on a proposal relating to the frequency of the “say-on-pay” vote. We recommended, and our stockholders approved on a non-binding advisory basis, an annual say-on-pay vote. Accordingly, we include the say-on-pay vote each year as a regular part of each Annual Meeting of Stockholders, and the next such say-on-pay vote will occur at next year’s Annual Meeting of Stockholders. The next vote on the frequency of the “say-on-pay” vote will be held at the Annual Meeting.</w:t>
      </w:r>
    </w:p>
    <w:p>
      <w:pPr>
        <w:spacing w:after="0" w:line="188"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Our board of directors is committed to corporate governance best practices and recognizes the significant interest of stockholders in executive compensation matters. As discussed in the Compensation Discussion and Analysis, our board of directors believes that our current executive compensation program directly links executive compensation to our performance and aligns the interests of our executive officers with those of our stockholders. For example, the bulk of our annual incentive bonuses are earned based on achievement of two core financial metrics: Adjusted EPS and revenues. As we discuss in greater detail in our Compensation Discussion and Analysis, these financial metrics focus our named executive officers on top-line revenues and bottom-line earnings that are likely to make meaningful contributions to our future financial performance. We believe rewarding our executives with incentive pay based on achievement of these three financial metrics closely aligns management with the interests of our stockholders.</w:t>
      </w:r>
    </w:p>
    <w:p>
      <w:pPr>
        <w:spacing w:after="0" w:line="195"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In addition, our philosophy places more emphasis on variable elements of compensation (such as incentive bonuses and equity-based compensation) than fixed remuneration.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stockholders have the opportunity to vote for, against or abstain from voting on the following resolution:</w:t>
      </w:r>
    </w:p>
    <w:p>
      <w:pPr>
        <w:spacing w:after="0" w:line="176" w:lineRule="exact"/>
        <w:rPr>
          <w:sz w:val="20"/>
          <w:szCs w:val="20"/>
          <w:color w:val="auto"/>
        </w:rPr>
      </w:pPr>
    </w:p>
    <w:p>
      <w:pPr>
        <w:ind w:left="660" w:right="540"/>
        <w:spacing w:after="0" w:line="275" w:lineRule="auto"/>
        <w:rPr>
          <w:sz w:val="20"/>
          <w:szCs w:val="20"/>
          <w:color w:val="auto"/>
        </w:rPr>
      </w:pPr>
      <w:r>
        <w:rPr>
          <w:rFonts w:ascii="Arial" w:cs="Arial" w:eastAsia="Arial" w:hAnsi="Arial"/>
          <w:sz w:val="17"/>
          <w:szCs w:val="17"/>
          <w:b w:val="1"/>
          <w:bCs w:val="1"/>
          <w:color w:val="auto"/>
        </w:rPr>
        <w:t>“Resolved, that the stockholders approve on an advisory basis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r>
        <w:rPr>
          <w:rFonts w:ascii="Arial" w:cs="Arial" w:eastAsia="Arial" w:hAnsi="Arial"/>
          <w:sz w:val="17"/>
          <w:szCs w:val="17"/>
          <w:color w:val="auto"/>
        </w:rPr>
        <w:t>.”</w:t>
      </w:r>
    </w:p>
    <w:p>
      <w:pPr>
        <w:spacing w:after="0" w:line="160"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The above-referenced disclosures related to the compensation of our named executive officers appear beginning at page 23 of this proxy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Required Vote</w:t>
      </w:r>
    </w:p>
    <w:p>
      <w:pPr>
        <w:spacing w:after="0" w:line="22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approval of the compensation of our named executive officers requires the affirmative vote of a majority of shares present in person or represented by proxy and entitled to vote at the Annual Meeting. Unless marked to the contrary, proxies received will be voted “FOR” the approval of the compensation of our named executive officers.</w:t>
      </w:r>
    </w:p>
    <w:p>
      <w:pPr>
        <w:spacing w:after="0" w:line="167" w:lineRule="exact"/>
        <w:rPr>
          <w:sz w:val="20"/>
          <w:szCs w:val="20"/>
          <w:color w:val="auto"/>
        </w:rPr>
      </w:pPr>
    </w:p>
    <w:p>
      <w:pPr>
        <w:jc w:val="both"/>
        <w:ind w:right="620" w:firstLine="648"/>
        <w:spacing w:after="0" w:line="253" w:lineRule="auto"/>
        <w:rPr>
          <w:sz w:val="20"/>
          <w:szCs w:val="20"/>
          <w:color w:val="auto"/>
        </w:rPr>
      </w:pPr>
      <w:r>
        <w:rPr>
          <w:rFonts w:ascii="Arial" w:cs="Arial" w:eastAsia="Arial" w:hAnsi="Arial"/>
          <w:sz w:val="18"/>
          <w:szCs w:val="18"/>
          <w:b w:val="1"/>
          <w:bCs w:val="1"/>
          <w:color w:val="auto"/>
        </w:rPr>
        <w:t>Our board of directors recommends a vote FOR the approval on an advisory basis of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9" w:right="27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22"/>
          <w:szCs w:val="22"/>
          <w:b w:val="1"/>
          <w:bCs w:val="1"/>
          <w:color w:val="508BC7"/>
        </w:rPr>
        <w:t>PROPOSAL 4</w:t>
      </w:r>
    </w:p>
    <w:p>
      <w:pPr>
        <w:spacing w:after="0" w:line="16" w:lineRule="exact"/>
        <w:rPr>
          <w:sz w:val="20"/>
          <w:szCs w:val="20"/>
          <w:color w:val="auto"/>
        </w:rPr>
      </w:pPr>
    </w:p>
    <w:p>
      <w:pPr>
        <w:ind w:left="1700" w:right="1340" w:hanging="401"/>
        <w:spacing w:after="0" w:line="259" w:lineRule="auto"/>
        <w:rPr>
          <w:sz w:val="20"/>
          <w:szCs w:val="20"/>
          <w:color w:val="auto"/>
        </w:rPr>
      </w:pPr>
      <w:r>
        <w:rPr>
          <w:rFonts w:ascii="Arial" w:cs="Arial" w:eastAsia="Arial" w:hAnsi="Arial"/>
          <w:sz w:val="21"/>
          <w:szCs w:val="21"/>
          <w:b w:val="1"/>
          <w:bCs w:val="1"/>
          <w:color w:val="508BC7"/>
        </w:rPr>
        <w:t>ADVISORY (NON-BINDING) VOTE ON HOW FREQUENTLY STOCKHOLDERS SHOULD VOTE TO APPROVE COMPENSATION OF THE NAMED EXECUTIVE OFFICERS</w:t>
      </w:r>
    </w:p>
    <w:p>
      <w:pPr>
        <w:spacing w:after="0" w:line="17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Proposal 4 is a vote, on a non-binding advisory basis, to determine how frequently stockholders should vote to approve compensation of the named executive officers. Although the vote is advisory and is not binding on the board of directors, our Compensation Committee will take into account the outcome of the vote when considering how frequently to hold say-on-pay votes. We refer to this as the “say-on-frequency” vote. You may choose from the following alternatives: every year, every two years, every three years or you may abstain.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say-on-frequency vote was first required at our 2011 Annual Meeting and is required at least once every six years thereafter.</w:t>
      </w:r>
    </w:p>
    <w:p>
      <w:pPr>
        <w:spacing w:after="0" w:line="198"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Our board of directors believes that having an annual say-on-pay vote to approve the compensation of our named executive officers is appropriate. Moreover, our board of directors believes that more frequent say-on-pay votes will permit our board of directors to receive current feedback on a timely basis from our stockholders regarding our compensation program for our executive officers, which will enable us to implement more quickly any modifications that our board of directors determines to be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Required Vote</w:t>
      </w:r>
    </w:p>
    <w:p>
      <w:pPr>
        <w:spacing w:after="0" w:line="220"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 xml:space="preserve">The option, if any, that receives the affirmative vote of a majority of the shares present in person or represented by proxy and entitled to vote at the Annual Meeting will be the option selected by our stockholders under this advisory vote. Because this proposal has multiple options, if none of the options receives the affirmative vote of a majority of the shares present in person or represented by proxy and entitled to vote at the Annual Meeting, then we will consider the stockholders to have chosen the option selected by the holders of a plurality of the shares present in person or represented by proxy and entitled to vote at the Annual Meeting. Unless marked to the contrary, proxies received will be voted for holding a non-binding advisory vote </w:t>
      </w:r>
      <w:r>
        <w:rPr>
          <w:rFonts w:ascii="Arial" w:cs="Arial" w:eastAsia="Arial" w:hAnsi="Arial"/>
          <w:sz w:val="18"/>
          <w:szCs w:val="18"/>
          <w:u w:val="single" w:color="auto"/>
          <w:color w:val="auto"/>
        </w:rPr>
        <w:t>EVERY YEAR</w:t>
      </w:r>
      <w:r>
        <w:rPr>
          <w:rFonts w:ascii="Arial" w:cs="Arial" w:eastAsia="Arial" w:hAnsi="Arial"/>
          <w:sz w:val="18"/>
          <w:szCs w:val="18"/>
          <w:color w:val="auto"/>
        </w:rPr>
        <w:t xml:space="preserve"> to approve the compensation of our executive officers.</w:t>
      </w:r>
    </w:p>
    <w:p>
      <w:pPr>
        <w:spacing w:after="0" w:line="17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b w:val="1"/>
          <w:bCs w:val="1"/>
          <w:color w:val="auto"/>
        </w:rPr>
        <w:t xml:space="preserve">Our board of directors recommends a vote for approval, on an advisory basis, of holding a non-binding advisory vote </w:t>
      </w:r>
      <w:r>
        <w:rPr>
          <w:rFonts w:ascii="Arial" w:cs="Arial" w:eastAsia="Arial" w:hAnsi="Arial"/>
          <w:sz w:val="18"/>
          <w:szCs w:val="18"/>
          <w:b w:val="1"/>
          <w:bCs w:val="1"/>
          <w:u w:val="single" w:color="auto"/>
          <w:color w:val="auto"/>
        </w:rPr>
        <w:t>EVERY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YEAR</w:t>
      </w:r>
      <w:r>
        <w:rPr>
          <w:rFonts w:ascii="Arial" w:cs="Arial" w:eastAsia="Arial" w:hAnsi="Arial"/>
          <w:sz w:val="18"/>
          <w:szCs w:val="18"/>
          <w:b w:val="1"/>
          <w:bCs w:val="1"/>
          <w:color w:val="auto"/>
        </w:rPr>
        <w:t xml:space="preserve"> to approve the compensation of our named executive officers as disclosed pursuant to the compensation disclosure rules of the SEC.</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22"/>
          <w:szCs w:val="22"/>
          <w:b w:val="1"/>
          <w:bCs w:val="1"/>
          <w:color w:val="508BC7"/>
        </w:rPr>
        <w:t>STOCKHOLDER PROPOSALS AND DIRECTOR NOMINATIONS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508BC7"/>
        </w:rPr>
        <w:t>FOR THE 2018 ANNUAL MEETING</w:t>
      </w:r>
    </w:p>
    <w:p>
      <w:pPr>
        <w:spacing w:after="0" w:line="198" w:lineRule="exact"/>
        <w:rPr>
          <w:sz w:val="20"/>
          <w:szCs w:val="20"/>
          <w:color w:val="auto"/>
        </w:rPr>
      </w:pPr>
    </w:p>
    <w:p>
      <w:pPr>
        <w:ind w:right="200" w:firstLine="648"/>
        <w:spacing w:after="0" w:line="237" w:lineRule="auto"/>
        <w:rPr>
          <w:sz w:val="20"/>
          <w:szCs w:val="20"/>
          <w:color w:val="auto"/>
        </w:rPr>
      </w:pPr>
      <w:r>
        <w:rPr>
          <w:rFonts w:ascii="Arial" w:cs="Arial" w:eastAsia="Arial" w:hAnsi="Arial"/>
          <w:sz w:val="18"/>
          <w:szCs w:val="18"/>
          <w:color w:val="auto"/>
        </w:rPr>
        <w:t>Stockholder proposals intended to be included in our proxy materials for the 2018 Annual Meeting of Stockholders (“2018 Annual Meeting”) must be received by the deadline calculated in accordance with SEC Rule 14a-8, which is 120 days before the anniversary of the date of this year’s proxy statement. This year’s deadline is Friday, December 29, 2017. Such proposals must include the information required by SEC rules, and should be sent in writing by courier or certified mail to the Corporate Secretary of the Company at 280 Park Avenue, 38th Floor, New York, New York 10017. Stockholder proposals that are sent to any other person or location or by any other means may not be received in a timely manner and thus ineligible for inclusion.</w:t>
      </w:r>
    </w:p>
    <w:p>
      <w:pPr>
        <w:spacing w:after="0" w:line="192"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Stockholders who intend to submit proposals at the 2018 Annual Meeting but whose proposals are not included in the proxy materials for the meeting, and stockholders who intend to submit nominations for directors at the 2018 Annual Meeting, are required to notify the Corporate Secretary of the Company (at the address above) of their proposal or nominations not less than 90 days, nor more than 120 days, before the anniversary of this year’s Annual Meeting of Stockholders, in accordance with our by-laws. This year such notice must be delivered between February 22, 2018 and March 24, 2018. Special notice provisions apply under the by-laws if the date of the 2018 Annual Meeting is more than 30 days before or 70 days after the anniversary date of this year’s Annual Meeting of Stockholders.</w:t>
      </w:r>
    </w:p>
    <w:p>
      <w:pPr>
        <w:spacing w:after="0" w:line="19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Any notice of proposed business or nomination, whether or not included in our proxy statement, must include the information required under our by-laws, including Section 2.11.4, in order for the matter to be eligible for consideration at the 2018 Annual Meeting. The presiding officer of the 2018 Annual Meeting may refuse to acknowledge any matter or nomination not made in compliance with the procedures in our by-laws. Our by-laws can be found on our website and the current SEC rules for submitting stockholder proposals can be obtained from the SEC at: Division of Corporation Finance, 100 F. Street, N.E., Washington, DC 20549, or through the SEC’s Internet website at www.sec.gov.</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73" w:name="page74"/>
    <w:bookmarkEnd w:id="73"/>
    <w:p>
      <w:pPr>
        <w:ind w:left="4780"/>
        <w:spacing w:after="0"/>
        <w:rPr>
          <w:sz w:val="20"/>
          <w:szCs w:val="20"/>
          <w:color w:val="auto"/>
        </w:rPr>
      </w:pPr>
      <w:r>
        <w:rPr>
          <w:rFonts w:ascii="Arial" w:cs="Arial" w:eastAsia="Arial" w:hAnsi="Arial"/>
          <w:sz w:val="22"/>
          <w:szCs w:val="22"/>
          <w:b w:val="1"/>
          <w:bCs w:val="1"/>
          <w:color w:val="508BC7"/>
        </w:rPr>
        <w:t>MISCELLANEOUS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Delivery of Documents to Stockholders Sharing an Address</w:t>
      </w:r>
    </w:p>
    <w:p>
      <w:pPr>
        <w:spacing w:after="0" w:line="220"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If you are the beneficial owner, but not the record holder, of shares of our common stock, your broker, bank, trust or other nominee may only deliver one copy of this proxy statement and the 2016 Form 10-K, which serves as our Annual Report to Stockholders under Regulation 14A (the “2016 Annual Report”), to multiple stockholders who share an address unless that nominee has received contrary instructions from one or more of the stockholders. We will deliver promptly, upon written or oral request, a separate copy of this proxy statement and the 2016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our website at www.exlservice.com.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508BC7"/>
        </w:rPr>
        <w:t>Electronic Access to Proxy Statement and Annual Report</w:t>
      </w:r>
    </w:p>
    <w:p>
      <w:pPr>
        <w:spacing w:after="0" w:line="220"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 xml:space="preserve">This proxy statement and our 2016 Annual Report may be viewed on our website at </w:t>
      </w:r>
      <w:r>
        <w:rPr>
          <w:rFonts w:ascii="Arial" w:cs="Arial" w:eastAsia="Arial" w:hAnsi="Arial"/>
          <w:sz w:val="18"/>
          <w:szCs w:val="18"/>
          <w:u w:val="single" w:color="auto"/>
          <w:color w:val="auto"/>
        </w:rPr>
        <w:t>www.exlservice.com</w:t>
      </w:r>
      <w:r>
        <w:rPr>
          <w:rFonts w:ascii="Arial" w:cs="Arial" w:eastAsia="Arial" w:hAnsi="Arial"/>
          <w:sz w:val="18"/>
          <w:szCs w:val="18"/>
          <w:color w:val="auto"/>
        </w:rPr>
        <w:t xml:space="preserve"> and at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by following the instructions provided in the Internet Notice.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22"/>
          <w:szCs w:val="22"/>
          <w:b w:val="1"/>
          <w:bCs w:val="1"/>
          <w:color w:val="508BC7"/>
        </w:rPr>
        <w:t>OTHER MATTERS</w:t>
      </w:r>
    </w:p>
    <w:p>
      <w:pPr>
        <w:spacing w:after="0" w:line="224"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Whether or not you intend to be present at the Annual Meeting, we urge you to submit your signed proxy promptly.</w:t>
      </w:r>
    </w:p>
    <w:p>
      <w:pPr>
        <w:spacing w:after="0" w:line="194"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By Order of the Board of</w:t>
      </w:r>
    </w:p>
    <w:p>
      <w:pPr>
        <w:ind w:left="8000"/>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-1905</wp:posOffset>
            </wp:positionV>
            <wp:extent cx="1715135" cy="5314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513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Nancy Saltzman</w:t>
      </w:r>
    </w:p>
    <w:p>
      <w:pPr>
        <w:ind w:left="8000"/>
        <w:spacing w:after="0" w:line="234" w:lineRule="auto"/>
        <w:rPr>
          <w:sz w:val="20"/>
          <w:szCs w:val="20"/>
          <w:color w:val="auto"/>
        </w:rPr>
      </w:pPr>
      <w:r>
        <w:rPr>
          <w:rFonts w:ascii="Arial" w:cs="Arial" w:eastAsia="Arial" w:hAnsi="Arial"/>
          <w:sz w:val="18"/>
          <w:szCs w:val="18"/>
          <w:color w:val="auto"/>
        </w:rPr>
        <w:t>Executive Vice President,</w:t>
      </w:r>
    </w:p>
    <w:p>
      <w:pPr>
        <w:ind w:left="8000"/>
        <w:spacing w:after="0" w:line="235" w:lineRule="auto"/>
        <w:rPr>
          <w:sz w:val="20"/>
          <w:szCs w:val="20"/>
          <w:color w:val="auto"/>
        </w:rPr>
      </w:pPr>
      <w:r>
        <w:rPr>
          <w:rFonts w:ascii="Arial" w:cs="Arial" w:eastAsia="Arial" w:hAnsi="Arial"/>
          <w:sz w:val="18"/>
          <w:szCs w:val="18"/>
          <w:color w:val="auto"/>
        </w:rPr>
        <w:t>General Counsel and</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Corporate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April 28, 2017</w:t>
      </w:r>
    </w:p>
    <w:p>
      <w:pPr>
        <w:spacing w:after="0" w:line="176"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We will furnish without charge to each person whose proxy is being solicited, upon the written request of any such person, a copy of the 2016 Form 10-K, as filed with the SEC, as well as copies of exhibits to the Annual Report on Form 10-K, but for copies of exhibits will charge a reasonable fee per page to any requesting stockholder. Stockholders may make such request in writing to ExlService Holdings, Inc., 280 Park Avenue, 38th Floor, New York, New York 10017, Attention: Investor Relations. The request must include a representation by the stockholder that as of April 26, 2017, the stockholder was entitled to vote at the Annual Meeting.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75" w:name="page76"/>
    <w:bookmarkEnd w:id="75"/>
    <w:p>
      <w:pPr>
        <w:spacing w:after="0" w:line="200" w:lineRule="exact"/>
        <w:rPr>
          <w:sz w:val="20"/>
          <w:szCs w:val="20"/>
          <w:color w:val="auto"/>
        </w:rPr>
      </w:pPr>
    </w:p>
    <w:p>
      <w:pPr>
        <w:spacing w:after="0" w:line="398" w:lineRule="exact"/>
        <w:rPr>
          <w:sz w:val="20"/>
          <w:szCs w:val="20"/>
          <w:color w:val="auto"/>
        </w:rPr>
      </w:pPr>
    </w:p>
    <w:p>
      <w:pPr>
        <w:ind w:left="460" w:right="1460"/>
        <w:spacing w:after="0" w:line="253" w:lineRule="auto"/>
        <w:rPr>
          <w:sz w:val="20"/>
          <w:szCs w:val="20"/>
          <w:color w:val="auto"/>
        </w:rPr>
      </w:pPr>
      <w:r>
        <w:rPr>
          <w:rFonts w:ascii="Arial" w:cs="Arial" w:eastAsia="Arial" w:hAnsi="Arial"/>
          <w:sz w:val="18"/>
          <w:szCs w:val="18"/>
          <w:b w:val="1"/>
          <w:bCs w:val="1"/>
          <w:i w:val="1"/>
          <w:iCs w:val="1"/>
          <w:color w:val="auto"/>
        </w:rPr>
        <w:t>EXLSERVICE HOLDINGS, INC. 280 PARK AVENUE, 38TH FLOOR NEW YORK, NY 10017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19" w:lineRule="exact"/>
        <w:rPr>
          <w:sz w:val="20"/>
          <w:szCs w:val="20"/>
          <w:color w:val="auto"/>
        </w:rPr>
      </w:pPr>
    </w:p>
    <w:p>
      <w:pPr>
        <w:jc w:val="both"/>
        <w:ind w:right="460"/>
        <w:spacing w:after="0" w:line="247"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June 21, 2017. Have your proxy card in hand when you access the web site and follow the instructions to obtain your records and to create an electronic voting instruction form.</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9" w:lineRule="exact"/>
        <w:rPr>
          <w:sz w:val="20"/>
          <w:szCs w:val="20"/>
          <w:color w:val="auto"/>
        </w:rPr>
      </w:pPr>
    </w:p>
    <w:p>
      <w:pPr>
        <w:jc w:val="both"/>
        <w:ind w:right="460"/>
        <w:spacing w:after="0" w:line="250" w:lineRule="auto"/>
        <w:rPr>
          <w:sz w:val="20"/>
          <w:szCs w:val="20"/>
          <w:color w:val="auto"/>
        </w:rPr>
      </w:pPr>
      <w:r>
        <w:rPr>
          <w:rFonts w:ascii="Arial" w:cs="Arial" w:eastAsia="Arial" w:hAnsi="Arial"/>
          <w:sz w:val="14"/>
          <w:szCs w:val="14"/>
          <w:color w:val="auto"/>
        </w:rPr>
        <w:t>Use any touch-tone telephone to transmit your voting instructions up until 11:59 P.M. Eastern Time on June 21, 2017. Have your proxy card in hand when you call and then follow the instructions.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9" w:lineRule="exact"/>
        <w:rPr>
          <w:sz w:val="20"/>
          <w:szCs w:val="20"/>
          <w:color w:val="auto"/>
        </w:rPr>
      </w:pPr>
    </w:p>
    <w:p>
      <w:pPr>
        <w:jc w:val="both"/>
        <w:ind w:right="460"/>
        <w:spacing w:after="0" w:line="250"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780" w:space="720"/>
            <w:col w:w="5920"/>
          </w:cols>
          <w:pgMar w:left="240" w:top="8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1" w:lineRule="exact"/>
        <w:rPr>
          <w:sz w:val="20"/>
          <w:szCs w:val="20"/>
          <w:color w:val="auto"/>
        </w:rPr>
      </w:pPr>
    </w:p>
    <w:p>
      <w:pPr>
        <w:jc w:val="right"/>
        <w:spacing w:after="0"/>
        <w:tabs>
          <w:tab w:leader="none" w:pos="2980" w:val="left"/>
        </w:tabs>
        <w:rPr>
          <w:sz w:val="20"/>
          <w:szCs w:val="20"/>
          <w:color w:val="auto"/>
        </w:rPr>
      </w:pPr>
      <w:r>
        <w:rPr>
          <w:rFonts w:ascii="Arial" w:cs="Arial" w:eastAsia="Arial" w:hAnsi="Arial"/>
          <w:sz w:val="14"/>
          <w:szCs w:val="14"/>
          <w:color w:val="auto"/>
        </w:rPr>
        <w:t>E24541-P91002</w:t>
      </w:r>
      <w:r>
        <w:rPr>
          <w:sz w:val="20"/>
          <w:szCs w:val="20"/>
          <w:color w:val="auto"/>
        </w:rPr>
        <w:tab/>
      </w:r>
      <w:r>
        <w:rPr>
          <w:rFonts w:ascii="Arial" w:cs="Arial" w:eastAsia="Arial" w:hAnsi="Arial"/>
          <w:sz w:val="14"/>
          <w:szCs w:val="14"/>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7202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126365</wp:posOffset>
            </wp:positionV>
            <wp:extent cx="7263765" cy="43224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3765" cy="4322445"/>
                    </a:xfrm>
                    <a:prstGeom prst="rect">
                      <a:avLst/>
                    </a:prstGeom>
                    <a:noFill/>
                  </pic:spPr>
                </pic:pic>
              </a:graphicData>
            </a:graphic>
          </wp:anchor>
        </w:drawing>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EXLSERVICE HOLDINGS, INC.</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The Board of Directors recommends you vote FOR</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the following:</w:t>
      </w:r>
    </w:p>
    <w:p>
      <w:pPr>
        <w:spacing w:after="0" w:line="1" w:lineRule="exact"/>
        <w:rPr>
          <w:sz w:val="20"/>
          <w:szCs w:val="20"/>
          <w:color w:val="auto"/>
        </w:rPr>
      </w:pPr>
    </w:p>
    <w:p>
      <w:pPr>
        <w:ind w:left="260"/>
        <w:spacing w:after="0"/>
        <w:tabs>
          <w:tab w:leader="none" w:pos="580" w:val="left"/>
          <w:tab w:leader="none" w:pos="4060" w:val="left"/>
          <w:tab w:leader="none" w:pos="4480" w:val="left"/>
          <w:tab w:leader="none" w:pos="5160" w:val="left"/>
        </w:tabs>
        <w:rPr>
          <w:sz w:val="20"/>
          <w:szCs w:val="20"/>
          <w:color w:val="auto"/>
        </w:rPr>
      </w:pPr>
      <w:r>
        <w:rPr>
          <w:rFonts w:ascii="Arial" w:cs="Arial" w:eastAsia="Arial" w:hAnsi="Arial"/>
          <w:sz w:val="14"/>
          <w:szCs w:val="14"/>
          <w:color w:val="auto"/>
        </w:rPr>
        <w:t>1.</w:t>
        <w:tab/>
        <w:t>Election of Directors</w:t>
      </w:r>
      <w:r>
        <w:rPr>
          <w:sz w:val="20"/>
          <w:szCs w:val="20"/>
          <w:color w:val="auto"/>
        </w:rPr>
        <w:tab/>
      </w:r>
      <w:r>
        <w:rPr>
          <w:rFonts w:ascii="Arial" w:cs="Arial" w:eastAsia="Arial" w:hAnsi="Arial"/>
          <w:sz w:val="14"/>
          <w:szCs w:val="14"/>
          <w:b w:val="1"/>
          <w:bCs w:val="1"/>
          <w:color w:val="auto"/>
        </w:rPr>
        <w:t>For</w:t>
        <w:tab/>
        <w:t>Against</w:t>
        <w:tab/>
        <w:t>Abstain</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Nominees:</w:t>
      </w:r>
    </w:p>
    <w:p>
      <w:pPr>
        <w:spacing w:after="0" w:line="85" w:lineRule="exact"/>
        <w:rPr>
          <w:sz w:val="20"/>
          <w:szCs w:val="20"/>
          <w:color w:val="auto"/>
        </w:rPr>
      </w:pPr>
    </w:p>
    <w:tbl>
      <w:tblPr>
        <w:tblLayout w:type="fixed"/>
        <w:tblInd w:w="260" w:type="dxa"/>
        <w:tblCellMar>
          <w:top w:w="0" w:type="dxa"/>
          <w:left w:w="0" w:type="dxa"/>
          <w:bottom w:w="0" w:type="dxa"/>
          <w:right w:w="0" w:type="dxa"/>
        </w:tblCellMar>
      </w:tblPr>
      <w:tr>
        <w:trPr>
          <w:trHeight w:val="226"/>
        </w:trPr>
        <w:tc>
          <w:tcPr>
            <w:tcW w:w="220" w:type="dxa"/>
            <w:vAlign w:val="bottom"/>
          </w:tcPr>
          <w:p>
            <w:pPr>
              <w:spacing w:after="0"/>
              <w:rPr>
                <w:sz w:val="19"/>
                <w:szCs w:val="19"/>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1a.</w:t>
            </w:r>
          </w:p>
        </w:tc>
        <w:tc>
          <w:tcPr>
            <w:tcW w:w="2060" w:type="dxa"/>
            <w:vAlign w:val="bottom"/>
          </w:tcPr>
          <w:p>
            <w:pPr>
              <w:ind w:left="20"/>
              <w:spacing w:after="0"/>
              <w:rPr>
                <w:sz w:val="20"/>
                <w:szCs w:val="20"/>
                <w:color w:val="auto"/>
              </w:rPr>
            </w:pPr>
            <w:r>
              <w:rPr>
                <w:rFonts w:ascii="Arial" w:cs="Arial" w:eastAsia="Arial" w:hAnsi="Arial"/>
                <w:sz w:val="14"/>
                <w:szCs w:val="14"/>
                <w:color w:val="auto"/>
              </w:rPr>
              <w:t>David Kelso</w:t>
            </w:r>
          </w:p>
        </w:tc>
        <w:tc>
          <w:tcPr>
            <w:tcW w:w="160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338"/>
        </w:trPr>
        <w:tc>
          <w:tcPr>
            <w:tcW w:w="22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1b.</w:t>
            </w:r>
          </w:p>
        </w:tc>
        <w:tc>
          <w:tcPr>
            <w:tcW w:w="2060" w:type="dxa"/>
            <w:vAlign w:val="bottom"/>
          </w:tcPr>
          <w:p>
            <w:pPr>
              <w:ind w:left="20"/>
              <w:spacing w:after="0"/>
              <w:rPr>
                <w:sz w:val="20"/>
                <w:szCs w:val="20"/>
                <w:color w:val="auto"/>
              </w:rPr>
            </w:pPr>
            <w:r>
              <w:rPr>
                <w:rFonts w:ascii="Arial" w:cs="Arial" w:eastAsia="Arial" w:hAnsi="Arial"/>
                <w:sz w:val="14"/>
                <w:szCs w:val="14"/>
                <w:color w:val="auto"/>
              </w:rPr>
              <w:t>Som Mittal</w:t>
            </w:r>
          </w:p>
        </w:tc>
        <w:tc>
          <w:tcPr>
            <w:tcW w:w="160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8"/>
        </w:trPr>
        <w:tc>
          <w:tcPr>
            <w:tcW w:w="220" w:type="dxa"/>
            <w:vAlign w:val="bottom"/>
          </w:tcPr>
          <w:p>
            <w:pPr>
              <w:spacing w:after="0"/>
              <w:rPr>
                <w:sz w:val="24"/>
                <w:szCs w:val="24"/>
                <w:color w:val="auto"/>
              </w:rPr>
            </w:pPr>
          </w:p>
        </w:tc>
        <w:tc>
          <w:tcPr>
            <w:tcW w:w="2400" w:type="dxa"/>
            <w:vAlign w:val="bottom"/>
            <w:gridSpan w:val="2"/>
          </w:tcPr>
          <w:p>
            <w:pPr>
              <w:ind w:left="120"/>
              <w:spacing w:after="0"/>
              <w:rPr>
                <w:sz w:val="20"/>
                <w:szCs w:val="20"/>
                <w:color w:val="auto"/>
              </w:rPr>
            </w:pPr>
            <w:r>
              <w:rPr>
                <w:rFonts w:ascii="Arial" w:cs="Arial" w:eastAsia="Arial" w:hAnsi="Arial"/>
                <w:sz w:val="14"/>
                <w:szCs w:val="14"/>
                <w:color w:val="auto"/>
              </w:rPr>
              <w:t>1c. Clyde Ostler</w:t>
            </w:r>
          </w:p>
        </w:tc>
        <w:tc>
          <w:tcPr>
            <w:tcW w:w="160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62"/>
        </w:trPr>
        <w:tc>
          <w:tcPr>
            <w:tcW w:w="5020" w:type="dxa"/>
            <w:vAlign w:val="bottom"/>
            <w:gridSpan w:val="5"/>
          </w:tcPr>
          <w:p>
            <w:pPr>
              <w:spacing w:after="0"/>
              <w:rPr>
                <w:sz w:val="20"/>
                <w:szCs w:val="20"/>
                <w:color w:val="auto"/>
              </w:rPr>
            </w:pPr>
            <w:r>
              <w:rPr>
                <w:rFonts w:ascii="Arial" w:cs="Arial" w:eastAsia="Arial" w:hAnsi="Arial"/>
                <w:sz w:val="14"/>
                <w:szCs w:val="14"/>
                <w:b w:val="1"/>
                <w:bCs w:val="1"/>
                <w:color w:val="auto"/>
              </w:rPr>
              <w:t>The Board of Directors recommends you vote FOR proposals 2 and 3.</w:t>
            </w:r>
          </w:p>
        </w:tc>
        <w:tc>
          <w:tcPr>
            <w:tcW w:w="3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r>
      <w:tr>
        <w:trPr>
          <w:trHeight w:val="314"/>
        </w:trPr>
        <w:tc>
          <w:tcPr>
            <w:tcW w:w="220" w:type="dxa"/>
            <w:vAlign w:val="bottom"/>
          </w:tcPr>
          <w:p>
            <w:pPr>
              <w:spacing w:after="0"/>
              <w:rPr>
                <w:sz w:val="20"/>
                <w:szCs w:val="20"/>
                <w:color w:val="auto"/>
              </w:rPr>
            </w:pPr>
            <w:r>
              <w:rPr>
                <w:rFonts w:ascii="Arial" w:cs="Arial" w:eastAsia="Arial" w:hAnsi="Arial"/>
                <w:sz w:val="14"/>
                <w:szCs w:val="14"/>
                <w:color w:val="auto"/>
              </w:rPr>
              <w:t>2.</w:t>
            </w:r>
          </w:p>
        </w:tc>
        <w:tc>
          <w:tcPr>
            <w:tcW w:w="8500" w:type="dxa"/>
            <w:vAlign w:val="bottom"/>
            <w:gridSpan w:val="5"/>
          </w:tcPr>
          <w:p>
            <w:pPr>
              <w:ind w:left="120"/>
              <w:spacing w:after="0"/>
              <w:rPr>
                <w:sz w:val="20"/>
                <w:szCs w:val="20"/>
                <w:color w:val="auto"/>
              </w:rPr>
            </w:pPr>
            <w:r>
              <w:rPr>
                <w:rFonts w:ascii="Arial" w:cs="Arial" w:eastAsia="Arial" w:hAnsi="Arial"/>
                <w:sz w:val="14"/>
                <w:szCs w:val="14"/>
                <w:color w:val="auto"/>
              </w:rPr>
              <w:t>The ratification of the selection of Ernst &amp; Young LLP as the independent registered public accounting firm of the Company for</w:t>
            </w:r>
          </w:p>
        </w:tc>
        <w:tc>
          <w:tcPr>
            <w:tcW w:w="520" w:type="dxa"/>
            <w:vAlign w:val="bottom"/>
          </w:tcPr>
          <w:p>
            <w:pPr>
              <w:spacing w:after="0"/>
              <w:rPr>
                <w:sz w:val="24"/>
                <w:szCs w:val="24"/>
                <w:color w:val="auto"/>
              </w:rPr>
            </w:pP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72"/>
        </w:trPr>
        <w:tc>
          <w:tcPr>
            <w:tcW w:w="22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Arial" w:cs="Arial" w:eastAsia="Arial" w:hAnsi="Arial"/>
                <w:sz w:val="14"/>
                <w:szCs w:val="14"/>
                <w:color w:val="auto"/>
              </w:rPr>
              <w:t>fiscal year 2017</w:t>
            </w:r>
          </w:p>
        </w:tc>
        <w:tc>
          <w:tcPr>
            <w:tcW w:w="1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40"/>
        </w:trPr>
        <w:tc>
          <w:tcPr>
            <w:tcW w:w="220" w:type="dxa"/>
            <w:vAlign w:val="bottom"/>
          </w:tcPr>
          <w:p>
            <w:pPr>
              <w:spacing w:after="0"/>
              <w:rPr>
                <w:sz w:val="20"/>
                <w:szCs w:val="20"/>
                <w:color w:val="auto"/>
              </w:rPr>
            </w:pPr>
            <w:r>
              <w:rPr>
                <w:rFonts w:ascii="Arial" w:cs="Arial" w:eastAsia="Arial" w:hAnsi="Arial"/>
                <w:sz w:val="14"/>
                <w:szCs w:val="14"/>
                <w:color w:val="auto"/>
              </w:rPr>
              <w:t>3.</w:t>
            </w:r>
          </w:p>
        </w:tc>
        <w:tc>
          <w:tcPr>
            <w:tcW w:w="8500" w:type="dxa"/>
            <w:vAlign w:val="bottom"/>
            <w:gridSpan w:val="5"/>
          </w:tcPr>
          <w:p>
            <w:pPr>
              <w:ind w:left="120"/>
              <w:spacing w:after="0"/>
              <w:rPr>
                <w:sz w:val="20"/>
                <w:szCs w:val="20"/>
                <w:color w:val="auto"/>
              </w:rPr>
            </w:pPr>
            <w:r>
              <w:rPr>
                <w:rFonts w:ascii="Arial" w:cs="Arial" w:eastAsia="Arial" w:hAnsi="Arial"/>
                <w:sz w:val="14"/>
                <w:szCs w:val="14"/>
                <w:color w:val="auto"/>
              </w:rPr>
              <w:t>The approval, on a non-binding basis, of the compensation of the named executive officers of the Company</w:t>
            </w:r>
          </w:p>
        </w:tc>
        <w:tc>
          <w:tcPr>
            <w:tcW w:w="520" w:type="dxa"/>
            <w:vAlign w:val="bottom"/>
          </w:tcPr>
          <w:p>
            <w:pPr>
              <w:spacing w:after="0"/>
              <w:rPr>
                <w:sz w:val="24"/>
                <w:szCs w:val="24"/>
                <w:color w:val="auto"/>
              </w:rPr>
            </w:pP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322"/>
        </w:trPr>
        <w:tc>
          <w:tcPr>
            <w:tcW w:w="5020" w:type="dxa"/>
            <w:vAlign w:val="bottom"/>
            <w:gridSpan w:val="5"/>
          </w:tcPr>
          <w:p>
            <w:pPr>
              <w:spacing w:after="0"/>
              <w:rPr>
                <w:sz w:val="20"/>
                <w:szCs w:val="20"/>
                <w:color w:val="auto"/>
              </w:rPr>
            </w:pPr>
            <w:r>
              <w:rPr>
                <w:rFonts w:ascii="Arial" w:cs="Arial" w:eastAsia="Arial" w:hAnsi="Arial"/>
                <w:sz w:val="14"/>
                <w:szCs w:val="14"/>
                <w:b w:val="1"/>
                <w:bCs w:val="1"/>
                <w:color w:val="auto"/>
              </w:rPr>
              <w:t>The Board of Directors recommends you vote for 1 YEAR on proposal 4.</w:t>
            </w:r>
          </w:p>
        </w:tc>
        <w:tc>
          <w:tcPr>
            <w:tcW w:w="37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9"/>
              </w:rPr>
              <w:t>1 Year</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2 Years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3 Years</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r>
      <w:tr>
        <w:trPr>
          <w:trHeight w:val="340"/>
        </w:trPr>
        <w:tc>
          <w:tcPr>
            <w:tcW w:w="220" w:type="dxa"/>
            <w:vAlign w:val="bottom"/>
          </w:tcPr>
          <w:p>
            <w:pPr>
              <w:spacing w:after="0"/>
              <w:rPr>
                <w:sz w:val="20"/>
                <w:szCs w:val="20"/>
                <w:color w:val="auto"/>
              </w:rPr>
            </w:pPr>
            <w:r>
              <w:rPr>
                <w:rFonts w:ascii="Arial" w:cs="Arial" w:eastAsia="Arial" w:hAnsi="Arial"/>
                <w:sz w:val="14"/>
                <w:szCs w:val="14"/>
                <w:color w:val="auto"/>
              </w:rPr>
              <w:t>4.</w:t>
            </w:r>
          </w:p>
        </w:tc>
        <w:tc>
          <w:tcPr>
            <w:tcW w:w="8500" w:type="dxa"/>
            <w:vAlign w:val="bottom"/>
            <w:gridSpan w:val="5"/>
          </w:tcPr>
          <w:p>
            <w:pPr>
              <w:ind w:left="120"/>
              <w:spacing w:after="0"/>
              <w:rPr>
                <w:sz w:val="20"/>
                <w:szCs w:val="20"/>
                <w:color w:val="auto"/>
              </w:rPr>
            </w:pPr>
            <w:r>
              <w:rPr>
                <w:rFonts w:ascii="Arial" w:cs="Arial" w:eastAsia="Arial" w:hAnsi="Arial"/>
                <w:sz w:val="14"/>
                <w:szCs w:val="14"/>
                <w:color w:val="auto"/>
              </w:rPr>
              <w:t>The determination, on a non-binding basis, of the frequency of future advisory votes on executive compensation</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131" w:lineRule="exact"/>
        <w:rPr>
          <w:sz w:val="20"/>
          <w:szCs w:val="20"/>
          <w:color w:val="auto"/>
        </w:rPr>
      </w:pPr>
    </w:p>
    <w:p>
      <w:pPr>
        <w:ind w:left="260" w:right="3280"/>
        <w:spacing w:after="0" w:line="285"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The proxies are authorized to act upon such other business as may properly come before the Annual Meeting or any</w:t>
      </w:r>
      <w:r>
        <w:rPr>
          <w:rFonts w:ascii="Arial" w:cs="Arial" w:eastAsia="Arial" w:hAnsi="Arial"/>
          <w:sz w:val="14"/>
          <w:szCs w:val="14"/>
          <w:b w:val="1"/>
          <w:bCs w:val="1"/>
          <w:color w:val="auto"/>
        </w:rPr>
        <w:t xml:space="preserve"> </w:t>
      </w:r>
      <w:r>
        <w:rPr>
          <w:rFonts w:ascii="Arial" w:cs="Arial" w:eastAsia="Arial" w:hAnsi="Arial"/>
          <w:sz w:val="14"/>
          <w:szCs w:val="14"/>
          <w:color w:val="auto"/>
        </w:rPr>
        <w:t>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Please sign exactly as your name(s) appear(s) hereon. When signing as attorney,</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executor, administrator, or other fiduciary, please give full title as such. Joint owners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should each sign personally. All holders must sign. If a corporation or partnership,</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please sign in full corporate or partnership name by authorized officer.</w:t>
      </w:r>
    </w:p>
    <w:p>
      <w:pPr>
        <w:spacing w:after="0" w:line="200" w:lineRule="exact"/>
        <w:rPr>
          <w:sz w:val="20"/>
          <w:szCs w:val="20"/>
          <w:color w:val="auto"/>
        </w:rPr>
      </w:pPr>
    </w:p>
    <w:p>
      <w:pPr>
        <w:spacing w:after="0" w:line="328" w:lineRule="exact"/>
        <w:rPr>
          <w:sz w:val="20"/>
          <w:szCs w:val="20"/>
          <w:color w:val="auto"/>
        </w:rPr>
      </w:pPr>
    </w:p>
    <w:p>
      <w:pPr>
        <w:ind w:left="260"/>
        <w:spacing w:after="0"/>
        <w:tabs>
          <w:tab w:leader="none" w:pos="3240" w:val="left"/>
          <w:tab w:leader="none" w:pos="5880" w:val="left"/>
          <w:tab w:leader="none" w:pos="88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type w:val="continuous"/>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E24542-P91002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-1905</wp:posOffset>
            </wp:positionV>
            <wp:extent cx="7246620" cy="40303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4030345"/>
                    </a:xfrm>
                    <a:prstGeom prst="rect">
                      <a:avLst/>
                    </a:prstGeom>
                    <a:noFill/>
                  </pic:spPr>
                </pic:pic>
              </a:graphicData>
            </a:graphic>
          </wp:anchor>
        </w:drawing>
      </w:r>
    </w:p>
    <w:p>
      <w:pPr>
        <w:spacing w:after="0" w:line="386"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EXLSERVICE HOLDINGS, INC.</w:t>
      </w:r>
    </w:p>
    <w:p>
      <w:pPr>
        <w:spacing w:after="0" w:line="1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Annual Meeting of Shareholders</w:t>
      </w:r>
    </w:p>
    <w:p>
      <w:pPr>
        <w:ind w:left="4260"/>
        <w:spacing w:after="0" w:line="234" w:lineRule="auto"/>
        <w:rPr>
          <w:sz w:val="20"/>
          <w:szCs w:val="20"/>
          <w:color w:val="auto"/>
        </w:rPr>
      </w:pPr>
      <w:r>
        <w:rPr>
          <w:rFonts w:ascii="Arial" w:cs="Arial" w:eastAsia="Arial" w:hAnsi="Arial"/>
          <w:sz w:val="18"/>
          <w:szCs w:val="18"/>
          <w:b w:val="1"/>
          <w:bCs w:val="1"/>
          <w:color w:val="auto"/>
        </w:rPr>
        <w:t>June 22, 2017 9:00 A.M. EDT</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198"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The shareholder(s) hereby appoint(s) Vishal Chhibbar and Nancy Saltzman, or either of them, as proxies, each with the power to appoint his or her substitute, and hereby authorize(s) them to represent and to vote, as designated on the reverse side of this ballot, all of the shares of common stock of EXLSERVICE HOLDINGS, INC. that the shareholder(s) is/are entitled to vote at the Annual Meeting of Shareholders to be held at 9:00 A.M., Eastern Daylight Time on June 22, 2017, at 280 Park Avenue, 38th Floor, New York, NY 10017, and any adjournment or postponement thereof.</w:t>
      </w:r>
    </w:p>
    <w:p>
      <w:pPr>
        <w:spacing w:after="0" w:line="189"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The undersigned hereby also authorize(s) the proxy, in his or her discretion, to vote on any other business that may properly be brought before the meeting or any adjournment or postponement thereof to the extent authorized by Rule 14a-4(c) promulgated by the Securities and Exchange Commission.</w:t>
      </w:r>
    </w:p>
    <w:p>
      <w:pPr>
        <w:spacing w:after="0" w:line="167" w:lineRule="exact"/>
        <w:rPr>
          <w:sz w:val="20"/>
          <w:szCs w:val="20"/>
          <w:color w:val="auto"/>
        </w:rPr>
      </w:pPr>
    </w:p>
    <w:p>
      <w:pPr>
        <w:jc w:val="both"/>
        <w:ind w:right="240"/>
        <w:spacing w:after="0" w:line="247"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 and accordingly, will be voted FOR each of the Board of Directors’ nominees for director specified in Proposal 1, FOR Proposals 2 and 3, and for every 1 YEAR on Proposal 4, unless a contrary choice is specified, in which case the proxy will be voted as specified.</w:t>
      </w:r>
    </w:p>
    <w:p>
      <w:pPr>
        <w:spacing w:after="0" w:line="183" w:lineRule="exact"/>
        <w:rPr>
          <w:sz w:val="20"/>
          <w:szCs w:val="20"/>
          <w:color w:val="auto"/>
        </w:rPr>
      </w:pPr>
    </w:p>
    <w:p>
      <w:pPr>
        <w:jc w:val="both"/>
        <w:ind w:right="240"/>
        <w:spacing w:after="0" w:line="246" w:lineRule="auto"/>
        <w:rPr>
          <w:sz w:val="20"/>
          <w:szCs w:val="20"/>
          <w:color w:val="auto"/>
        </w:rPr>
      </w:pPr>
      <w:r>
        <w:rPr>
          <w:rFonts w:ascii="Arial" w:cs="Arial" w:eastAsia="Arial" w:hAnsi="Arial"/>
          <w:sz w:val="18"/>
          <w:szCs w:val="18"/>
          <w:color w:val="auto"/>
        </w:rPr>
        <w:t>The undersigned hereby acknowledges receipt of the Notice of Annual Meeting of Shareholders, dated on or about April 28, 2017, and the Proxy Statement furnished therewith.</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237490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60"/>
      </w:cols>
      <w:pgMar w:left="50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lvl w:ilvl="1">
      <w:lvlJc w:val="left"/>
      <w:lvlText w:val="(%2)"/>
      <w:numFmt w:val="decimal"/>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
      <w:numFmt w:val="bullet"/>
      <w:start w:val="1"/>
    </w:lvl>
    <w:lvl w:ilvl="1">
      <w:lvlJc w:val="left"/>
      <w:lvlText w:val="○"/>
      <w:numFmt w:val="bullet"/>
      <w:start w:val="1"/>
    </w:lvl>
  </w:abstractNum>
  <w:abstractNum w:abstractNumId="10">
    <w:nsid w:val="77465F01"/>
    <w:multiLevelType w:val="hybridMultilevel"/>
    <w:lvl w:ilvl="0">
      <w:lvlJc w:val="left"/>
      <w:lvlText w:val="●"/>
      <w:numFmt w:val="bullet"/>
      <w:start w:val="1"/>
    </w:lvl>
    <w:lvl w:ilvl="1">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amp;"/>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4"/>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1)"/>
      <w:numFmt w:val="decimal"/>
      <w:start w:val="1"/>
    </w:lvl>
    <w:lvl w:ilvl="1">
      <w:lvlJc w:val="left"/>
      <w:lvlText w:val="(%2)"/>
      <w:numFmt w:val="lowerLetter"/>
      <w:start w:val="1"/>
    </w:lvl>
  </w:abstractNum>
  <w:abstractNum w:abstractNumId="48">
    <w:nsid w:val="275AC794"/>
    <w:multiLevelType w:val="hybridMultilevel"/>
    <w:lvl w:ilvl="0">
      <w:lvlJc w:val="left"/>
      <w:lvlText w:val="(%1)"/>
      <w:numFmt w:val="decimal"/>
      <w:start w:val="3"/>
    </w:lvl>
    <w:lvl w:ilvl="1">
      <w:lvlJc w:val="left"/>
      <w:lvlText w:val="(%2)"/>
      <w:numFmt w:val="lowerLetter"/>
      <w:start w:val="5"/>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4"/>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2019-12-06T22:30:17Z</dcterms:created>
  <dcterms:modified xsi:type="dcterms:W3CDTF">2019-12-06T22:30:17Z</dcterms:modified>
</cp:coreProperties>
</file>