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EXLSERVICE HOLDINGS,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PAR VALUE $0.001 PER SHARE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302081 10 4</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DECEMBER 31, 2006</w:t>
      </w:r>
    </w:p>
    <w:p>
      <w:pPr>
        <w:jc w:val="center"/>
        <w:ind w:right="187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[_] Rule 13d-1(b)</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[_] Rule 13d-1(c)</w:t>
      </w:r>
    </w:p>
    <w:p>
      <w:pPr>
        <w:spacing w:after="0" w:line="201" w:lineRule="exact"/>
        <w:rPr>
          <w:sz w:val="24"/>
          <w:szCs w:val="24"/>
          <w:color w:val="auto"/>
        </w:rPr>
      </w:pPr>
    </w:p>
    <w:p>
      <w:pPr>
        <w:ind w:left="3280" w:hanging="428"/>
        <w:spacing w:after="0"/>
        <w:tabs>
          <w:tab w:leader="none" w:pos="328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13d-1(d)</w:t>
      </w:r>
    </w:p>
    <w:p>
      <w:pPr>
        <w:spacing w:after="0" w:line="206" w:lineRule="exact"/>
        <w:rPr>
          <w:rFonts w:ascii="Courier New" w:cs="Courier New" w:eastAsia="Courier New" w:hAnsi="Courier New"/>
          <w:sz w:val="18"/>
          <w:szCs w:val="18"/>
          <w:color w:val="auto"/>
        </w:rPr>
      </w:pPr>
    </w:p>
    <w:p>
      <w:pPr>
        <w:ind w:left="860" w:right="1879" w:hanging="843"/>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3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302081 10 4</w:t>
      </w:r>
    </w:p>
    <w:p>
      <w:pPr>
        <w:spacing w:after="0" w:line="207"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REPORTING PERSON</w:t>
      </w: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0"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Oak Hill Capital Partners, L.P.</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940" w:val="left"/>
          <w:tab w:leader="none" w:pos="6720" w:val="left"/>
          <w:tab w:leader="none" w:pos="758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[_]</w:t>
      </w:r>
    </w:p>
    <w:p>
      <w:pPr>
        <w:ind w:left="6740"/>
        <w:spacing w:after="0" w:line="238" w:lineRule="auto"/>
        <w:tabs>
          <w:tab w:leader="none" w:pos="758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[X]</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020" w:hanging="641"/>
        <w:spacing w:after="0" w:line="238" w:lineRule="auto"/>
        <w:tabs>
          <w:tab w:leader="none" w:pos="402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2"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2360" w:type="dxa"/>
            <w:vAlign w:val="bottom"/>
          </w:tcPr>
          <w:p>
            <w:pPr>
              <w:ind w:left="520"/>
              <w:spacing w:after="0"/>
              <w:rPr>
                <w:sz w:val="20"/>
                <w:szCs w:val="20"/>
                <w:color w:val="auto"/>
              </w:rPr>
            </w:pPr>
            <w:r>
              <w:rPr>
                <w:rFonts w:ascii="Courier New" w:cs="Courier New" w:eastAsia="Courier New" w:hAnsi="Courier New"/>
                <w:sz w:val="18"/>
                <w:szCs w:val="18"/>
                <w:color w:val="auto"/>
              </w:rPr>
              <w:t>NUMBER OF</w:t>
            </w:r>
          </w:p>
        </w:tc>
        <w:tc>
          <w:tcPr>
            <w:tcW w:w="900" w:type="dxa"/>
            <w:vAlign w:val="bottom"/>
          </w:tcPr>
          <w:p>
            <w:pPr>
              <w:spacing w:after="0"/>
              <w:rPr>
                <w:sz w:val="17"/>
                <w:szCs w:val="17"/>
                <w:color w:val="auto"/>
              </w:rPr>
            </w:pPr>
          </w:p>
        </w:tc>
        <w:tc>
          <w:tcPr>
            <w:tcW w:w="4640" w:type="dxa"/>
            <w:vAlign w:val="bottom"/>
          </w:tcPr>
          <w:p>
            <w:pPr>
              <w:ind w:left="220"/>
              <w:spacing w:after="0"/>
              <w:rPr>
                <w:sz w:val="20"/>
                <w:szCs w:val="20"/>
                <w:color w:val="auto"/>
              </w:rPr>
            </w:pPr>
            <w:r>
              <w:rPr>
                <w:rFonts w:ascii="Courier New" w:cs="Courier New" w:eastAsia="Courier New" w:hAnsi="Courier New"/>
                <w:sz w:val="18"/>
                <w:szCs w:val="18"/>
                <w:color w:val="auto"/>
              </w:rPr>
              <w:t>10,278,942</w:t>
            </w:r>
          </w:p>
        </w:tc>
      </w:tr>
      <w:tr>
        <w:trPr>
          <w:trHeight w:val="203"/>
        </w:trPr>
        <w:tc>
          <w:tcPr>
            <w:tcW w:w="2360" w:type="dxa"/>
            <w:vAlign w:val="bottom"/>
          </w:tcPr>
          <w:p>
            <w:pPr>
              <w:spacing w:after="0"/>
              <w:rPr>
                <w:sz w:val="17"/>
                <w:szCs w:val="17"/>
                <w:color w:val="auto"/>
              </w:rPr>
            </w:pPr>
          </w:p>
        </w:tc>
        <w:tc>
          <w:tcPr>
            <w:tcW w:w="55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36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8"/>
              </w:rPr>
              <w:t>SHARES</w:t>
            </w:r>
          </w:p>
        </w:tc>
        <w:tc>
          <w:tcPr>
            <w:tcW w:w="9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6.</w:t>
            </w:r>
          </w:p>
        </w:tc>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405"/>
        </w:trPr>
        <w:tc>
          <w:tcPr>
            <w:tcW w:w="2360" w:type="dxa"/>
            <w:vAlign w:val="bottom"/>
          </w:tcPr>
          <w:p>
            <w:pPr>
              <w:jc w:val="center"/>
              <w:ind w:right="372"/>
              <w:spacing w:after="0"/>
              <w:rPr>
                <w:sz w:val="20"/>
                <w:szCs w:val="20"/>
                <w:color w:val="auto"/>
              </w:rPr>
            </w:pPr>
            <w:r>
              <w:rPr>
                <w:rFonts w:ascii="Courier New" w:cs="Courier New" w:eastAsia="Courier New" w:hAnsi="Courier New"/>
                <w:sz w:val="18"/>
                <w:szCs w:val="18"/>
                <w:color w:val="auto"/>
                <w:w w:val="97"/>
              </w:rPr>
              <w:t>BENEFICIALLY OWNED</w:t>
            </w:r>
          </w:p>
        </w:tc>
        <w:tc>
          <w:tcPr>
            <w:tcW w:w="900" w:type="dxa"/>
            <w:vAlign w:val="bottom"/>
          </w:tcPr>
          <w:p>
            <w:pPr>
              <w:spacing w:after="0"/>
              <w:rPr>
                <w:sz w:val="24"/>
                <w:szCs w:val="24"/>
                <w:color w:val="auto"/>
              </w:rPr>
            </w:pPr>
          </w:p>
        </w:tc>
        <w:tc>
          <w:tcPr>
            <w:tcW w:w="4640" w:type="dxa"/>
            <w:vAlign w:val="bottom"/>
          </w:tcPr>
          <w:p>
            <w:pPr>
              <w:ind w:left="220"/>
              <w:spacing w:after="0"/>
              <w:rPr>
                <w:sz w:val="20"/>
                <w:szCs w:val="20"/>
                <w:color w:val="auto"/>
              </w:rPr>
            </w:pPr>
            <w:r>
              <w:rPr>
                <w:rFonts w:ascii="Courier New" w:cs="Courier New" w:eastAsia="Courier New" w:hAnsi="Courier New"/>
                <w:sz w:val="18"/>
                <w:szCs w:val="18"/>
                <w:color w:val="auto"/>
              </w:rPr>
              <w:t>-0-</w:t>
            </w:r>
          </w:p>
        </w:tc>
      </w:tr>
      <w:tr>
        <w:trPr>
          <w:trHeight w:val="203"/>
        </w:trPr>
        <w:tc>
          <w:tcPr>
            <w:tcW w:w="2360" w:type="dxa"/>
            <w:vAlign w:val="bottom"/>
          </w:tcPr>
          <w:p>
            <w:pPr>
              <w:spacing w:after="0"/>
              <w:rPr>
                <w:sz w:val="17"/>
                <w:szCs w:val="17"/>
                <w:color w:val="auto"/>
              </w:rPr>
            </w:pPr>
          </w:p>
        </w:tc>
        <w:tc>
          <w:tcPr>
            <w:tcW w:w="55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36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9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7.</w:t>
            </w:r>
          </w:p>
        </w:tc>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2360" w:type="dxa"/>
            <w:vAlign w:val="bottom"/>
          </w:tcPr>
          <w:p>
            <w:pPr>
              <w:jc w:val="center"/>
              <w:ind w:right="392"/>
              <w:spacing w:after="0"/>
              <w:rPr>
                <w:sz w:val="20"/>
                <w:szCs w:val="20"/>
                <w:color w:val="auto"/>
              </w:rPr>
            </w:pPr>
            <w:r>
              <w:rPr>
                <w:rFonts w:ascii="Courier New" w:cs="Courier New" w:eastAsia="Courier New" w:hAnsi="Courier New"/>
                <w:sz w:val="18"/>
                <w:szCs w:val="18"/>
                <w:color w:val="auto"/>
                <w:w w:val="98"/>
              </w:rPr>
              <w:t>PERSON</w:t>
            </w:r>
          </w:p>
        </w:tc>
        <w:tc>
          <w:tcPr>
            <w:tcW w:w="900" w:type="dxa"/>
            <w:vAlign w:val="bottom"/>
          </w:tcPr>
          <w:p>
            <w:pPr>
              <w:spacing w:after="0"/>
              <w:rPr>
                <w:sz w:val="24"/>
                <w:szCs w:val="24"/>
                <w:color w:val="auto"/>
              </w:rPr>
            </w:pPr>
          </w:p>
        </w:tc>
        <w:tc>
          <w:tcPr>
            <w:tcW w:w="4640" w:type="dxa"/>
            <w:vAlign w:val="bottom"/>
          </w:tcPr>
          <w:p>
            <w:pPr>
              <w:ind w:left="220"/>
              <w:spacing w:after="0"/>
              <w:rPr>
                <w:sz w:val="20"/>
                <w:szCs w:val="20"/>
                <w:color w:val="auto"/>
              </w:rPr>
            </w:pPr>
            <w:r>
              <w:rPr>
                <w:rFonts w:ascii="Courier New" w:cs="Courier New" w:eastAsia="Courier New" w:hAnsi="Courier New"/>
                <w:sz w:val="18"/>
                <w:szCs w:val="18"/>
                <w:color w:val="auto"/>
              </w:rPr>
              <w:t>10,278,942</w:t>
            </w:r>
          </w:p>
        </w:tc>
      </w:tr>
      <w:tr>
        <w:trPr>
          <w:trHeight w:val="203"/>
        </w:trPr>
        <w:tc>
          <w:tcPr>
            <w:tcW w:w="2360" w:type="dxa"/>
            <w:vAlign w:val="bottom"/>
          </w:tcPr>
          <w:p>
            <w:pPr>
              <w:spacing w:after="0"/>
              <w:rPr>
                <w:sz w:val="17"/>
                <w:szCs w:val="17"/>
                <w:color w:val="auto"/>
              </w:rPr>
            </w:pPr>
          </w:p>
        </w:tc>
        <w:tc>
          <w:tcPr>
            <w:tcW w:w="55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36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7"/>
              </w:rPr>
              <w:t>WITH</w:t>
            </w:r>
          </w:p>
        </w:tc>
        <w:tc>
          <w:tcPr>
            <w:tcW w:w="9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8.</w:t>
            </w:r>
          </w:p>
        </w:tc>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405"/>
        </w:trPr>
        <w:tc>
          <w:tcPr>
            <w:tcW w:w="2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40" w:type="dxa"/>
            <w:vAlign w:val="bottom"/>
          </w:tcPr>
          <w:p>
            <w:pPr>
              <w:ind w:left="220"/>
              <w:spacing w:after="0"/>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219"/>
          </w:cols>
          <w:pgMar w:left="240" w:top="250"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10,278,942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1" w:lineRule="exact"/>
        <w:rPr>
          <w:sz w:val="20"/>
          <w:szCs w:val="20"/>
          <w:color w:val="auto"/>
        </w:rPr>
      </w:pPr>
    </w:p>
    <w:p>
      <w:pPr>
        <w:ind w:left="760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36.6%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PN</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4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CUSIP No. 302081 10 4</w:t>
      </w:r>
    </w:p>
    <w:p>
      <w:pPr>
        <w:spacing w:after="0" w:line="207"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REPORTING PERSON</w:t>
      </w: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Oak Hill Capital Management Partners, 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 w:leader="none" w:pos="6720" w:val="left"/>
          <w:tab w:leader="none" w:pos="758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[_]</w:t>
      </w:r>
    </w:p>
    <w:p>
      <w:pPr>
        <w:ind w:left="6740"/>
        <w:spacing w:after="0" w:line="238" w:lineRule="auto"/>
        <w:tabs>
          <w:tab w:leader="none" w:pos="758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[X]</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020" w:hanging="641"/>
        <w:spacing w:after="0" w:line="238" w:lineRule="auto"/>
        <w:tabs>
          <w:tab w:leader="none" w:pos="402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2"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2360" w:type="dxa"/>
            <w:vAlign w:val="bottom"/>
          </w:tcPr>
          <w:p>
            <w:pPr>
              <w:ind w:left="520"/>
              <w:spacing w:after="0"/>
              <w:rPr>
                <w:sz w:val="20"/>
                <w:szCs w:val="20"/>
                <w:color w:val="auto"/>
              </w:rPr>
            </w:pPr>
            <w:r>
              <w:rPr>
                <w:rFonts w:ascii="Courier New" w:cs="Courier New" w:eastAsia="Courier New" w:hAnsi="Courier New"/>
                <w:sz w:val="18"/>
                <w:szCs w:val="18"/>
                <w:color w:val="auto"/>
              </w:rPr>
              <w:t>NUMBER OF</w:t>
            </w:r>
          </w:p>
        </w:tc>
        <w:tc>
          <w:tcPr>
            <w:tcW w:w="900" w:type="dxa"/>
            <w:vAlign w:val="bottom"/>
          </w:tcPr>
          <w:p>
            <w:pPr>
              <w:spacing w:after="0"/>
              <w:rPr>
                <w:sz w:val="17"/>
                <w:szCs w:val="17"/>
                <w:color w:val="auto"/>
              </w:rPr>
            </w:pPr>
          </w:p>
        </w:tc>
        <w:tc>
          <w:tcPr>
            <w:tcW w:w="4640" w:type="dxa"/>
            <w:vAlign w:val="bottom"/>
          </w:tcPr>
          <w:p>
            <w:pPr>
              <w:ind w:left="220"/>
              <w:spacing w:after="0"/>
              <w:rPr>
                <w:sz w:val="20"/>
                <w:szCs w:val="20"/>
                <w:color w:val="auto"/>
              </w:rPr>
            </w:pPr>
            <w:r>
              <w:rPr>
                <w:rFonts w:ascii="Courier New" w:cs="Courier New" w:eastAsia="Courier New" w:hAnsi="Courier New"/>
                <w:sz w:val="18"/>
                <w:szCs w:val="18"/>
                <w:color w:val="auto"/>
              </w:rPr>
              <w:t>263,562</w:t>
            </w:r>
          </w:p>
        </w:tc>
      </w:tr>
      <w:tr>
        <w:trPr>
          <w:trHeight w:val="203"/>
        </w:trPr>
        <w:tc>
          <w:tcPr>
            <w:tcW w:w="2360" w:type="dxa"/>
            <w:vAlign w:val="bottom"/>
          </w:tcPr>
          <w:p>
            <w:pPr>
              <w:spacing w:after="0"/>
              <w:rPr>
                <w:sz w:val="17"/>
                <w:szCs w:val="17"/>
                <w:color w:val="auto"/>
              </w:rPr>
            </w:pPr>
          </w:p>
        </w:tc>
        <w:tc>
          <w:tcPr>
            <w:tcW w:w="55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36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8"/>
              </w:rPr>
              <w:t>SHARES</w:t>
            </w:r>
          </w:p>
        </w:tc>
        <w:tc>
          <w:tcPr>
            <w:tcW w:w="9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6.</w:t>
            </w:r>
          </w:p>
        </w:tc>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405"/>
        </w:trPr>
        <w:tc>
          <w:tcPr>
            <w:tcW w:w="2360" w:type="dxa"/>
            <w:vAlign w:val="bottom"/>
          </w:tcPr>
          <w:p>
            <w:pPr>
              <w:jc w:val="center"/>
              <w:ind w:right="372"/>
              <w:spacing w:after="0"/>
              <w:rPr>
                <w:sz w:val="20"/>
                <w:szCs w:val="20"/>
                <w:color w:val="auto"/>
              </w:rPr>
            </w:pPr>
            <w:r>
              <w:rPr>
                <w:rFonts w:ascii="Courier New" w:cs="Courier New" w:eastAsia="Courier New" w:hAnsi="Courier New"/>
                <w:sz w:val="18"/>
                <w:szCs w:val="18"/>
                <w:color w:val="auto"/>
                <w:w w:val="97"/>
              </w:rPr>
              <w:t>BENEFICIALLY OWNED</w:t>
            </w:r>
          </w:p>
        </w:tc>
        <w:tc>
          <w:tcPr>
            <w:tcW w:w="900" w:type="dxa"/>
            <w:vAlign w:val="bottom"/>
          </w:tcPr>
          <w:p>
            <w:pPr>
              <w:spacing w:after="0"/>
              <w:rPr>
                <w:sz w:val="24"/>
                <w:szCs w:val="24"/>
                <w:color w:val="auto"/>
              </w:rPr>
            </w:pPr>
          </w:p>
        </w:tc>
        <w:tc>
          <w:tcPr>
            <w:tcW w:w="4640" w:type="dxa"/>
            <w:vAlign w:val="bottom"/>
          </w:tcPr>
          <w:p>
            <w:pPr>
              <w:ind w:left="220"/>
              <w:spacing w:after="0"/>
              <w:rPr>
                <w:sz w:val="20"/>
                <w:szCs w:val="20"/>
                <w:color w:val="auto"/>
              </w:rPr>
            </w:pPr>
            <w:r>
              <w:rPr>
                <w:rFonts w:ascii="Courier New" w:cs="Courier New" w:eastAsia="Courier New" w:hAnsi="Courier New"/>
                <w:sz w:val="18"/>
                <w:szCs w:val="18"/>
                <w:color w:val="auto"/>
              </w:rPr>
              <w:t>-0-</w:t>
            </w:r>
          </w:p>
        </w:tc>
      </w:tr>
      <w:tr>
        <w:trPr>
          <w:trHeight w:val="203"/>
        </w:trPr>
        <w:tc>
          <w:tcPr>
            <w:tcW w:w="2360" w:type="dxa"/>
            <w:vAlign w:val="bottom"/>
          </w:tcPr>
          <w:p>
            <w:pPr>
              <w:spacing w:after="0"/>
              <w:rPr>
                <w:sz w:val="17"/>
                <w:szCs w:val="17"/>
                <w:color w:val="auto"/>
              </w:rPr>
            </w:pPr>
          </w:p>
        </w:tc>
        <w:tc>
          <w:tcPr>
            <w:tcW w:w="55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36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9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7.</w:t>
            </w:r>
          </w:p>
        </w:tc>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2360" w:type="dxa"/>
            <w:vAlign w:val="bottom"/>
          </w:tcPr>
          <w:p>
            <w:pPr>
              <w:jc w:val="center"/>
              <w:ind w:right="392"/>
              <w:spacing w:after="0"/>
              <w:rPr>
                <w:sz w:val="20"/>
                <w:szCs w:val="20"/>
                <w:color w:val="auto"/>
              </w:rPr>
            </w:pPr>
            <w:r>
              <w:rPr>
                <w:rFonts w:ascii="Courier New" w:cs="Courier New" w:eastAsia="Courier New" w:hAnsi="Courier New"/>
                <w:sz w:val="18"/>
                <w:szCs w:val="18"/>
                <w:color w:val="auto"/>
                <w:w w:val="98"/>
              </w:rPr>
              <w:t>PERSON</w:t>
            </w:r>
          </w:p>
        </w:tc>
        <w:tc>
          <w:tcPr>
            <w:tcW w:w="900" w:type="dxa"/>
            <w:vAlign w:val="bottom"/>
          </w:tcPr>
          <w:p>
            <w:pPr>
              <w:spacing w:after="0"/>
              <w:rPr>
                <w:sz w:val="24"/>
                <w:szCs w:val="24"/>
                <w:color w:val="auto"/>
              </w:rPr>
            </w:pPr>
          </w:p>
        </w:tc>
        <w:tc>
          <w:tcPr>
            <w:tcW w:w="4640" w:type="dxa"/>
            <w:vAlign w:val="bottom"/>
          </w:tcPr>
          <w:p>
            <w:pPr>
              <w:ind w:left="220"/>
              <w:spacing w:after="0"/>
              <w:rPr>
                <w:sz w:val="20"/>
                <w:szCs w:val="20"/>
                <w:color w:val="auto"/>
              </w:rPr>
            </w:pPr>
            <w:r>
              <w:rPr>
                <w:rFonts w:ascii="Courier New" w:cs="Courier New" w:eastAsia="Courier New" w:hAnsi="Courier New"/>
                <w:sz w:val="18"/>
                <w:szCs w:val="18"/>
                <w:color w:val="auto"/>
              </w:rPr>
              <w:t>263,562</w:t>
            </w:r>
          </w:p>
        </w:tc>
      </w:tr>
      <w:tr>
        <w:trPr>
          <w:trHeight w:val="203"/>
        </w:trPr>
        <w:tc>
          <w:tcPr>
            <w:tcW w:w="2360" w:type="dxa"/>
            <w:vAlign w:val="bottom"/>
          </w:tcPr>
          <w:p>
            <w:pPr>
              <w:spacing w:after="0"/>
              <w:rPr>
                <w:sz w:val="17"/>
                <w:szCs w:val="17"/>
                <w:color w:val="auto"/>
              </w:rPr>
            </w:pPr>
          </w:p>
        </w:tc>
        <w:tc>
          <w:tcPr>
            <w:tcW w:w="55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36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7"/>
              </w:rPr>
              <w:t>WITH</w:t>
            </w:r>
          </w:p>
        </w:tc>
        <w:tc>
          <w:tcPr>
            <w:tcW w:w="9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8.</w:t>
            </w:r>
          </w:p>
        </w:tc>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263,562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1" w:lineRule="exact"/>
        <w:rPr>
          <w:sz w:val="20"/>
          <w:szCs w:val="20"/>
          <w:color w:val="auto"/>
        </w:rPr>
      </w:pPr>
    </w:p>
    <w:p>
      <w:pPr>
        <w:ind w:left="760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0.9%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PN</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4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14"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CUSIP No. 302081 10 4</w:t>
      </w:r>
    </w:p>
    <w:p>
      <w:pPr>
        <w:spacing w:after="0" w:line="207"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REPORTING PERSON</w:t>
      </w:r>
    </w:p>
    <w:p>
      <w:pPr>
        <w:ind w:left="960" w:hanging="952"/>
        <w:spacing w:after="0"/>
        <w:tabs>
          <w:tab w:leader="none" w:pos="9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OHCP GenPar, 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 w:leader="none" w:pos="6720" w:val="left"/>
          <w:tab w:leader="none" w:pos="758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[_]</w:t>
      </w:r>
    </w:p>
    <w:p>
      <w:pPr>
        <w:ind w:left="6740"/>
        <w:spacing w:after="0" w:line="238" w:lineRule="auto"/>
        <w:tabs>
          <w:tab w:leader="none" w:pos="758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[X]</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020" w:hanging="641"/>
        <w:spacing w:after="0" w:line="238" w:lineRule="auto"/>
        <w:tabs>
          <w:tab w:leader="none" w:pos="402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2"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2360" w:type="dxa"/>
            <w:vAlign w:val="bottom"/>
          </w:tcPr>
          <w:p>
            <w:pPr>
              <w:ind w:left="520"/>
              <w:spacing w:after="0"/>
              <w:rPr>
                <w:sz w:val="20"/>
                <w:szCs w:val="20"/>
                <w:color w:val="auto"/>
              </w:rPr>
            </w:pPr>
            <w:r>
              <w:rPr>
                <w:rFonts w:ascii="Courier New" w:cs="Courier New" w:eastAsia="Courier New" w:hAnsi="Courier New"/>
                <w:sz w:val="18"/>
                <w:szCs w:val="18"/>
                <w:color w:val="auto"/>
              </w:rPr>
              <w:t>NUMBER OF</w:t>
            </w:r>
          </w:p>
        </w:tc>
        <w:tc>
          <w:tcPr>
            <w:tcW w:w="900" w:type="dxa"/>
            <w:vAlign w:val="bottom"/>
          </w:tcPr>
          <w:p>
            <w:pPr>
              <w:spacing w:after="0"/>
              <w:rPr>
                <w:sz w:val="17"/>
                <w:szCs w:val="17"/>
                <w:color w:val="auto"/>
              </w:rPr>
            </w:pPr>
          </w:p>
        </w:tc>
        <w:tc>
          <w:tcPr>
            <w:tcW w:w="4640" w:type="dxa"/>
            <w:vAlign w:val="bottom"/>
          </w:tcPr>
          <w:p>
            <w:pPr>
              <w:ind w:left="220"/>
              <w:spacing w:after="0"/>
              <w:rPr>
                <w:sz w:val="20"/>
                <w:szCs w:val="20"/>
                <w:color w:val="auto"/>
              </w:rPr>
            </w:pPr>
            <w:r>
              <w:rPr>
                <w:rFonts w:ascii="Courier New" w:cs="Courier New" w:eastAsia="Courier New" w:hAnsi="Courier New"/>
                <w:sz w:val="18"/>
                <w:szCs w:val="18"/>
                <w:color w:val="auto"/>
              </w:rPr>
              <w:t>10,542,504</w:t>
            </w:r>
          </w:p>
        </w:tc>
      </w:tr>
      <w:tr>
        <w:trPr>
          <w:trHeight w:val="203"/>
        </w:trPr>
        <w:tc>
          <w:tcPr>
            <w:tcW w:w="2360" w:type="dxa"/>
            <w:vAlign w:val="bottom"/>
          </w:tcPr>
          <w:p>
            <w:pPr>
              <w:spacing w:after="0"/>
              <w:rPr>
                <w:sz w:val="17"/>
                <w:szCs w:val="17"/>
                <w:color w:val="auto"/>
              </w:rPr>
            </w:pPr>
          </w:p>
        </w:tc>
        <w:tc>
          <w:tcPr>
            <w:tcW w:w="55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36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8"/>
              </w:rPr>
              <w:t>SHARES</w:t>
            </w:r>
          </w:p>
        </w:tc>
        <w:tc>
          <w:tcPr>
            <w:tcW w:w="9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6.</w:t>
            </w:r>
          </w:p>
        </w:tc>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405"/>
        </w:trPr>
        <w:tc>
          <w:tcPr>
            <w:tcW w:w="2360" w:type="dxa"/>
            <w:vAlign w:val="bottom"/>
          </w:tcPr>
          <w:p>
            <w:pPr>
              <w:jc w:val="center"/>
              <w:ind w:right="372"/>
              <w:spacing w:after="0"/>
              <w:rPr>
                <w:sz w:val="20"/>
                <w:szCs w:val="20"/>
                <w:color w:val="auto"/>
              </w:rPr>
            </w:pPr>
            <w:r>
              <w:rPr>
                <w:rFonts w:ascii="Courier New" w:cs="Courier New" w:eastAsia="Courier New" w:hAnsi="Courier New"/>
                <w:sz w:val="18"/>
                <w:szCs w:val="18"/>
                <w:color w:val="auto"/>
                <w:w w:val="97"/>
              </w:rPr>
              <w:t>BENEFICIALLY OWNED</w:t>
            </w:r>
          </w:p>
        </w:tc>
        <w:tc>
          <w:tcPr>
            <w:tcW w:w="900" w:type="dxa"/>
            <w:vAlign w:val="bottom"/>
          </w:tcPr>
          <w:p>
            <w:pPr>
              <w:spacing w:after="0"/>
              <w:rPr>
                <w:sz w:val="24"/>
                <w:szCs w:val="24"/>
                <w:color w:val="auto"/>
              </w:rPr>
            </w:pPr>
          </w:p>
        </w:tc>
        <w:tc>
          <w:tcPr>
            <w:tcW w:w="4640" w:type="dxa"/>
            <w:vAlign w:val="bottom"/>
          </w:tcPr>
          <w:p>
            <w:pPr>
              <w:ind w:left="220"/>
              <w:spacing w:after="0"/>
              <w:rPr>
                <w:sz w:val="20"/>
                <w:szCs w:val="20"/>
                <w:color w:val="auto"/>
              </w:rPr>
            </w:pPr>
            <w:r>
              <w:rPr>
                <w:rFonts w:ascii="Courier New" w:cs="Courier New" w:eastAsia="Courier New" w:hAnsi="Courier New"/>
                <w:sz w:val="18"/>
                <w:szCs w:val="18"/>
                <w:color w:val="auto"/>
              </w:rPr>
              <w:t>-0-</w:t>
            </w:r>
          </w:p>
        </w:tc>
      </w:tr>
      <w:tr>
        <w:trPr>
          <w:trHeight w:val="203"/>
        </w:trPr>
        <w:tc>
          <w:tcPr>
            <w:tcW w:w="2360" w:type="dxa"/>
            <w:vAlign w:val="bottom"/>
          </w:tcPr>
          <w:p>
            <w:pPr>
              <w:spacing w:after="0"/>
              <w:rPr>
                <w:sz w:val="17"/>
                <w:szCs w:val="17"/>
                <w:color w:val="auto"/>
              </w:rPr>
            </w:pPr>
          </w:p>
        </w:tc>
        <w:tc>
          <w:tcPr>
            <w:tcW w:w="55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36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9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7.</w:t>
            </w:r>
          </w:p>
        </w:tc>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2360" w:type="dxa"/>
            <w:vAlign w:val="bottom"/>
          </w:tcPr>
          <w:p>
            <w:pPr>
              <w:jc w:val="center"/>
              <w:ind w:right="392"/>
              <w:spacing w:after="0"/>
              <w:rPr>
                <w:sz w:val="20"/>
                <w:szCs w:val="20"/>
                <w:color w:val="auto"/>
              </w:rPr>
            </w:pPr>
            <w:r>
              <w:rPr>
                <w:rFonts w:ascii="Courier New" w:cs="Courier New" w:eastAsia="Courier New" w:hAnsi="Courier New"/>
                <w:sz w:val="18"/>
                <w:szCs w:val="18"/>
                <w:color w:val="auto"/>
                <w:w w:val="98"/>
              </w:rPr>
              <w:t>PERSON</w:t>
            </w:r>
          </w:p>
        </w:tc>
        <w:tc>
          <w:tcPr>
            <w:tcW w:w="900" w:type="dxa"/>
            <w:vAlign w:val="bottom"/>
          </w:tcPr>
          <w:p>
            <w:pPr>
              <w:spacing w:after="0"/>
              <w:rPr>
                <w:sz w:val="24"/>
                <w:szCs w:val="24"/>
                <w:color w:val="auto"/>
              </w:rPr>
            </w:pPr>
          </w:p>
        </w:tc>
        <w:tc>
          <w:tcPr>
            <w:tcW w:w="4640" w:type="dxa"/>
            <w:vAlign w:val="bottom"/>
          </w:tcPr>
          <w:p>
            <w:pPr>
              <w:ind w:left="220"/>
              <w:spacing w:after="0"/>
              <w:rPr>
                <w:sz w:val="20"/>
                <w:szCs w:val="20"/>
                <w:color w:val="auto"/>
              </w:rPr>
            </w:pPr>
            <w:r>
              <w:rPr>
                <w:rFonts w:ascii="Courier New" w:cs="Courier New" w:eastAsia="Courier New" w:hAnsi="Courier New"/>
                <w:sz w:val="18"/>
                <w:szCs w:val="18"/>
                <w:color w:val="auto"/>
              </w:rPr>
              <w:t>10,542,504</w:t>
            </w:r>
          </w:p>
        </w:tc>
      </w:tr>
      <w:tr>
        <w:trPr>
          <w:trHeight w:val="203"/>
        </w:trPr>
        <w:tc>
          <w:tcPr>
            <w:tcW w:w="2360" w:type="dxa"/>
            <w:vAlign w:val="bottom"/>
          </w:tcPr>
          <w:p>
            <w:pPr>
              <w:spacing w:after="0"/>
              <w:rPr>
                <w:sz w:val="17"/>
                <w:szCs w:val="17"/>
                <w:color w:val="auto"/>
              </w:rPr>
            </w:pPr>
          </w:p>
        </w:tc>
        <w:tc>
          <w:tcPr>
            <w:tcW w:w="55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36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7"/>
              </w:rPr>
              <w:t>WITH</w:t>
            </w:r>
          </w:p>
        </w:tc>
        <w:tc>
          <w:tcPr>
            <w:tcW w:w="9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8.</w:t>
            </w:r>
          </w:p>
        </w:tc>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10,542,504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1" w:lineRule="exact"/>
        <w:rPr>
          <w:sz w:val="20"/>
          <w:szCs w:val="20"/>
          <w:color w:val="auto"/>
        </w:rPr>
      </w:pPr>
    </w:p>
    <w:p>
      <w:pPr>
        <w:ind w:left="760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37.5%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PN</w:t>
      </w:r>
    </w:p>
    <w:p>
      <w:pPr>
        <w:spacing w:after="0" w:line="4"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4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514"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CUSIP No. 302081 10 4</w:t>
      </w:r>
    </w:p>
    <w:p>
      <w:pPr>
        <w:spacing w:after="0" w:line="207"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REPORTING PERSON</w:t>
      </w:r>
    </w:p>
    <w:p>
      <w:pPr>
        <w:ind w:left="960" w:hanging="952"/>
        <w:spacing w:after="0"/>
        <w:tabs>
          <w:tab w:leader="none" w:pos="9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OHCP MGP, LLC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 w:leader="none" w:pos="6720" w:val="left"/>
          <w:tab w:leader="none" w:pos="758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[_]</w:t>
      </w:r>
    </w:p>
    <w:p>
      <w:pPr>
        <w:ind w:left="6740"/>
        <w:spacing w:after="0" w:line="238" w:lineRule="auto"/>
        <w:tabs>
          <w:tab w:leader="none" w:pos="758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[X]</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020" w:hanging="641"/>
        <w:spacing w:after="0" w:line="238" w:lineRule="auto"/>
        <w:tabs>
          <w:tab w:leader="none" w:pos="402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2"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2360" w:type="dxa"/>
            <w:vAlign w:val="bottom"/>
          </w:tcPr>
          <w:p>
            <w:pPr>
              <w:ind w:left="520"/>
              <w:spacing w:after="0"/>
              <w:rPr>
                <w:sz w:val="20"/>
                <w:szCs w:val="20"/>
                <w:color w:val="auto"/>
              </w:rPr>
            </w:pPr>
            <w:r>
              <w:rPr>
                <w:rFonts w:ascii="Courier New" w:cs="Courier New" w:eastAsia="Courier New" w:hAnsi="Courier New"/>
                <w:sz w:val="18"/>
                <w:szCs w:val="18"/>
                <w:color w:val="auto"/>
              </w:rPr>
              <w:t>NUMBER OF</w:t>
            </w:r>
          </w:p>
        </w:tc>
        <w:tc>
          <w:tcPr>
            <w:tcW w:w="900" w:type="dxa"/>
            <w:vAlign w:val="bottom"/>
          </w:tcPr>
          <w:p>
            <w:pPr>
              <w:spacing w:after="0"/>
              <w:rPr>
                <w:sz w:val="17"/>
                <w:szCs w:val="17"/>
                <w:color w:val="auto"/>
              </w:rPr>
            </w:pPr>
          </w:p>
        </w:tc>
        <w:tc>
          <w:tcPr>
            <w:tcW w:w="4640" w:type="dxa"/>
            <w:vAlign w:val="bottom"/>
          </w:tcPr>
          <w:p>
            <w:pPr>
              <w:ind w:left="220"/>
              <w:spacing w:after="0"/>
              <w:rPr>
                <w:sz w:val="20"/>
                <w:szCs w:val="20"/>
                <w:color w:val="auto"/>
              </w:rPr>
            </w:pPr>
            <w:r>
              <w:rPr>
                <w:rFonts w:ascii="Courier New" w:cs="Courier New" w:eastAsia="Courier New" w:hAnsi="Courier New"/>
                <w:sz w:val="18"/>
                <w:szCs w:val="18"/>
                <w:color w:val="auto"/>
              </w:rPr>
              <w:t>10,542,504</w:t>
            </w:r>
          </w:p>
        </w:tc>
      </w:tr>
      <w:tr>
        <w:trPr>
          <w:trHeight w:val="203"/>
        </w:trPr>
        <w:tc>
          <w:tcPr>
            <w:tcW w:w="2360" w:type="dxa"/>
            <w:vAlign w:val="bottom"/>
          </w:tcPr>
          <w:p>
            <w:pPr>
              <w:spacing w:after="0"/>
              <w:rPr>
                <w:sz w:val="17"/>
                <w:szCs w:val="17"/>
                <w:color w:val="auto"/>
              </w:rPr>
            </w:pPr>
          </w:p>
        </w:tc>
        <w:tc>
          <w:tcPr>
            <w:tcW w:w="55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36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8"/>
              </w:rPr>
              <w:t>SHARES</w:t>
            </w:r>
          </w:p>
        </w:tc>
        <w:tc>
          <w:tcPr>
            <w:tcW w:w="9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6.</w:t>
            </w:r>
          </w:p>
        </w:tc>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405"/>
        </w:trPr>
        <w:tc>
          <w:tcPr>
            <w:tcW w:w="2360" w:type="dxa"/>
            <w:vAlign w:val="bottom"/>
          </w:tcPr>
          <w:p>
            <w:pPr>
              <w:jc w:val="center"/>
              <w:ind w:right="372"/>
              <w:spacing w:after="0"/>
              <w:rPr>
                <w:sz w:val="20"/>
                <w:szCs w:val="20"/>
                <w:color w:val="auto"/>
              </w:rPr>
            </w:pPr>
            <w:r>
              <w:rPr>
                <w:rFonts w:ascii="Courier New" w:cs="Courier New" w:eastAsia="Courier New" w:hAnsi="Courier New"/>
                <w:sz w:val="18"/>
                <w:szCs w:val="18"/>
                <w:color w:val="auto"/>
                <w:w w:val="97"/>
              </w:rPr>
              <w:t>BENEFICIALLY OWNED</w:t>
            </w:r>
          </w:p>
        </w:tc>
        <w:tc>
          <w:tcPr>
            <w:tcW w:w="900" w:type="dxa"/>
            <w:vAlign w:val="bottom"/>
          </w:tcPr>
          <w:p>
            <w:pPr>
              <w:spacing w:after="0"/>
              <w:rPr>
                <w:sz w:val="24"/>
                <w:szCs w:val="24"/>
                <w:color w:val="auto"/>
              </w:rPr>
            </w:pPr>
          </w:p>
        </w:tc>
        <w:tc>
          <w:tcPr>
            <w:tcW w:w="4640" w:type="dxa"/>
            <w:vAlign w:val="bottom"/>
          </w:tcPr>
          <w:p>
            <w:pPr>
              <w:ind w:left="220"/>
              <w:spacing w:after="0"/>
              <w:rPr>
                <w:sz w:val="20"/>
                <w:szCs w:val="20"/>
                <w:color w:val="auto"/>
              </w:rPr>
            </w:pPr>
            <w:r>
              <w:rPr>
                <w:rFonts w:ascii="Courier New" w:cs="Courier New" w:eastAsia="Courier New" w:hAnsi="Courier New"/>
                <w:sz w:val="18"/>
                <w:szCs w:val="18"/>
                <w:color w:val="auto"/>
              </w:rPr>
              <w:t>-0-</w:t>
            </w:r>
          </w:p>
        </w:tc>
      </w:tr>
      <w:tr>
        <w:trPr>
          <w:trHeight w:val="203"/>
        </w:trPr>
        <w:tc>
          <w:tcPr>
            <w:tcW w:w="2360" w:type="dxa"/>
            <w:vAlign w:val="bottom"/>
          </w:tcPr>
          <w:p>
            <w:pPr>
              <w:spacing w:after="0"/>
              <w:rPr>
                <w:sz w:val="17"/>
                <w:szCs w:val="17"/>
                <w:color w:val="auto"/>
              </w:rPr>
            </w:pPr>
          </w:p>
        </w:tc>
        <w:tc>
          <w:tcPr>
            <w:tcW w:w="55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36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9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7.</w:t>
            </w:r>
          </w:p>
        </w:tc>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2360" w:type="dxa"/>
            <w:vAlign w:val="bottom"/>
          </w:tcPr>
          <w:p>
            <w:pPr>
              <w:jc w:val="center"/>
              <w:ind w:right="392"/>
              <w:spacing w:after="0"/>
              <w:rPr>
                <w:sz w:val="20"/>
                <w:szCs w:val="20"/>
                <w:color w:val="auto"/>
              </w:rPr>
            </w:pPr>
            <w:r>
              <w:rPr>
                <w:rFonts w:ascii="Courier New" w:cs="Courier New" w:eastAsia="Courier New" w:hAnsi="Courier New"/>
                <w:sz w:val="18"/>
                <w:szCs w:val="18"/>
                <w:color w:val="auto"/>
                <w:w w:val="98"/>
              </w:rPr>
              <w:t>PERSON</w:t>
            </w:r>
          </w:p>
        </w:tc>
        <w:tc>
          <w:tcPr>
            <w:tcW w:w="900" w:type="dxa"/>
            <w:vAlign w:val="bottom"/>
          </w:tcPr>
          <w:p>
            <w:pPr>
              <w:spacing w:after="0"/>
              <w:rPr>
                <w:sz w:val="24"/>
                <w:szCs w:val="24"/>
                <w:color w:val="auto"/>
              </w:rPr>
            </w:pPr>
          </w:p>
        </w:tc>
        <w:tc>
          <w:tcPr>
            <w:tcW w:w="4640" w:type="dxa"/>
            <w:vAlign w:val="bottom"/>
          </w:tcPr>
          <w:p>
            <w:pPr>
              <w:ind w:left="220"/>
              <w:spacing w:after="0"/>
              <w:rPr>
                <w:sz w:val="20"/>
                <w:szCs w:val="20"/>
                <w:color w:val="auto"/>
              </w:rPr>
            </w:pPr>
            <w:r>
              <w:rPr>
                <w:rFonts w:ascii="Courier New" w:cs="Courier New" w:eastAsia="Courier New" w:hAnsi="Courier New"/>
                <w:sz w:val="18"/>
                <w:szCs w:val="18"/>
                <w:color w:val="auto"/>
              </w:rPr>
              <w:t>10,542,504</w:t>
            </w:r>
          </w:p>
        </w:tc>
      </w:tr>
      <w:tr>
        <w:trPr>
          <w:trHeight w:val="203"/>
        </w:trPr>
        <w:tc>
          <w:tcPr>
            <w:tcW w:w="2360" w:type="dxa"/>
            <w:vAlign w:val="bottom"/>
          </w:tcPr>
          <w:p>
            <w:pPr>
              <w:spacing w:after="0"/>
              <w:rPr>
                <w:sz w:val="17"/>
                <w:szCs w:val="17"/>
                <w:color w:val="auto"/>
              </w:rPr>
            </w:pPr>
          </w:p>
        </w:tc>
        <w:tc>
          <w:tcPr>
            <w:tcW w:w="55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36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7"/>
              </w:rPr>
              <w:t>WITH</w:t>
            </w:r>
          </w:p>
        </w:tc>
        <w:tc>
          <w:tcPr>
            <w:tcW w:w="9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8.</w:t>
            </w:r>
          </w:p>
        </w:tc>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10,542,504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1" w:lineRule="exact"/>
        <w:rPr>
          <w:sz w:val="20"/>
          <w:szCs w:val="20"/>
          <w:color w:val="auto"/>
        </w:rPr>
      </w:pPr>
    </w:p>
    <w:p>
      <w:pPr>
        <w:ind w:left="760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37.5%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OO</w:t>
      </w:r>
    </w:p>
    <w:p>
      <w:pPr>
        <w:spacing w:after="0" w:line="4"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4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514"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CUSIP No. 302081 10 4</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7" w:lineRule="exact"/>
        <w:rPr>
          <w:sz w:val="20"/>
          <w:szCs w:val="20"/>
          <w:color w:val="auto"/>
        </w:rPr>
      </w:pPr>
    </w:p>
    <w:p>
      <w:pPr>
        <w:jc w:val="both"/>
        <w:ind w:right="1879" w:firstLine="1685"/>
        <w:spacing w:after="0" w:line="236" w:lineRule="auto"/>
        <w:rPr>
          <w:sz w:val="20"/>
          <w:szCs w:val="20"/>
          <w:color w:val="auto"/>
        </w:rPr>
      </w:pPr>
      <w:r>
        <w:rPr>
          <w:rFonts w:ascii="Courier New" w:cs="Courier New" w:eastAsia="Courier New" w:hAnsi="Courier New"/>
          <w:sz w:val="18"/>
          <w:szCs w:val="18"/>
          <w:color w:val="auto"/>
        </w:rPr>
        <w:t>This Schedule 13G is filed by the undersigned with respect to the shares of Common Stock, par value $0.001 per share (the "Common Stock"), of ExlService Holdings, Inc. (the "Company")</w:t>
      </w:r>
    </w:p>
    <w:p>
      <w:pPr>
        <w:spacing w:after="0" w:line="20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ExlService Holdings, Inc.</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350 Park Avenue</w:t>
      </w:r>
    </w:p>
    <w:p>
      <w:pPr>
        <w:ind w:left="2540"/>
        <w:spacing w:after="0" w:line="238" w:lineRule="auto"/>
        <w:rPr>
          <w:sz w:val="20"/>
          <w:szCs w:val="20"/>
          <w:color w:val="auto"/>
        </w:rPr>
      </w:pPr>
      <w:r>
        <w:rPr>
          <w:rFonts w:ascii="Courier New" w:cs="Courier New" w:eastAsia="Courier New" w:hAnsi="Courier New"/>
          <w:sz w:val="18"/>
          <w:szCs w:val="18"/>
          <w:color w:val="auto"/>
        </w:rPr>
        <w:t>New York, New York 10022</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Oak Hill Capital Partners, L.P. ("OHCP");</w:t>
      </w:r>
    </w:p>
    <w:p>
      <w:pPr>
        <w:ind w:left="2540"/>
        <w:spacing w:after="0" w:line="238" w:lineRule="auto"/>
        <w:rPr>
          <w:sz w:val="20"/>
          <w:szCs w:val="20"/>
          <w:color w:val="auto"/>
        </w:rPr>
      </w:pPr>
      <w:r>
        <w:rPr>
          <w:rFonts w:ascii="Courier New" w:cs="Courier New" w:eastAsia="Courier New" w:hAnsi="Courier New"/>
          <w:sz w:val="18"/>
          <w:szCs w:val="18"/>
          <w:color w:val="auto"/>
        </w:rPr>
        <w:t>Oak Hill Capital Management Partners, L.P. ("OHCMP");</w:t>
      </w:r>
    </w:p>
    <w:p>
      <w:pPr>
        <w:ind w:left="2540"/>
        <w:spacing w:after="0"/>
        <w:rPr>
          <w:sz w:val="20"/>
          <w:szCs w:val="20"/>
          <w:color w:val="auto"/>
        </w:rPr>
      </w:pPr>
      <w:r>
        <w:rPr>
          <w:rFonts w:ascii="Courier New" w:cs="Courier New" w:eastAsia="Courier New" w:hAnsi="Courier New"/>
          <w:sz w:val="18"/>
          <w:szCs w:val="18"/>
          <w:color w:val="auto"/>
        </w:rPr>
        <w:t>OHCP GenPar, L.P. ("OHCP GenPar"); and</w:t>
      </w:r>
    </w:p>
    <w:p>
      <w:pPr>
        <w:ind w:left="2540"/>
        <w:spacing w:after="0" w:line="237" w:lineRule="auto"/>
        <w:rPr>
          <w:sz w:val="20"/>
          <w:szCs w:val="20"/>
          <w:color w:val="auto"/>
        </w:rPr>
      </w:pPr>
      <w:r>
        <w:rPr>
          <w:rFonts w:ascii="Courier New" w:cs="Courier New" w:eastAsia="Courier New" w:hAnsi="Courier New"/>
          <w:sz w:val="18"/>
          <w:szCs w:val="18"/>
          <w:color w:val="auto"/>
        </w:rPr>
        <w:t>OHCP MGP, LLC ("OHCP MGP" and together with OHCP,</w:t>
      </w:r>
    </w:p>
    <w:p>
      <w:pPr>
        <w:ind w:left="2540"/>
        <w:spacing w:after="0" w:line="238" w:lineRule="auto"/>
        <w:rPr>
          <w:sz w:val="20"/>
          <w:szCs w:val="20"/>
          <w:color w:val="auto"/>
        </w:rPr>
      </w:pPr>
      <w:r>
        <w:rPr>
          <w:rFonts w:ascii="Courier New" w:cs="Courier New" w:eastAsia="Courier New" w:hAnsi="Courier New"/>
          <w:sz w:val="18"/>
          <w:szCs w:val="18"/>
          <w:color w:val="auto"/>
        </w:rPr>
        <w:t>OHCMP and OHCP GenPar, the "Reporting Persons").</w:t>
      </w:r>
    </w:p>
    <w:p>
      <w:pPr>
        <w:spacing w:after="0" w:line="208" w:lineRule="exact"/>
        <w:rPr>
          <w:sz w:val="20"/>
          <w:szCs w:val="20"/>
          <w:color w:val="auto"/>
        </w:rPr>
      </w:pPr>
    </w:p>
    <w:p>
      <w:pPr>
        <w:jc w:val="both"/>
        <w:ind w:left="2540" w:right="1879"/>
        <w:spacing w:after="0" w:line="237" w:lineRule="auto"/>
        <w:rPr>
          <w:sz w:val="20"/>
          <w:szCs w:val="20"/>
          <w:color w:val="auto"/>
        </w:rPr>
      </w:pPr>
      <w:r>
        <w:rPr>
          <w:rFonts w:ascii="Courier New" w:cs="Courier New" w:eastAsia="Courier New" w:hAnsi="Courier New"/>
          <w:sz w:val="18"/>
          <w:szCs w:val="18"/>
          <w:color w:val="auto"/>
        </w:rPr>
        <w:t>The Reporting Persons are making this single, joint filing because they may be deemed to constitute a "group" within the meaning of Section 13(d)(3) of the Act, although neither the fact of this filing nor anything contained herein shall be deemed to be an admission by the Reporting Persons that such a group exists.</w:t>
      </w:r>
    </w:p>
    <w:p>
      <w:pPr>
        <w:spacing w:after="0" w:line="211" w:lineRule="exact"/>
        <w:rPr>
          <w:sz w:val="20"/>
          <w:szCs w:val="20"/>
          <w:color w:val="auto"/>
        </w:rPr>
      </w:pPr>
    </w:p>
    <w:p>
      <w:pPr>
        <w:ind w:left="1700" w:right="1999" w:hanging="1684"/>
        <w:spacing w:after="0" w:line="235" w:lineRule="auto"/>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8"/>
          <w:szCs w:val="18"/>
          <w:color w:val="auto"/>
        </w:rPr>
        <w:t>Address of Principal Business Office or, if none, Residence of each Reporting Person:</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201 Main Street</w:t>
      </w:r>
    </w:p>
    <w:p>
      <w:pPr>
        <w:ind w:left="2540"/>
        <w:spacing w:after="0" w:line="238" w:lineRule="auto"/>
        <w:rPr>
          <w:sz w:val="20"/>
          <w:szCs w:val="20"/>
          <w:color w:val="auto"/>
        </w:rPr>
      </w:pPr>
      <w:r>
        <w:rPr>
          <w:rFonts w:ascii="Courier New" w:cs="Courier New" w:eastAsia="Courier New" w:hAnsi="Courier New"/>
          <w:sz w:val="18"/>
          <w:szCs w:val="18"/>
          <w:color w:val="auto"/>
        </w:rPr>
        <w:t>Suite 1620</w:t>
      </w:r>
    </w:p>
    <w:p>
      <w:pPr>
        <w:ind w:left="2540"/>
        <w:spacing w:after="0"/>
        <w:tabs>
          <w:tab w:leader="none" w:pos="4200" w:val="left"/>
        </w:tabs>
        <w:rPr>
          <w:sz w:val="20"/>
          <w:szCs w:val="20"/>
          <w:color w:val="auto"/>
        </w:rPr>
      </w:pPr>
      <w:r>
        <w:rPr>
          <w:rFonts w:ascii="Courier New" w:cs="Courier New" w:eastAsia="Courier New" w:hAnsi="Courier New"/>
          <w:sz w:val="18"/>
          <w:szCs w:val="18"/>
          <w:color w:val="auto"/>
        </w:rPr>
        <w:t>Fort Worth, TX</w:t>
      </w:r>
      <w:r>
        <w:rPr>
          <w:sz w:val="20"/>
          <w:szCs w:val="20"/>
          <w:color w:val="auto"/>
        </w:rPr>
        <w:tab/>
      </w:r>
      <w:r>
        <w:rPr>
          <w:rFonts w:ascii="Courier New" w:cs="Courier New" w:eastAsia="Courier New" w:hAnsi="Courier New"/>
          <w:sz w:val="16"/>
          <w:szCs w:val="16"/>
          <w:color w:val="auto"/>
        </w:rPr>
        <w:t>76102</w:t>
      </w:r>
    </w:p>
    <w:p>
      <w:pPr>
        <w:spacing w:after="0" w:line="200" w:lineRule="exact"/>
        <w:rPr>
          <w:sz w:val="20"/>
          <w:szCs w:val="20"/>
          <w:color w:val="auto"/>
        </w:rPr>
      </w:pPr>
    </w:p>
    <w:p>
      <w:pPr>
        <w:spacing w:after="0" w:line="20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OHCP - Delaware</w:t>
      </w:r>
    </w:p>
    <w:p>
      <w:pPr>
        <w:ind w:left="2540"/>
        <w:spacing w:after="0" w:line="238" w:lineRule="auto"/>
        <w:rPr>
          <w:sz w:val="20"/>
          <w:szCs w:val="20"/>
          <w:color w:val="auto"/>
        </w:rPr>
      </w:pPr>
      <w:r>
        <w:rPr>
          <w:rFonts w:ascii="Courier New" w:cs="Courier New" w:eastAsia="Courier New" w:hAnsi="Courier New"/>
          <w:sz w:val="18"/>
          <w:szCs w:val="18"/>
          <w:color w:val="auto"/>
        </w:rPr>
        <w:t>OHCMP - Delaware</w:t>
      </w:r>
    </w:p>
    <w:p>
      <w:pPr>
        <w:ind w:left="2540"/>
        <w:spacing w:after="0"/>
        <w:rPr>
          <w:sz w:val="20"/>
          <w:szCs w:val="20"/>
          <w:color w:val="auto"/>
        </w:rPr>
      </w:pPr>
      <w:r>
        <w:rPr>
          <w:rFonts w:ascii="Courier New" w:cs="Courier New" w:eastAsia="Courier New" w:hAnsi="Courier New"/>
          <w:sz w:val="18"/>
          <w:szCs w:val="18"/>
          <w:color w:val="auto"/>
        </w:rPr>
        <w:t>OHCP GenPar - Delaware</w:t>
      </w:r>
    </w:p>
    <w:p>
      <w:pPr>
        <w:ind w:left="2540"/>
        <w:spacing w:after="0" w:line="237" w:lineRule="auto"/>
        <w:rPr>
          <w:sz w:val="20"/>
          <w:szCs w:val="20"/>
          <w:color w:val="auto"/>
        </w:rPr>
      </w:pPr>
      <w:r>
        <w:rPr>
          <w:rFonts w:ascii="Courier New" w:cs="Courier New" w:eastAsia="Courier New" w:hAnsi="Courier New"/>
          <w:sz w:val="18"/>
          <w:szCs w:val="18"/>
          <w:color w:val="auto"/>
        </w:rPr>
        <w:t>OHCP MGP - Delaware</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Common Stock, par value $0.001 per share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514"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CUSIP No. 302081 10 4</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302081 10 4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540" w:right="1879" w:hanging="2527"/>
        <w:spacing w:after="0" w:line="235" w:lineRule="auto"/>
        <w:tabs>
          <w:tab w:leader="none" w:pos="252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This Schedule 13G Statement is not being filed pursuant to Rule 13d-1(b) or Rule 13d-2(b) or (c).</w:t>
      </w:r>
    </w:p>
    <w:p>
      <w:pPr>
        <w:spacing w:after="0" w:line="20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OHCP</w:t>
      </w:r>
    </w:p>
    <w:p>
      <w:pPr>
        <w:spacing w:after="0" w:line="207" w:lineRule="exact"/>
        <w:rPr>
          <w:sz w:val="20"/>
          <w:szCs w:val="20"/>
          <w:color w:val="auto"/>
        </w:rPr>
      </w:pPr>
    </w:p>
    <w:p>
      <w:pPr>
        <w:jc w:val="both"/>
        <w:ind w:left="2540" w:right="1779"/>
        <w:spacing w:after="0" w:line="237" w:lineRule="auto"/>
        <w:rPr>
          <w:sz w:val="20"/>
          <w:szCs w:val="20"/>
          <w:color w:val="auto"/>
        </w:rPr>
      </w:pPr>
      <w:r>
        <w:rPr>
          <w:rFonts w:ascii="Courier New" w:cs="Courier New" w:eastAsia="Courier New" w:hAnsi="Courier New"/>
          <w:sz w:val="18"/>
          <w:szCs w:val="18"/>
          <w:color w:val="auto"/>
        </w:rPr>
        <w:t>OHCP beneficially owns an aggregate of 10,278,942 shares of Common Stock, which represents approximately 36.6% of the issued and outstanding shares of Common Stock. OHCP has the sole power to vote or direct the vote of 10,278,942 shares of Common Stock and the sole power to dispose or to direct the disposition of 10,278,942 shares of Common Stock.</w:t>
      </w: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OHCMP</w:t>
      </w:r>
    </w:p>
    <w:p>
      <w:pPr>
        <w:spacing w:after="0" w:line="207" w:lineRule="exact"/>
        <w:rPr>
          <w:sz w:val="20"/>
          <w:szCs w:val="20"/>
          <w:color w:val="auto"/>
        </w:rPr>
      </w:pPr>
    </w:p>
    <w:p>
      <w:pPr>
        <w:jc w:val="both"/>
        <w:ind w:left="2540" w:right="1779"/>
        <w:spacing w:after="0" w:line="237" w:lineRule="auto"/>
        <w:rPr>
          <w:sz w:val="20"/>
          <w:szCs w:val="20"/>
          <w:color w:val="auto"/>
        </w:rPr>
      </w:pPr>
      <w:r>
        <w:rPr>
          <w:rFonts w:ascii="Courier New" w:cs="Courier New" w:eastAsia="Courier New" w:hAnsi="Courier New"/>
          <w:sz w:val="18"/>
          <w:szCs w:val="18"/>
          <w:color w:val="auto"/>
        </w:rPr>
        <w:t>OHCMP beneficially owns an aggregate of 263,562 shares of Common Stock, which represents approximately 0.9% of the issued and outstanding shares of Common Stock. OHCMP has the sole power to vote or direct the vote of 263,562 shares of Common Stock and the sole power to dispose or to direct the disposition of 263,562 shares of Common Stock.</w:t>
      </w: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OHCP GenPar</w:t>
      </w:r>
    </w:p>
    <w:p>
      <w:pPr>
        <w:spacing w:after="0" w:line="207" w:lineRule="exact"/>
        <w:rPr>
          <w:sz w:val="20"/>
          <w:szCs w:val="20"/>
          <w:color w:val="auto"/>
        </w:rPr>
      </w:pPr>
    </w:p>
    <w:p>
      <w:pPr>
        <w:jc w:val="both"/>
        <w:ind w:left="2540" w:right="1779"/>
        <w:spacing w:after="0" w:line="237" w:lineRule="auto"/>
        <w:rPr>
          <w:sz w:val="20"/>
          <w:szCs w:val="20"/>
          <w:color w:val="auto"/>
        </w:rPr>
      </w:pPr>
      <w:r>
        <w:rPr>
          <w:rFonts w:ascii="Courier New" w:cs="Courier New" w:eastAsia="Courier New" w:hAnsi="Courier New"/>
          <w:sz w:val="18"/>
          <w:szCs w:val="18"/>
          <w:color w:val="auto"/>
        </w:rPr>
        <w:t>OHCP GenPar is the sole general partner of both OHCP and OHCMP. As the sole general partner of OHCP and OHCMP, OHCP GenPar beneficially owns an aggregate of 10,542,504 shares of Common Stock, which represents approximately 37.5% of the issued and outstanding shares of Common Stock. As the sole general partner of OHCP and OHCMP, OHCP GenPar has the sole power to vote or direct the vote of 10,542,504 shares of Common Stock and the sole power to dispose or to direct the disposition of 10,542,504 shares of Common Stock.</w:t>
      </w:r>
    </w:p>
    <w:p>
      <w:pPr>
        <w:spacing w:after="0" w:line="20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OHCP MGP</w:t>
      </w:r>
    </w:p>
    <w:p>
      <w:pPr>
        <w:spacing w:after="0" w:line="207" w:lineRule="exact"/>
        <w:rPr>
          <w:sz w:val="20"/>
          <w:szCs w:val="20"/>
          <w:color w:val="auto"/>
        </w:rPr>
      </w:pPr>
    </w:p>
    <w:p>
      <w:pPr>
        <w:jc w:val="both"/>
        <w:ind w:left="2540" w:right="1779"/>
        <w:spacing w:after="0" w:line="273" w:lineRule="auto"/>
        <w:rPr>
          <w:sz w:val="20"/>
          <w:szCs w:val="20"/>
          <w:color w:val="auto"/>
        </w:rPr>
      </w:pPr>
      <w:r>
        <w:rPr>
          <w:rFonts w:ascii="Courier New" w:cs="Courier New" w:eastAsia="Courier New" w:hAnsi="Courier New"/>
          <w:sz w:val="16"/>
          <w:szCs w:val="16"/>
          <w:color w:val="auto"/>
        </w:rPr>
        <w:t>OHCP MGP is the sole general partner of OHCP GenPar. As the sole general partner of OHCP GenPar, OHCP MGP may be deemed to beneficially own an aggregate of 10,542,504 shares of Common Stock, which represents approximately 37.5% of the issued and outstanding shares of Common</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514"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CUSIP No. 302081 10 4</w:t>
      </w:r>
    </w:p>
    <w:p>
      <w:pPr>
        <w:spacing w:after="0" w:line="200" w:lineRule="exact"/>
        <w:rPr>
          <w:sz w:val="20"/>
          <w:szCs w:val="20"/>
          <w:color w:val="auto"/>
        </w:rPr>
      </w:pPr>
    </w:p>
    <w:p>
      <w:pPr>
        <w:spacing w:after="0" w:line="209" w:lineRule="exact"/>
        <w:rPr>
          <w:sz w:val="20"/>
          <w:szCs w:val="20"/>
          <w:color w:val="auto"/>
        </w:rPr>
      </w:pPr>
    </w:p>
    <w:p>
      <w:pPr>
        <w:jc w:val="both"/>
        <w:ind w:left="2540" w:right="1779"/>
        <w:spacing w:after="0" w:line="237" w:lineRule="auto"/>
        <w:rPr>
          <w:sz w:val="20"/>
          <w:szCs w:val="20"/>
          <w:color w:val="auto"/>
        </w:rPr>
      </w:pPr>
      <w:r>
        <w:rPr>
          <w:rFonts w:ascii="Courier New" w:cs="Courier New" w:eastAsia="Courier New" w:hAnsi="Courier New"/>
          <w:sz w:val="18"/>
          <w:szCs w:val="18"/>
          <w:color w:val="auto"/>
        </w:rPr>
        <w:t>Stock. As the sole general partner of OHCP GenPar, OHCP MGP may be deemed to have the sole power to vote or direct the vote of 10,542,504 shares of Common Stock and the sole power to dispose or to direct the disposition of 10,542,504 shares of Common Stock.</w:t>
      </w:r>
    </w:p>
    <w:p>
      <w:pPr>
        <w:sectPr>
          <w:pgSz w:w="11900" w:h="16838" w:orient="portrait"/>
          <w:cols w:equalWidth="0" w:num="1">
            <w:col w:w="10219"/>
          </w:cols>
          <w:pgMar w:left="240" w:top="514"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 of Five Percent or Less of a Class</w:t>
      </w:r>
    </w:p>
    <w:p>
      <w:pPr>
        <w:spacing w:after="0" w:line="200" w:lineRule="exact"/>
        <w:rPr>
          <w:sz w:val="20"/>
          <w:szCs w:val="20"/>
          <w:color w:val="auto"/>
        </w:rPr>
      </w:pPr>
    </w:p>
    <w:p>
      <w:pPr>
        <w:sectPr>
          <w:pgSz w:w="11900" w:h="16838" w:orient="portrait"/>
          <w:cols w:equalWidth="0" w:num="2">
            <w:col w:w="980" w:space="720"/>
            <w:col w:w="8519"/>
          </w:cols>
          <w:pgMar w:left="240" w:top="514" w:right="1440" w:bottom="144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514"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 of More than Five Percent on Behalf of Another Person.</w:t>
      </w:r>
    </w:p>
    <w:p>
      <w:pPr>
        <w:spacing w:after="0" w:line="200" w:lineRule="exact"/>
        <w:rPr>
          <w:sz w:val="20"/>
          <w:szCs w:val="20"/>
          <w:color w:val="auto"/>
        </w:rPr>
      </w:pPr>
    </w:p>
    <w:p>
      <w:pPr>
        <w:sectPr>
          <w:pgSz w:w="11900" w:h="16838" w:orient="portrait"/>
          <w:cols w:equalWidth="0" w:num="2">
            <w:col w:w="980" w:space="720"/>
            <w:col w:w="8519"/>
          </w:cols>
          <w:pgMar w:left="240" w:top="514" w:right="1440" w:bottom="144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514"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00" w:lineRule="exact"/>
        <w:rPr>
          <w:sz w:val="20"/>
          <w:szCs w:val="20"/>
          <w:color w:val="auto"/>
        </w:rPr>
      </w:pPr>
    </w:p>
    <w:p>
      <w:pPr>
        <w:sectPr>
          <w:pgSz w:w="11900" w:h="16838" w:orient="portrait"/>
          <w:cols w:equalWidth="0" w:num="2">
            <w:col w:w="980" w:space="720"/>
            <w:col w:w="8519"/>
          </w:cols>
          <w:pgMar w:left="240" w:top="514" w:right="1440" w:bottom="1440" w:gutter="0" w:footer="0" w:header="0"/>
          <w:type w:val="continuous"/>
        </w:sectPr>
      </w:pPr>
    </w:p>
    <w:p>
      <w:pPr>
        <w:spacing w:after="0" w:line="9"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514"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980" w:space="720"/>
            <w:col w:w="8519"/>
          </w:cols>
          <w:pgMar w:left="240" w:top="514" w:right="1440" w:bottom="144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514"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980" w:space="720"/>
            <w:col w:w="8519"/>
          </w:cols>
          <w:pgMar w:left="240" w:top="514" w:right="1440" w:bottom="144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514"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Certifictions</w:t>
      </w:r>
    </w:p>
    <w:p>
      <w:pPr>
        <w:spacing w:after="0" w:line="200" w:lineRule="exact"/>
        <w:rPr>
          <w:sz w:val="20"/>
          <w:szCs w:val="20"/>
          <w:color w:val="auto"/>
        </w:rPr>
      </w:pPr>
    </w:p>
    <w:p>
      <w:pPr>
        <w:sectPr>
          <w:pgSz w:w="11900" w:h="16838" w:orient="portrait"/>
          <w:cols w:equalWidth="0" w:num="2">
            <w:col w:w="980" w:space="720"/>
            <w:col w:w="8519"/>
          </w:cols>
          <w:pgMar w:left="240" w:top="514" w:right="1440" w:bottom="1440" w:gutter="0" w:footer="0" w:header="0"/>
          <w:type w:val="continuous"/>
        </w:sectPr>
      </w:pPr>
    </w:p>
    <w:p>
      <w:pPr>
        <w:spacing w:after="0" w:line="18"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514" w:right="1440" w:bottom="1440" w:gutter="0" w:footer="0" w:header="0"/>
          <w:type w:val="continuous"/>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CUSIP No. 302081 10 4</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879" w:firstLine="1685"/>
        <w:spacing w:after="0" w:line="236" w:lineRule="auto"/>
        <w:rPr>
          <w:sz w:val="20"/>
          <w:szCs w:val="20"/>
          <w:color w:val="auto"/>
        </w:rPr>
      </w:pPr>
      <w:r>
        <w:rPr>
          <w:rFonts w:ascii="Courier New" w:cs="Courier New" w:eastAsia="Courier New" w:hAnsi="Courier New"/>
          <w:sz w:val="18"/>
          <w:szCs w:val="18"/>
          <w:color w:val="auto"/>
        </w:rPr>
        <w:t>After reasonable inquiry and to the best of our knowledge and belief, we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30, 2007</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OAK HILL CAPITAL PARTNERS, L.P.</w:t>
      </w:r>
    </w:p>
    <w:p>
      <w:pPr>
        <w:spacing w:after="0" w:line="201" w:lineRule="exact"/>
        <w:rPr>
          <w:sz w:val="20"/>
          <w:szCs w:val="20"/>
          <w:color w:val="auto"/>
        </w:rPr>
      </w:pPr>
    </w:p>
    <w:p>
      <w:pPr>
        <w:ind w:left="3280"/>
        <w:spacing w:after="0"/>
        <w:tabs>
          <w:tab w:leader="none" w:pos="3780" w:val="left"/>
        </w:tabs>
        <w:rPr>
          <w:sz w:val="20"/>
          <w:szCs w:val="20"/>
          <w:color w:val="auto"/>
        </w:rPr>
      </w:pPr>
      <w:r>
        <w:rPr>
          <w:rFonts w:ascii="Courier New" w:cs="Courier New" w:eastAsia="Courier New" w:hAnsi="Courier New"/>
          <w:sz w:val="18"/>
          <w:szCs w:val="18"/>
          <w:color w:val="auto"/>
        </w:rPr>
        <w:t>By:</w:t>
        <w:tab/>
        <w:t>OHCP GenPar, L.P. its General Partner</w:t>
      </w:r>
    </w:p>
    <w:p>
      <w:pPr>
        <w:spacing w:after="0" w:line="201" w:lineRule="exact"/>
        <w:rPr>
          <w:sz w:val="20"/>
          <w:szCs w:val="20"/>
          <w:color w:val="auto"/>
        </w:rPr>
      </w:pPr>
    </w:p>
    <w:p>
      <w:pPr>
        <w:ind w:left="3800"/>
        <w:spacing w:after="0"/>
        <w:tabs>
          <w:tab w:leader="none" w:pos="4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OHCP MGP, LLC</w:t>
      </w:r>
    </w:p>
    <w:p>
      <w:pPr>
        <w:ind w:left="432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2" w:lineRule="exact"/>
        <w:rPr>
          <w:sz w:val="20"/>
          <w:szCs w:val="20"/>
          <w:color w:val="auto"/>
        </w:rPr>
      </w:pPr>
    </w:p>
    <w:p>
      <w:pPr>
        <w:jc w:val="center"/>
        <w:ind w:right="199"/>
        <w:spacing w:after="0"/>
        <w:tabs>
          <w:tab w:leader="none" w:pos="1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John R. Monsky</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tabs>
          <w:tab w:leader="none" w:pos="5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John R. Monsky</w:t>
      </w:r>
    </w:p>
    <w:p>
      <w:pPr>
        <w:ind w:left="4320"/>
        <w:spacing w:after="0" w:line="237"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OAK HILL CAPITAL MANAGEMENT PARTNERS, L.P.</w:t>
      </w:r>
    </w:p>
    <w:p>
      <w:pPr>
        <w:spacing w:after="0" w:line="201" w:lineRule="exact"/>
        <w:rPr>
          <w:sz w:val="20"/>
          <w:szCs w:val="20"/>
          <w:color w:val="auto"/>
        </w:rPr>
      </w:pPr>
    </w:p>
    <w:p>
      <w:pPr>
        <w:ind w:left="3280"/>
        <w:spacing w:after="0"/>
        <w:tabs>
          <w:tab w:leader="none" w:pos="3780" w:val="left"/>
        </w:tabs>
        <w:rPr>
          <w:sz w:val="20"/>
          <w:szCs w:val="20"/>
          <w:color w:val="auto"/>
        </w:rPr>
      </w:pPr>
      <w:r>
        <w:rPr>
          <w:rFonts w:ascii="Courier New" w:cs="Courier New" w:eastAsia="Courier New" w:hAnsi="Courier New"/>
          <w:sz w:val="18"/>
          <w:szCs w:val="18"/>
          <w:color w:val="auto"/>
        </w:rPr>
        <w:t>By:</w:t>
        <w:tab/>
        <w:t>OHCP GenPar, L.P. its General Partner</w:t>
      </w:r>
    </w:p>
    <w:p>
      <w:pPr>
        <w:spacing w:after="0" w:line="201" w:lineRule="exact"/>
        <w:rPr>
          <w:sz w:val="20"/>
          <w:szCs w:val="20"/>
          <w:color w:val="auto"/>
        </w:rPr>
      </w:pPr>
    </w:p>
    <w:p>
      <w:pPr>
        <w:ind w:left="3800"/>
        <w:spacing w:after="0"/>
        <w:tabs>
          <w:tab w:leader="none" w:pos="4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OHCP MGP, LLC</w:t>
      </w:r>
    </w:p>
    <w:p>
      <w:pPr>
        <w:ind w:left="432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0" w:lineRule="exact"/>
        <w:rPr>
          <w:sz w:val="20"/>
          <w:szCs w:val="20"/>
          <w:color w:val="auto"/>
        </w:rPr>
      </w:pPr>
    </w:p>
    <w:p>
      <w:pPr>
        <w:spacing w:after="0" w:line="204" w:lineRule="exact"/>
        <w:rPr>
          <w:sz w:val="20"/>
          <w:szCs w:val="20"/>
          <w:color w:val="auto"/>
        </w:rPr>
      </w:pPr>
    </w:p>
    <w:p>
      <w:pPr>
        <w:jc w:val="center"/>
        <w:ind w:right="199"/>
        <w:spacing w:after="0"/>
        <w:tabs>
          <w:tab w:leader="none" w:pos="1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John R. Monsky</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tabs>
          <w:tab w:leader="none" w:pos="5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John R. Monsky</w:t>
      </w:r>
    </w:p>
    <w:p>
      <w:pPr>
        <w:ind w:left="4320"/>
        <w:spacing w:after="0" w:line="237"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OHCP GENPAR, L.P.</w:t>
      </w:r>
    </w:p>
    <w:p>
      <w:pPr>
        <w:spacing w:after="0" w:line="201" w:lineRule="exact"/>
        <w:rPr>
          <w:sz w:val="20"/>
          <w:szCs w:val="20"/>
          <w:color w:val="auto"/>
        </w:rPr>
      </w:pPr>
    </w:p>
    <w:p>
      <w:pPr>
        <w:jc w:val="center"/>
        <w:ind w:right="-1400"/>
        <w:spacing w:after="0"/>
        <w:tabs>
          <w:tab w:leader="none" w:pos="200" w:val="left"/>
        </w:tabs>
        <w:rPr>
          <w:sz w:val="20"/>
          <w:szCs w:val="20"/>
          <w:color w:val="auto"/>
        </w:rPr>
      </w:pPr>
      <w:r>
        <w:rPr>
          <w:rFonts w:ascii="Courier New" w:cs="Courier New" w:eastAsia="Courier New" w:hAnsi="Courier New"/>
          <w:sz w:val="18"/>
          <w:szCs w:val="18"/>
          <w:color w:val="auto"/>
        </w:rPr>
        <w:t>By:</w:t>
        <w:tab/>
        <w:t>OHCP MGP, LLC its General Partner</w:t>
      </w:r>
    </w:p>
    <w:p>
      <w:pPr>
        <w:spacing w:after="0" w:line="200" w:lineRule="exact"/>
        <w:rPr>
          <w:sz w:val="20"/>
          <w:szCs w:val="20"/>
          <w:color w:val="auto"/>
        </w:rPr>
      </w:pPr>
    </w:p>
    <w:p>
      <w:pPr>
        <w:spacing w:after="0" w:line="204" w:lineRule="exact"/>
        <w:rPr>
          <w:sz w:val="20"/>
          <w:szCs w:val="20"/>
          <w:color w:val="auto"/>
        </w:rPr>
      </w:pPr>
    </w:p>
    <w:p>
      <w:pPr>
        <w:jc w:val="center"/>
        <w:ind w:right="199"/>
        <w:spacing w:after="0"/>
        <w:tabs>
          <w:tab w:leader="none" w:pos="1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John R. Monsky</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tabs>
          <w:tab w:leader="none" w:pos="5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John R. Monsky</w:t>
      </w:r>
    </w:p>
    <w:p>
      <w:pPr>
        <w:ind w:left="4320"/>
        <w:spacing w:after="0" w:line="237"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OHCP MGP, LLC</w:t>
      </w:r>
    </w:p>
    <w:p>
      <w:pPr>
        <w:spacing w:after="0" w:line="200" w:lineRule="exact"/>
        <w:rPr>
          <w:sz w:val="20"/>
          <w:szCs w:val="20"/>
          <w:color w:val="auto"/>
        </w:rPr>
      </w:pPr>
    </w:p>
    <w:p>
      <w:pPr>
        <w:spacing w:after="0" w:line="204" w:lineRule="exact"/>
        <w:rPr>
          <w:sz w:val="20"/>
          <w:szCs w:val="20"/>
          <w:color w:val="auto"/>
        </w:rPr>
      </w:pPr>
    </w:p>
    <w:p>
      <w:pPr>
        <w:jc w:val="center"/>
        <w:ind w:right="199"/>
        <w:spacing w:after="0"/>
        <w:tabs>
          <w:tab w:leader="none" w:pos="1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John R. Monsky</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tabs>
          <w:tab w:leader="none" w:pos="5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John R. Monsky</w:t>
      </w:r>
    </w:p>
    <w:p>
      <w:pPr>
        <w:ind w:left="4320"/>
        <w:spacing w:after="0" w:line="237" w:lineRule="auto"/>
        <w:rPr>
          <w:sz w:val="20"/>
          <w:szCs w:val="20"/>
          <w:color w:val="auto"/>
        </w:rPr>
      </w:pPr>
      <w:r>
        <w:rPr>
          <w:rFonts w:ascii="Courier New" w:cs="Courier New" w:eastAsia="Courier New" w:hAnsi="Courier New"/>
          <w:sz w:val="18"/>
          <w:szCs w:val="18"/>
          <w:color w:val="auto"/>
        </w:rPr>
        <w:t>Title: Vice President</w:t>
      </w:r>
    </w:p>
    <w:p>
      <w:pPr>
        <w:sectPr>
          <w:pgSz w:w="11900" w:h="16838" w:orient="portrait"/>
          <w:cols w:equalWidth="0" w:num="1">
            <w:col w:w="10219"/>
          </w:cols>
          <w:pgMar w:left="240" w:top="514" w:right="1440" w:bottom="1440" w:gutter="0" w:footer="0" w:header="0"/>
        </w:sectPr>
      </w:pPr>
    </w:p>
    <w:bookmarkStart w:id="9" w:name="page10"/>
    <w:bookmarkEnd w:id="9"/>
    <w:p>
      <w:pPr>
        <w:jc w:val="right"/>
        <w:ind w:right="1879"/>
        <w:spacing w:after="0"/>
        <w:rPr>
          <w:sz w:val="20"/>
          <w:szCs w:val="20"/>
          <w:color w:val="auto"/>
        </w:rPr>
      </w:pPr>
      <w:r>
        <w:rPr>
          <w:rFonts w:ascii="Courier New" w:cs="Courier New" w:eastAsia="Courier New" w:hAnsi="Courier New"/>
          <w:sz w:val="18"/>
          <w:szCs w:val="18"/>
          <w:color w:val="auto"/>
        </w:rPr>
        <w:t>EXHIBIT 99.1</w:t>
      </w:r>
    </w:p>
    <w:p>
      <w:pPr>
        <w:spacing w:after="0" w:line="4" w:lineRule="exact"/>
        <w:rPr>
          <w:sz w:val="20"/>
          <w:szCs w:val="20"/>
          <w:color w:val="auto"/>
        </w:rPr>
      </w:pPr>
    </w:p>
    <w:p>
      <w:pPr>
        <w:ind w:left="70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999" w:firstLine="843"/>
        <w:spacing w:after="0" w:line="237" w:lineRule="auto"/>
        <w:rPr>
          <w:sz w:val="20"/>
          <w:szCs w:val="20"/>
          <w:color w:val="auto"/>
        </w:rPr>
      </w:pPr>
      <w:r>
        <w:rPr>
          <w:rFonts w:ascii="Courier New" w:cs="Courier New" w:eastAsia="Courier New" w:hAnsi="Courier New"/>
          <w:sz w:val="18"/>
          <w:szCs w:val="18"/>
          <w:color w:val="auto"/>
        </w:rPr>
        <w:t>In accordance with Rule 13d-1(k) under the Securities Exchange Act of 1934, as amended, the undersigned agree to the joint filing on behalf of each of them of a statement on Schedule 13G (including amendments thereto) with respect to the Common Stock, par value $0.001 per share, of ExlService Holdings, Inc.</w:t>
      </w:r>
    </w:p>
    <w:p>
      <w:pPr>
        <w:spacing w:after="0" w:line="209" w:lineRule="exact"/>
        <w:rPr>
          <w:sz w:val="20"/>
          <w:szCs w:val="20"/>
          <w:color w:val="auto"/>
        </w:rPr>
      </w:pPr>
    </w:p>
    <w:p>
      <w:pPr>
        <w:jc w:val="both"/>
        <w:ind w:right="1999" w:firstLine="843"/>
        <w:spacing w:after="0" w:line="237" w:lineRule="auto"/>
        <w:rPr>
          <w:sz w:val="20"/>
          <w:szCs w:val="20"/>
          <w:color w:val="auto"/>
        </w:rPr>
      </w:pPr>
      <w:r>
        <w:rPr>
          <w:rFonts w:ascii="Courier New" w:cs="Courier New" w:eastAsia="Courier New" w:hAnsi="Courier New"/>
          <w:sz w:val="18"/>
          <w:szCs w:val="18"/>
          <w:color w:val="auto"/>
        </w:rPr>
        <w:t>The undersigned further agree that each party hereto is responsible for the timely filing of such Schedule 13G and any amendments thereto, and for the completeness and accuracy of the information concerning such party contained therein; provided, however, that no party is responsible for the completeness or accuracy of the information concerning any other party making the filing, unless such party knows or has reason to believe that such information is inaccurate.</w:t>
      </w:r>
    </w:p>
    <w:p>
      <w:pPr>
        <w:spacing w:after="0" w:line="211" w:lineRule="exact"/>
        <w:rPr>
          <w:sz w:val="20"/>
          <w:szCs w:val="20"/>
          <w:color w:val="auto"/>
        </w:rPr>
      </w:pPr>
    </w:p>
    <w:p>
      <w:pPr>
        <w:jc w:val="both"/>
        <w:ind w:right="1999" w:firstLine="843"/>
        <w:spacing w:after="0" w:line="235" w:lineRule="auto"/>
        <w:rPr>
          <w:sz w:val="20"/>
          <w:szCs w:val="20"/>
          <w:color w:val="auto"/>
        </w:rPr>
      </w:pPr>
      <w:r>
        <w:rPr>
          <w:rFonts w:ascii="Courier New" w:cs="Courier New" w:eastAsia="Courier New" w:hAnsi="Courier New"/>
          <w:sz w:val="18"/>
          <w:szCs w:val="18"/>
          <w:color w:val="auto"/>
        </w:rPr>
        <w:t>IN WITNESS WHEREOF, the parties have executed this Joint Filing Agreement on January 30, 2007.</w:t>
      </w:r>
    </w:p>
    <w:p>
      <w:pPr>
        <w:spacing w:after="0" w:line="200" w:lineRule="exact"/>
        <w:rPr>
          <w:sz w:val="20"/>
          <w:szCs w:val="20"/>
          <w:color w:val="auto"/>
        </w:rPr>
      </w:pPr>
    </w:p>
    <w:p>
      <w:pPr>
        <w:spacing w:after="0" w:line="20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OAK HILL CAPITAL PARTNERS, L.P.</w:t>
      </w:r>
    </w:p>
    <w:p>
      <w:pPr>
        <w:spacing w:after="0" w:line="201" w:lineRule="exact"/>
        <w:rPr>
          <w:sz w:val="20"/>
          <w:szCs w:val="20"/>
          <w:color w:val="auto"/>
        </w:rPr>
      </w:pPr>
    </w:p>
    <w:p>
      <w:pPr>
        <w:ind w:left="3280"/>
        <w:spacing w:after="0"/>
        <w:tabs>
          <w:tab w:leader="none" w:pos="3780" w:val="left"/>
        </w:tabs>
        <w:rPr>
          <w:sz w:val="20"/>
          <w:szCs w:val="20"/>
          <w:color w:val="auto"/>
        </w:rPr>
      </w:pPr>
      <w:r>
        <w:rPr>
          <w:rFonts w:ascii="Courier New" w:cs="Courier New" w:eastAsia="Courier New" w:hAnsi="Courier New"/>
          <w:sz w:val="18"/>
          <w:szCs w:val="18"/>
          <w:color w:val="auto"/>
        </w:rPr>
        <w:t>By:</w:t>
        <w:tab/>
        <w:t>OHCP GenPar, L.P. its General Partner</w:t>
      </w:r>
    </w:p>
    <w:p>
      <w:pPr>
        <w:spacing w:after="0" w:line="201" w:lineRule="exact"/>
        <w:rPr>
          <w:sz w:val="20"/>
          <w:szCs w:val="20"/>
          <w:color w:val="auto"/>
        </w:rPr>
      </w:pPr>
    </w:p>
    <w:p>
      <w:pPr>
        <w:ind w:left="3800"/>
        <w:spacing w:after="0"/>
        <w:tabs>
          <w:tab w:leader="none" w:pos="4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OHCP MGP, LLC</w:t>
      </w:r>
    </w:p>
    <w:p>
      <w:pPr>
        <w:ind w:left="432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2" w:lineRule="exact"/>
        <w:rPr>
          <w:sz w:val="20"/>
          <w:szCs w:val="20"/>
          <w:color w:val="auto"/>
        </w:rPr>
      </w:pPr>
    </w:p>
    <w:p>
      <w:pPr>
        <w:jc w:val="center"/>
        <w:ind w:right="199"/>
        <w:spacing w:after="0"/>
        <w:tabs>
          <w:tab w:leader="none" w:pos="1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John R. Monsky</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tabs>
          <w:tab w:leader="none" w:pos="5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John R. Monsky</w:t>
      </w:r>
    </w:p>
    <w:p>
      <w:pPr>
        <w:ind w:left="4320"/>
        <w:spacing w:after="0" w:line="237"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OAK HILL CAPITAL MANAGEMENT PARTNERS, L.P.</w:t>
      </w:r>
    </w:p>
    <w:p>
      <w:pPr>
        <w:spacing w:after="0" w:line="201" w:lineRule="exact"/>
        <w:rPr>
          <w:sz w:val="20"/>
          <w:szCs w:val="20"/>
          <w:color w:val="auto"/>
        </w:rPr>
      </w:pPr>
    </w:p>
    <w:p>
      <w:pPr>
        <w:ind w:left="3280"/>
        <w:spacing w:after="0"/>
        <w:tabs>
          <w:tab w:leader="none" w:pos="3780" w:val="left"/>
        </w:tabs>
        <w:rPr>
          <w:sz w:val="20"/>
          <w:szCs w:val="20"/>
          <w:color w:val="auto"/>
        </w:rPr>
      </w:pPr>
      <w:r>
        <w:rPr>
          <w:rFonts w:ascii="Courier New" w:cs="Courier New" w:eastAsia="Courier New" w:hAnsi="Courier New"/>
          <w:sz w:val="18"/>
          <w:szCs w:val="18"/>
          <w:color w:val="auto"/>
        </w:rPr>
        <w:t>By:</w:t>
        <w:tab/>
        <w:t>OHCP GenPar, L.P. its General Partner</w:t>
      </w:r>
    </w:p>
    <w:p>
      <w:pPr>
        <w:spacing w:after="0" w:line="201" w:lineRule="exact"/>
        <w:rPr>
          <w:sz w:val="20"/>
          <w:szCs w:val="20"/>
          <w:color w:val="auto"/>
        </w:rPr>
      </w:pPr>
    </w:p>
    <w:p>
      <w:pPr>
        <w:ind w:left="3800"/>
        <w:spacing w:after="0"/>
        <w:tabs>
          <w:tab w:leader="none" w:pos="4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OHCP MGP, LLC</w:t>
      </w:r>
    </w:p>
    <w:p>
      <w:pPr>
        <w:ind w:left="432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0" w:lineRule="exact"/>
        <w:rPr>
          <w:sz w:val="20"/>
          <w:szCs w:val="20"/>
          <w:color w:val="auto"/>
        </w:rPr>
      </w:pPr>
    </w:p>
    <w:p>
      <w:pPr>
        <w:spacing w:after="0" w:line="204" w:lineRule="exact"/>
        <w:rPr>
          <w:sz w:val="20"/>
          <w:szCs w:val="20"/>
          <w:color w:val="auto"/>
        </w:rPr>
      </w:pPr>
    </w:p>
    <w:p>
      <w:pPr>
        <w:jc w:val="center"/>
        <w:ind w:right="199"/>
        <w:spacing w:after="0"/>
        <w:tabs>
          <w:tab w:leader="none" w:pos="1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John R. Monsky</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tabs>
          <w:tab w:leader="none" w:pos="5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John R. Monsky</w:t>
      </w:r>
    </w:p>
    <w:p>
      <w:pPr>
        <w:ind w:left="4320"/>
        <w:spacing w:after="0" w:line="237"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OHCP GENPAR, L.P.</w:t>
      </w:r>
    </w:p>
    <w:p>
      <w:pPr>
        <w:spacing w:after="0" w:line="201" w:lineRule="exact"/>
        <w:rPr>
          <w:sz w:val="20"/>
          <w:szCs w:val="20"/>
          <w:color w:val="auto"/>
        </w:rPr>
      </w:pPr>
    </w:p>
    <w:p>
      <w:pPr>
        <w:jc w:val="center"/>
        <w:ind w:right="-1400"/>
        <w:spacing w:after="0"/>
        <w:tabs>
          <w:tab w:leader="none" w:pos="200" w:val="left"/>
        </w:tabs>
        <w:rPr>
          <w:sz w:val="20"/>
          <w:szCs w:val="20"/>
          <w:color w:val="auto"/>
        </w:rPr>
      </w:pPr>
      <w:r>
        <w:rPr>
          <w:rFonts w:ascii="Courier New" w:cs="Courier New" w:eastAsia="Courier New" w:hAnsi="Courier New"/>
          <w:sz w:val="18"/>
          <w:szCs w:val="18"/>
          <w:color w:val="auto"/>
        </w:rPr>
        <w:t>By:</w:t>
        <w:tab/>
        <w:t>OHCP MGP, LLC its General Partner</w:t>
      </w:r>
    </w:p>
    <w:p>
      <w:pPr>
        <w:spacing w:after="0" w:line="200" w:lineRule="exact"/>
        <w:rPr>
          <w:sz w:val="20"/>
          <w:szCs w:val="20"/>
          <w:color w:val="auto"/>
        </w:rPr>
      </w:pPr>
    </w:p>
    <w:p>
      <w:pPr>
        <w:spacing w:after="0" w:line="204" w:lineRule="exact"/>
        <w:rPr>
          <w:sz w:val="20"/>
          <w:szCs w:val="20"/>
          <w:color w:val="auto"/>
        </w:rPr>
      </w:pPr>
    </w:p>
    <w:p>
      <w:pPr>
        <w:jc w:val="center"/>
        <w:ind w:right="199"/>
        <w:spacing w:after="0"/>
        <w:tabs>
          <w:tab w:leader="none" w:pos="1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John R. Monsky</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tabs>
          <w:tab w:leader="none" w:pos="5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John R. Monsky</w:t>
      </w:r>
    </w:p>
    <w:p>
      <w:pPr>
        <w:ind w:left="4320"/>
        <w:spacing w:after="0" w:line="237"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OHCP MGP, LLC</w:t>
      </w:r>
    </w:p>
    <w:p>
      <w:pPr>
        <w:spacing w:after="0" w:line="200" w:lineRule="exact"/>
        <w:rPr>
          <w:sz w:val="20"/>
          <w:szCs w:val="20"/>
          <w:color w:val="auto"/>
        </w:rPr>
      </w:pPr>
    </w:p>
    <w:p>
      <w:pPr>
        <w:spacing w:after="0" w:line="204" w:lineRule="exact"/>
        <w:rPr>
          <w:sz w:val="20"/>
          <w:szCs w:val="20"/>
          <w:color w:val="auto"/>
        </w:rPr>
      </w:pPr>
    </w:p>
    <w:p>
      <w:pPr>
        <w:jc w:val="center"/>
        <w:ind w:right="199"/>
        <w:spacing w:after="0"/>
        <w:tabs>
          <w:tab w:leader="none" w:pos="1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John R. Monsky</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tabs>
          <w:tab w:leader="none" w:pos="5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John R. Monsky</w:t>
      </w:r>
    </w:p>
    <w:p>
      <w:pPr>
        <w:ind w:left="4320"/>
        <w:spacing w:after="0" w:line="237" w:lineRule="auto"/>
        <w:rPr>
          <w:sz w:val="20"/>
          <w:szCs w:val="20"/>
          <w:color w:val="auto"/>
        </w:rPr>
      </w:pPr>
      <w:r>
        <w:rPr>
          <w:rFonts w:ascii="Courier New" w:cs="Courier New" w:eastAsia="Courier New" w:hAnsi="Courier New"/>
          <w:sz w:val="18"/>
          <w:szCs w:val="18"/>
          <w:color w:val="auto"/>
        </w:rPr>
        <w:t>Title: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lvl w:ilvl="1">
      <w:lvlJc w:val="left"/>
      <w:lvlText w:val="[%2]"/>
      <w:numFmt w:val="upperLetter"/>
      <w:start w:val="24"/>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1."/>
      <w:numFmt w:val="decimal"/>
      <w:start w:val="3"/>
    </w:lvl>
  </w:abstractNum>
  <w:abstractNum w:abstractNumId="4">
    <w:nsid w:val="2D1D5AE9"/>
    <w:multiLevelType w:val="hybridMultilevel"/>
    <w:lvl w:ilvl="0">
      <w:lvlJc w:val="left"/>
      <w:lvlText w:val="%1."/>
      <w:numFmt w:val="decimal"/>
      <w:start w:val="4"/>
    </w:lvl>
  </w:abstractNum>
  <w:abstractNum w:abstractNumId="5">
    <w:nsid w:val="6763845E"/>
    <w:multiLevelType w:val="hybridMultilevel"/>
    <w:lvl w:ilvl="0">
      <w:lvlJc w:val="left"/>
      <w:lvlText w:val="-"/>
      <w:numFmt w:val="bullet"/>
      <w:start w:val="1"/>
    </w:lvl>
    <w:lvl w:ilvl="1">
      <w:lvlJc w:val="left"/>
      <w:lvlText w:val="%2."/>
      <w:numFmt w:val="decimal"/>
      <w:start w:val="5"/>
    </w:lvl>
  </w:abstractNum>
  <w:abstractNum w:abstractNumId="6">
    <w:nsid w:val="75A2A8D4"/>
    <w:multiLevelType w:val="hybridMultilevel"/>
    <w:lvl w:ilvl="0">
      <w:lvlJc w:val="left"/>
      <w:lvlText w:val="%1."/>
      <w:numFmt w:val="decimal"/>
      <w:start w:val="9"/>
    </w:lvl>
  </w:abstractNum>
  <w:abstractNum w:abstractNumId="7">
    <w:nsid w:val="8EDBDAB"/>
    <w:multiLevelType w:val="hybridMultilevel"/>
    <w:lvl w:ilvl="0">
      <w:lvlJc w:val="left"/>
      <w:lvlText w:val="%1."/>
      <w:numFmt w:val="decimal"/>
      <w:start w:val="10"/>
    </w:lvl>
  </w:abstractNum>
  <w:abstractNum w:abstractNumId="8">
    <w:nsid w:val="79838CB2"/>
    <w:multiLevelType w:val="hybridMultilevel"/>
    <w:lvl w:ilvl="0">
      <w:lvlJc w:val="left"/>
      <w:lvlText w:val="%1."/>
      <w:numFmt w:val="decimal"/>
      <w:start w:val="11"/>
    </w:lvl>
  </w:abstractNum>
  <w:abstractNum w:abstractNumId="9">
    <w:nsid w:val="4353D0CD"/>
    <w:multiLevelType w:val="hybridMultilevel"/>
    <w:lvl w:ilvl="0">
      <w:lvlJc w:val="left"/>
      <w:lvlText w:val="%1."/>
      <w:numFmt w:val="decimal"/>
      <w:start w:val="12"/>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1."/>
      <w:numFmt w:val="decimal"/>
      <w:start w:val="3"/>
    </w:lvl>
  </w:abstractNum>
  <w:abstractNum w:abstractNumId="14">
    <w:nsid w:val="2CA88611"/>
    <w:multiLevelType w:val="hybridMultilevel"/>
    <w:lvl w:ilvl="0">
      <w:lvlJc w:val="left"/>
      <w:lvlText w:val="%1."/>
      <w:numFmt w:val="decimal"/>
      <w:start w:val="4"/>
    </w:lvl>
  </w:abstractNum>
  <w:abstractNum w:abstractNumId="15">
    <w:nsid w:val="836C40E"/>
    <w:multiLevelType w:val="hybridMultilevel"/>
    <w:lvl w:ilvl="0">
      <w:lvlJc w:val="left"/>
      <w:lvlText w:val="-"/>
      <w:numFmt w:val="bullet"/>
      <w:start w:val="1"/>
    </w:lvl>
    <w:lvl w:ilvl="1">
      <w:lvlJc w:val="left"/>
      <w:lvlText w:val="%2."/>
      <w:numFmt w:val="decimal"/>
      <w:start w:val="5"/>
    </w:lvl>
  </w:abstractNum>
  <w:abstractNum w:abstractNumId="16">
    <w:nsid w:val="2901D82"/>
    <w:multiLevelType w:val="hybridMultilevel"/>
    <w:lvl w:ilvl="0">
      <w:lvlJc w:val="left"/>
      <w:lvlText w:val="%1."/>
      <w:numFmt w:val="decimal"/>
      <w:start w:val="9"/>
    </w:lvl>
  </w:abstractNum>
  <w:abstractNum w:abstractNumId="17">
    <w:nsid w:val="3A95F874"/>
    <w:multiLevelType w:val="hybridMultilevel"/>
    <w:lvl w:ilvl="0">
      <w:lvlJc w:val="left"/>
      <w:lvlText w:val="%1."/>
      <w:numFmt w:val="decimal"/>
      <w:start w:val="10"/>
    </w:lvl>
  </w:abstractNum>
  <w:abstractNum w:abstractNumId="18">
    <w:nsid w:val="8138641"/>
    <w:multiLevelType w:val="hybridMultilevel"/>
    <w:lvl w:ilvl="0">
      <w:lvlJc w:val="left"/>
      <w:lvlText w:val="%1."/>
      <w:numFmt w:val="decimal"/>
      <w:start w:val="11"/>
    </w:lvl>
  </w:abstractNum>
  <w:abstractNum w:abstractNumId="19">
    <w:nsid w:val="1E7FF521"/>
    <w:multiLevelType w:val="hybridMultilevel"/>
    <w:lvl w:ilvl="0">
      <w:lvlJc w:val="left"/>
      <w:lvlText w:val="%1."/>
      <w:numFmt w:val="decimal"/>
      <w:start w:val="12"/>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1."/>
      <w:numFmt w:val="decimal"/>
      <w:start w:val="3"/>
    </w:lvl>
  </w:abstractNum>
  <w:abstractNum w:abstractNumId="24">
    <w:nsid w:val="4516DDE9"/>
    <w:multiLevelType w:val="hybridMultilevel"/>
    <w:lvl w:ilvl="0">
      <w:lvlJc w:val="left"/>
      <w:lvlText w:val="%1."/>
      <w:numFmt w:val="decimal"/>
      <w:start w:val="4"/>
    </w:lvl>
  </w:abstractNum>
  <w:abstractNum w:abstractNumId="25">
    <w:nsid w:val="3006C83E"/>
    <w:multiLevelType w:val="hybridMultilevel"/>
    <w:lvl w:ilvl="0">
      <w:lvlJc w:val="left"/>
      <w:lvlText w:val="-"/>
      <w:numFmt w:val="bullet"/>
      <w:start w:val="1"/>
    </w:lvl>
    <w:lvl w:ilvl="1">
      <w:lvlJc w:val="left"/>
      <w:lvlText w:val="%2."/>
      <w:numFmt w:val="decimal"/>
      <w:start w:val="5"/>
    </w:lvl>
  </w:abstractNum>
  <w:abstractNum w:abstractNumId="26">
    <w:nsid w:val="614FD4A1"/>
    <w:multiLevelType w:val="hybridMultilevel"/>
    <w:lvl w:ilvl="0">
      <w:lvlJc w:val="left"/>
      <w:lvlText w:val="%1."/>
      <w:numFmt w:val="decimal"/>
      <w:start w:val="9"/>
    </w:lvl>
  </w:abstractNum>
  <w:abstractNum w:abstractNumId="27">
    <w:nsid w:val="419AC241"/>
    <w:multiLevelType w:val="hybridMultilevel"/>
    <w:lvl w:ilvl="0">
      <w:lvlJc w:val="left"/>
      <w:lvlText w:val="%1."/>
      <w:numFmt w:val="decimal"/>
      <w:start w:val="10"/>
    </w:lvl>
  </w:abstractNum>
  <w:abstractNum w:abstractNumId="28">
    <w:nsid w:val="5577F8E1"/>
    <w:multiLevelType w:val="hybridMultilevel"/>
    <w:lvl w:ilvl="0">
      <w:lvlJc w:val="left"/>
      <w:lvlText w:val="%1."/>
      <w:numFmt w:val="decimal"/>
      <w:start w:val="11"/>
    </w:lvl>
  </w:abstractNum>
  <w:abstractNum w:abstractNumId="29">
    <w:nsid w:val="440BADFC"/>
    <w:multiLevelType w:val="hybridMultilevel"/>
    <w:lvl w:ilvl="0">
      <w:lvlJc w:val="left"/>
      <w:lvlText w:val="%1."/>
      <w:numFmt w:val="decimal"/>
      <w:start w:val="12"/>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decimal"/>
      <w:start w:val="3"/>
    </w:lvl>
  </w:abstractNum>
  <w:abstractNum w:abstractNumId="34">
    <w:nsid w:val="5C482A97"/>
    <w:multiLevelType w:val="hybridMultilevel"/>
    <w:lvl w:ilvl="0">
      <w:lvlJc w:val="left"/>
      <w:lvlText w:val="%1."/>
      <w:numFmt w:val="decimal"/>
      <w:start w:val="4"/>
    </w:lvl>
  </w:abstractNum>
  <w:abstractNum w:abstractNumId="35">
    <w:nsid w:val="2463B9EA"/>
    <w:multiLevelType w:val="hybridMultilevel"/>
    <w:lvl w:ilvl="0">
      <w:lvlJc w:val="left"/>
      <w:lvlText w:val="-"/>
      <w:numFmt w:val="bullet"/>
      <w:start w:val="1"/>
    </w:lvl>
    <w:lvl w:ilvl="1">
      <w:lvlJc w:val="left"/>
      <w:lvlText w:val="%2."/>
      <w:numFmt w:val="decimal"/>
      <w:start w:val="5"/>
    </w:lvl>
  </w:abstractNum>
  <w:abstractNum w:abstractNumId="36">
    <w:nsid w:val="5E884ADC"/>
    <w:multiLevelType w:val="hybridMultilevel"/>
    <w:lvl w:ilvl="0">
      <w:lvlJc w:val="left"/>
      <w:lvlText w:val="%1."/>
      <w:numFmt w:val="decimal"/>
      <w:start w:val="9"/>
    </w:lvl>
  </w:abstractNum>
  <w:abstractNum w:abstractNumId="37">
    <w:nsid w:val="51EAD36B"/>
    <w:multiLevelType w:val="hybridMultilevel"/>
    <w:lvl w:ilvl="0">
      <w:lvlJc w:val="left"/>
      <w:lvlText w:val="%1."/>
      <w:numFmt w:val="decimal"/>
      <w:start w:val="10"/>
    </w:lvl>
  </w:abstractNum>
  <w:abstractNum w:abstractNumId="38">
    <w:nsid w:val="2D517796"/>
    <w:multiLevelType w:val="hybridMultilevel"/>
    <w:lvl w:ilvl="0">
      <w:lvlJc w:val="left"/>
      <w:lvlText w:val="%1."/>
      <w:numFmt w:val="decimal"/>
      <w:start w:val="11"/>
    </w:lvl>
  </w:abstractNum>
  <w:abstractNum w:abstractNumId="39">
    <w:nsid w:val="580BD78F"/>
    <w:multiLevelType w:val="hybridMultilevel"/>
    <w:lvl w:ilvl="0">
      <w:lvlJc w:val="left"/>
      <w:lvlText w:val="%1."/>
      <w:numFmt w:val="decimal"/>
      <w:start w:val="12"/>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2019-12-12T03:57:30Z</dcterms:created>
  <dcterms:modified xsi:type="dcterms:W3CDTF">2019-12-12T03:57:30Z</dcterms:modified>
</cp:coreProperties>
</file>