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2"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1"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2018</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7"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2" w:lineRule="exact"/>
        <w:rPr>
          <w:sz w:val="24"/>
          <w:szCs w:val="24"/>
          <w:color w:val="auto"/>
        </w:rPr>
      </w:pPr>
    </w:p>
    <w:p>
      <w:pPr>
        <w:ind w:left="3220"/>
        <w:spacing w:after="0"/>
        <w:tabs>
          <w:tab w:leader="none" w:pos="71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-3175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2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54"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3100" w:type="dxa"/>
            <w:vAlign w:val="bottom"/>
          </w:tcPr>
          <w:p>
            <w:pPr>
              <w:jc w:val="center"/>
              <w:ind w:right="523"/>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458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82-0572194</w:t>
            </w:r>
          </w:p>
        </w:tc>
      </w:tr>
      <w:tr>
        <w:trPr>
          <w:trHeight w:val="184"/>
        </w:trPr>
        <w:tc>
          <w:tcPr>
            <w:tcW w:w="3100" w:type="dxa"/>
            <w:vAlign w:val="bottom"/>
          </w:tcPr>
          <w:p>
            <w:pPr>
              <w:jc w:val="center"/>
              <w:ind w:right="52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580" w:type="dxa"/>
            <w:vAlign w:val="bottom"/>
          </w:tcPr>
          <w:p>
            <w:pPr>
              <w:jc w:val="center"/>
              <w:ind w:left="3383"/>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00" w:type="dxa"/>
            <w:vAlign w:val="bottom"/>
          </w:tcPr>
          <w:p>
            <w:pPr>
              <w:jc w:val="center"/>
              <w:ind w:right="5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580" w:type="dxa"/>
            <w:vAlign w:val="bottom"/>
          </w:tcPr>
          <w:p>
            <w:pPr>
              <w:jc w:val="center"/>
              <w:ind w:left="338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5"/>
        </w:trPr>
        <w:tc>
          <w:tcPr>
            <w:tcW w:w="3100" w:type="dxa"/>
            <w:vAlign w:val="bottom"/>
          </w:tcPr>
          <w:p>
            <w:pPr>
              <w:jc w:val="center"/>
              <w:ind w:right="523"/>
              <w:spacing w:after="0"/>
              <w:rPr>
                <w:sz w:val="20"/>
                <w:szCs w:val="20"/>
                <w:color w:val="auto"/>
              </w:rPr>
            </w:pPr>
            <w:r>
              <w:rPr>
                <w:rFonts w:ascii="Times New Roman" w:cs="Times New Roman" w:eastAsia="Times New Roman" w:hAnsi="Times New Roman"/>
                <w:sz w:val="16"/>
                <w:szCs w:val="16"/>
                <w:b w:val="1"/>
                <w:bCs w:val="1"/>
                <w:color w:val="auto"/>
                <w:w w:val="98"/>
              </w:rPr>
              <w:t>280 PARK AVENUE, 38</w:t>
            </w:r>
            <w:r>
              <w:rPr>
                <w:rFonts w:ascii="Times New Roman" w:cs="Times New Roman" w:eastAsia="Times New Roman" w:hAnsi="Times New Roman"/>
                <w:sz w:val="21"/>
                <w:szCs w:val="21"/>
                <w:b w:val="1"/>
                <w:bCs w:val="1"/>
                <w:color w:val="auto"/>
                <w:w w:val="98"/>
                <w:vertAlign w:val="superscript"/>
              </w:rPr>
              <w:t>TH</w:t>
            </w:r>
            <w:r>
              <w:rPr>
                <w:rFonts w:ascii="Times New Roman" w:cs="Times New Roman" w:eastAsia="Times New Roman" w:hAnsi="Times New Roman"/>
                <w:sz w:val="16"/>
                <w:szCs w:val="16"/>
                <w:b w:val="1"/>
                <w:bCs w:val="1"/>
                <w:color w:val="auto"/>
                <w:w w:val="98"/>
              </w:rPr>
              <w:t xml:space="preserve"> FLOOR,</w:t>
            </w:r>
          </w:p>
        </w:tc>
        <w:tc>
          <w:tcPr>
            <w:tcW w:w="4580" w:type="dxa"/>
            <w:vAlign w:val="bottom"/>
          </w:tcPr>
          <w:p>
            <w:pPr>
              <w:spacing w:after="0"/>
              <w:rPr>
                <w:sz w:val="24"/>
                <w:szCs w:val="24"/>
                <w:color w:val="auto"/>
              </w:rPr>
            </w:pPr>
          </w:p>
        </w:tc>
      </w:tr>
      <w:tr>
        <w:trPr>
          <w:trHeight w:val="212"/>
        </w:trPr>
        <w:tc>
          <w:tcPr>
            <w:tcW w:w="3100" w:type="dxa"/>
            <w:vAlign w:val="bottom"/>
          </w:tcPr>
          <w:p>
            <w:pPr>
              <w:jc w:val="center"/>
              <w:ind w:right="523"/>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458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226"/>
        </w:trPr>
        <w:tc>
          <w:tcPr>
            <w:tcW w:w="3100" w:type="dxa"/>
            <w:vAlign w:val="bottom"/>
          </w:tcPr>
          <w:p>
            <w:pPr>
              <w:jc w:val="center"/>
              <w:ind w:right="5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80" w:type="dxa"/>
            <w:vAlign w:val="bottom"/>
          </w:tcPr>
          <w:p>
            <w:pPr>
              <w:jc w:val="center"/>
              <w:ind w:left="340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1"/>
        </w:trPr>
        <w:tc>
          <w:tcPr>
            <w:tcW w:w="3100" w:type="dxa"/>
            <w:vAlign w:val="bottom"/>
          </w:tcPr>
          <w:p>
            <w:pPr>
              <w:spacing w:after="0"/>
              <w:rPr>
                <w:sz w:val="22"/>
                <w:szCs w:val="22"/>
                <w:color w:val="auto"/>
              </w:rPr>
            </w:pPr>
          </w:p>
        </w:tc>
        <w:tc>
          <w:tcPr>
            <w:tcW w:w="4580" w:type="dxa"/>
            <w:vAlign w:val="bottom"/>
          </w:tcPr>
          <w:p>
            <w:pPr>
              <w:jc w:val="right"/>
              <w:ind w:right="2883"/>
              <w:spacing w:after="0"/>
              <w:rPr>
                <w:sz w:val="20"/>
                <w:szCs w:val="20"/>
                <w:color w:val="auto"/>
              </w:rPr>
            </w:pPr>
            <w:r>
              <w:rPr>
                <w:rFonts w:ascii="Times New Roman" w:cs="Times New Roman" w:eastAsia="Times New Roman" w:hAnsi="Times New Roman"/>
                <w:sz w:val="16"/>
                <w:szCs w:val="16"/>
                <w:b w:val="1"/>
                <w:bCs w:val="1"/>
                <w:color w:val="auto"/>
              </w:rPr>
              <w:t>(212) 277-7100</w:t>
            </w:r>
          </w:p>
        </w:tc>
      </w:tr>
    </w:tbl>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57"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tcPr>
          <w:p>
            <w:pPr>
              <w:spacing w:after="0"/>
              <w:rPr>
                <w:sz w:val="13"/>
                <w:szCs w:val="13"/>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5940" w:type="dxa"/>
            <w:vAlign w:val="bottom"/>
            <w:gridSpan w:val="3"/>
          </w:tcPr>
          <w:p>
            <w:pPr>
              <w:jc w:val="center"/>
              <w:ind w:right="296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ind w:left="340" w:right="2660"/>
        <w:spacing w:after="0" w:line="21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26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52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43" w:lineRule="exact"/>
        <w:rPr>
          <w:sz w:val="24"/>
          <w:szCs w:val="24"/>
          <w:color w:val="auto"/>
        </w:rPr>
      </w:pPr>
    </w:p>
    <w:p>
      <w:pPr>
        <w:ind w:right="200" w:firstLine="324"/>
        <w:spacing w:after="0" w:line="33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441" w:right="279" w:bottom="1440" w:gutter="0" w:footer="0" w:header="0"/>
        </w:sectPr>
      </w:pPr>
    </w:p>
    <w:p>
      <w:pPr>
        <w:spacing w:after="0" w:line="11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2200" w:space="720"/>
            <w:col w:w="4560" w:space="720"/>
            <w:col w:w="1900" w:space="720"/>
            <w:col w:w="560"/>
          </w:cols>
          <w:pgMar w:left="240" w:top="441" w:right="27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6" w:lineRule="exact"/>
        <w:rPr>
          <w:sz w:val="24"/>
          <w:szCs w:val="24"/>
          <w:color w:val="auto"/>
        </w:rPr>
      </w:pPr>
    </w:p>
    <w:p>
      <w:pPr>
        <w:sectPr>
          <w:pgSz w:w="11900" w:h="16838" w:orient="portrait"/>
          <w:cols w:equalWidth="0" w:num="4">
            <w:col w:w="2200" w:space="720"/>
            <w:col w:w="4560" w:space="720"/>
            <w:col w:w="1900" w:space="720"/>
            <w:col w:w="560"/>
          </w:cols>
          <w:pgMar w:left="240" w:top="441" w:right="279" w:bottom="1440" w:gutter="0" w:footer="0" w:header="0"/>
          <w:type w:val="continuous"/>
        </w:sectPr>
      </w:pPr>
    </w:p>
    <w:p>
      <w:pPr>
        <w:ind w:right="42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340" w:right="2960"/>
        <w:spacing w:after="0" w:line="22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June 30, 2018, the aggregate market value of common stock held by non-affiliates was approximately $1,867,374,591.</w:t>
      </w:r>
    </w:p>
    <w:p>
      <w:pPr>
        <w:spacing w:after="0" w:line="3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February 25, 2019, there were 34,323,339 shares of the registrant’s common stock outstanding, par value $0.001 per share.</w:t>
      </w:r>
    </w:p>
    <w:p>
      <w:pPr>
        <w:spacing w:after="0" w:line="1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 w:lineRule="exact"/>
        <w:rPr>
          <w:sz w:val="24"/>
          <w:szCs w:val="24"/>
          <w:color w:val="auto"/>
        </w:rPr>
      </w:pPr>
    </w:p>
    <w:p>
      <w:pPr>
        <w:ind w:right="180"/>
        <w:spacing w:after="0" w:line="257" w:lineRule="auto"/>
        <w:rPr>
          <w:sz w:val="20"/>
          <w:szCs w:val="20"/>
          <w:color w:val="auto"/>
        </w:rPr>
      </w:pPr>
      <w:r>
        <w:rPr>
          <w:rFonts w:ascii="Times New Roman" w:cs="Times New Roman" w:eastAsia="Times New Roman" w:hAnsi="Times New Roman"/>
          <w:sz w:val="15"/>
          <w:szCs w:val="15"/>
          <w:color w:val="auto"/>
        </w:rPr>
        <w:t>Part III incorporates information from certain portions of the registrant’s definitive proxy statement to be filed with the Securities and Exchange Commission within 120 days after the fiscal year end of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40" w:type="dxa"/>
            <w:vAlign w:val="bottom"/>
            <w:gridSpan w:val="11"/>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723"/>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640" w:type="dxa"/>
            <w:vAlign w:val="bottom"/>
            <w:tcBorders>
              <w:bottom w:val="single" w:sz="8" w:color="0000EE"/>
            </w:tcBorders>
          </w:tcPr>
          <w:p>
            <w:pPr>
              <w:spacing w:after="0" w:line="189" w:lineRule="exact"/>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1440" w:type="dxa"/>
            <w:vAlign w:val="bottom"/>
            <w:gridSpan w:val="6"/>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7980" w:type="dxa"/>
            <w:vAlign w:val="bottom"/>
            <w:gridSpan w:val="19"/>
          </w:tcPr>
          <w:p>
            <w:pPr>
              <w:spacing w:after="0"/>
              <w:rPr>
                <w:sz w:val="22"/>
                <w:szCs w:val="22"/>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Risk Factors</w:t>
              </w:r>
            </w:hyperlink>
          </w:p>
        </w:tc>
        <w:tc>
          <w:tcPr>
            <w:tcW w:w="7720" w:type="dxa"/>
            <w:vAlign w:val="bottom"/>
            <w:gridSpan w:val="17"/>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12">
              <w:r>
                <w:rPr>
                  <w:rFonts w:ascii="Times New Roman" w:cs="Times New Roman" w:eastAsia="Times New Roman" w:hAnsi="Times New Roman"/>
                  <w:sz w:val="18"/>
                  <w:szCs w:val="18"/>
                  <w:color w:val="auto"/>
                </w:rPr>
                <w:t>10</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1B.</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Unresolved Staff Comments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26</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Properties</w:t>
              </w:r>
            </w:hyperlink>
          </w:p>
        </w:tc>
        <w:tc>
          <w:tcPr>
            <w:tcW w:w="6580" w:type="dxa"/>
            <w:vAlign w:val="bottom"/>
            <w:gridSpan w:val="12"/>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26</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3.</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27</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4.</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27</w:t>
              </w:r>
            </w:hyperlink>
          </w:p>
        </w:tc>
      </w:tr>
      <w:tr>
        <w:trPr>
          <w:trHeight w:val="250"/>
        </w:trPr>
        <w:tc>
          <w:tcPr>
            <w:tcW w:w="2080" w:type="dxa"/>
            <w:vAlign w:val="bottom"/>
            <w:gridSpan w:val="7"/>
          </w:tcPr>
          <w:p>
            <w:pPr>
              <w:spacing w:after="0"/>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540" w:type="dxa"/>
            <w:vAlign w:val="bottom"/>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28</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Selected Financial Data</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160" w:type="dxa"/>
            <w:vAlign w:val="bottom"/>
            <w:gridSpan w:val="3"/>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32</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Quantitative and Qualitative Disclosures About Market Risk</w:t>
              </w:r>
            </w:hyperlink>
          </w:p>
        </w:tc>
        <w:tc>
          <w:tcPr>
            <w:tcW w:w="4260" w:type="dxa"/>
            <w:vAlign w:val="bottom"/>
            <w:gridSpan w:val="6"/>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56</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8.</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Financial Statements and Supplementary Data</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58</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9.</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Changes in and Disagreement with Accountants on Accounting and Financial Disclosure</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58</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9A.</w:t>
            </w:r>
          </w:p>
        </w:tc>
        <w:tc>
          <w:tcPr>
            <w:tcW w:w="640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Controls and Procedures</w:t>
              </w:r>
            </w:hyperlink>
          </w:p>
        </w:tc>
        <w:tc>
          <w:tcPr>
            <w:tcW w:w="2220" w:type="dxa"/>
            <w:vAlign w:val="bottom"/>
            <w:gridSpan w:val="4"/>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58</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Other Information</w:t>
              </w:r>
            </w:hyperlink>
          </w:p>
        </w:tc>
        <w:tc>
          <w:tcPr>
            <w:tcW w:w="6860" w:type="dxa"/>
            <w:vAlign w:val="bottom"/>
            <w:gridSpan w:val="14"/>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59</w:t>
              </w:r>
            </w:hyperlink>
          </w:p>
        </w:tc>
      </w:tr>
      <w:tr>
        <w:trPr>
          <w:trHeight w:val="250"/>
        </w:trPr>
        <w:tc>
          <w:tcPr>
            <w:tcW w:w="78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61">
              <w:r>
                <w:rPr>
                  <w:rFonts w:ascii="Times New Roman" w:cs="Times New Roman" w:eastAsia="Times New Roman" w:hAnsi="Times New Roman"/>
                  <w:sz w:val="18"/>
                  <w:szCs w:val="18"/>
                  <w:b w:val="1"/>
                  <w:bCs w:val="1"/>
                  <w:color w:val="0000EE"/>
                  <w:w w:val="96"/>
                </w:rPr>
                <w:t>PART III.</w:t>
              </w:r>
            </w:hyperlink>
          </w:p>
        </w:tc>
        <w:tc>
          <w:tcPr>
            <w:tcW w:w="1300" w:type="dxa"/>
            <w:vAlign w:val="bottom"/>
            <w:gridSpan w:val="3"/>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10.</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Directors, Executive Officers and Corporate Governance</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59</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6"/>
          </w:tcPr>
          <w:p>
            <w:pPr>
              <w:spacing w:after="0"/>
              <w:rPr>
                <w:sz w:val="21"/>
                <w:szCs w:val="21"/>
                <w:color w:val="auto"/>
              </w:rPr>
            </w:pPr>
          </w:p>
        </w:tc>
        <w:tc>
          <w:tcPr>
            <w:tcW w:w="4540" w:type="dxa"/>
            <w:vAlign w:val="bottom"/>
            <w:gridSpan w:val="7"/>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59</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12.</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59</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Certain Relationships and Related Transactions, and Director Independence</w:t>
              </w:r>
            </w:hyperlink>
          </w:p>
        </w:tc>
        <w:tc>
          <w:tcPr>
            <w:tcW w:w="1340" w:type="dxa"/>
            <w:vAlign w:val="bottom"/>
            <w:gridSpan w:val="2"/>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60</w:t>
              </w:r>
            </w:hyperlink>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Principal Accountant Fees and Services</w:t>
              </w:r>
            </w:hyperlink>
          </w:p>
        </w:tc>
        <w:tc>
          <w:tcPr>
            <w:tcW w:w="3180" w:type="dxa"/>
            <w:vAlign w:val="bottom"/>
            <w:gridSpan w:val="5"/>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60</w:t>
              </w:r>
            </w:hyperlink>
          </w:p>
        </w:tc>
      </w:tr>
      <w:tr>
        <w:trPr>
          <w:trHeight w:val="250"/>
        </w:trPr>
        <w:tc>
          <w:tcPr>
            <w:tcW w:w="2080" w:type="dxa"/>
            <w:vAlign w:val="bottom"/>
            <w:gridSpan w:val="7"/>
          </w:tcPr>
          <w:p>
            <w:pPr>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PART IV.</w:t>
              </w:r>
            </w:hyperlink>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0"/>
        </w:trPr>
        <w:tc>
          <w:tcPr>
            <w:tcW w:w="7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ITEM 15.</w:t>
            </w:r>
          </w:p>
        </w:tc>
        <w:tc>
          <w:tcPr>
            <w:tcW w:w="8620" w:type="dxa"/>
            <w:vAlign w:val="bottom"/>
            <w:gridSpan w:val="20"/>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Exhibits and Financial Statement Schedules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63">
              <w:r>
                <w:rPr>
                  <w:rFonts w:ascii="Times New Roman" w:cs="Times New Roman" w:eastAsia="Times New Roman" w:hAnsi="Times New Roman"/>
                  <w:sz w:val="18"/>
                  <w:szCs w:val="18"/>
                  <w:color w:val="auto"/>
                </w:rPr>
                <w:t>61</w:t>
              </w:r>
            </w:hyperlink>
          </w:p>
        </w:tc>
      </w:tr>
      <w:tr>
        <w:trPr>
          <w:trHeight w:val="372"/>
        </w:trPr>
        <w:tc>
          <w:tcPr>
            <w:tcW w:w="2080" w:type="dxa"/>
            <w:vAlign w:val="bottom"/>
            <w:gridSpan w:val="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62</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EXHIBIT INDEX</w:t>
              </w:r>
            </w:hyperlink>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63</w:t>
              </w:r>
            </w:hyperlink>
          </w:p>
        </w:tc>
      </w:tr>
      <w:tr>
        <w:trPr>
          <w:trHeight w:val="372"/>
        </w:trPr>
        <w:tc>
          <w:tcPr>
            <w:tcW w:w="10700" w:type="dxa"/>
            <w:vAlign w:val="bottom"/>
            <w:gridSpan w:val="27"/>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INDEX TO CONSOLIDATED FINANCIAL STATEMENTS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68">
              <w:r>
                <w:rPr>
                  <w:rFonts w:ascii="Times New Roman" w:cs="Times New Roman" w:eastAsia="Times New Roman" w:hAnsi="Times New Roman"/>
                  <w:sz w:val="18"/>
                  <w:szCs w:val="18"/>
                  <w:color w:val="auto"/>
                </w:rPr>
                <w:t>F-1</w:t>
              </w:r>
            </w:hyperlink>
          </w:p>
        </w:tc>
      </w:tr>
      <w:tr>
        <w:trPr>
          <w:trHeight w:val="20"/>
        </w:trPr>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ectPr>
          <w:pgSz w:w="11900" w:h="16838" w:orient="portrait"/>
          <w:cols w:equalWidth="0" w:num="1">
            <w:col w:w="11400"/>
          </w:cols>
          <w:pgMar w:left="240" w:top="333"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310"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ExlService Holdings, Inc. (“EXL”, “we”, “us", "our" or the "Company"), incorporated in Delaware in 2002, is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 Headquartered in New York, we have approximately 29,100 professionals in locations throughout the United States, Europe, Asia (primarily India and the Philippines), Latin America, Australia and South Africa.</w:t>
      </w:r>
    </w:p>
    <w:p>
      <w:pPr>
        <w:spacing w:after="0" w:line="16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 Together, our operations management and analytics services support our customers’ digital transformation agendas, through our differentiated strategy and approach that we call Digital Intelligence. Digital Intelligence combines our capabilities across domain and data to create context that enables us find opportunities for our clients to improve performance, enhance customer experiences and increase profitably. Our digital professionals then orchestrate domain expertise, process excellence and advanced digital technologies in the right mix to deliver significant business outcomes.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present information for the following reportable segments:</w:t>
      </w:r>
    </w:p>
    <w:p>
      <w:pPr>
        <w:spacing w:after="0" w:line="9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our remaining operating segments, including our Banking and Financial Services, Utilities and Consulting operating segments).</w:t>
      </w:r>
    </w:p>
    <w:p>
      <w:pPr>
        <w:spacing w:after="0" w:line="16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July 2018 acquisition of SCIOinspire Holdings, Inc. (“SCIO”) is included in the Analytics reportable segment. The December 2017 acquisition of substantially all of the assets, and assumption of certain liabilities related thereto, of Health Integrated, Inc. (“Health Integrated”) is included in the Healthcare reportable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Operations Management Services</w:t>
      </w:r>
    </w:p>
    <w:p>
      <w:pPr>
        <w:spacing w:after="0" w:line="229"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Our operations management services, which we provide from our Insurance, Healthcare, Travel, Transportation and Logistics, Finance and Accounting, Banking and Financial Services, Utilities and Consulting operating segments, typically involve the transfer to EXL business operations of a client such as claims processing, clinical operations, or financial transaction processing, after which we administer and manage those operations for our client on an ongoing basis, or in case of consulting, consulting services related to transformation services, including digital transformation services. We use a focused industry vertical approach to manage our business and to provide a suite of integrated BPM services to organizations in the insurance, healthcare, travel transportation and logistics, banking and financial services and utilities industries in addition to providing finance and accounting and consulting services across these industries as well as to clients in other industries like manufacturing and media among others.</w:t>
      </w:r>
    </w:p>
    <w:p>
      <w:pPr>
        <w:spacing w:after="0" w:line="81" w:lineRule="exact"/>
        <w:rPr>
          <w:sz w:val="20"/>
          <w:szCs w:val="20"/>
          <w:color w:val="auto"/>
        </w:rPr>
      </w:pPr>
    </w:p>
    <w:p>
      <w:pPr>
        <w:jc w:val="both"/>
        <w:ind w:firstLine="405"/>
        <w:spacing w:after="0" w:line="214" w:lineRule="auto"/>
        <w:rPr>
          <w:sz w:val="20"/>
          <w:szCs w:val="20"/>
          <w:color w:val="auto"/>
        </w:rPr>
      </w:pPr>
      <w:r>
        <w:rPr>
          <w:rFonts w:ascii="Times New Roman" w:cs="Times New Roman" w:eastAsia="Times New Roman" w:hAnsi="Times New Roman"/>
          <w:sz w:val="18"/>
          <w:szCs w:val="18"/>
          <w:color w:val="auto"/>
        </w:rPr>
        <w:t>The key differentiators and salient features of our BPM services include our agile operating and delivery model utilizing domain and data expertise and process excellence, the Digital EXLerator Framework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our ability to deploy a Business Process-as-a-Service (“BPaaS”) delivery model, business process automation (including robotics), consulting-driven digital transformation and our industry vertical focused approach. The Digital EXLerator Framework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is our integrated approach</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33"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operations management which enables us to drive better customer outcomes by using advanced automation (such as robotics, advanced analytics and artificial intelligence), process optimization (lean six-sigma), along with smart workflow, driving better orchestration of human talent and technology.</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While the majority of our operations management services are provided to clients using client-owned or licensed technology platforms, we also deliver our services across clients and industries using a BPaaS delivery model. The BPaaS delivery model includes the provision of a technology platform along with process management services. The service offering typically requires lower capital outlay, is faster to implement and is priced based on the number of transactions or usage by the client. These services may use standardized and shared technology and operational delivery infrastructure enabling us to leverage technology and infrastructure investments across multiple clients.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operating segments providing operations management services are described below:</w:t>
      </w:r>
    </w:p>
    <w:p>
      <w:pPr>
        <w:spacing w:after="0" w:line="113"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operating segment serves property and casualty insurance, life insurance, disability insurance, annuity and retirement services companies. We provide BPM services related to business processes in the insurance industry such as claims processing, subrogation, premium and benefit administration, agency management, account reconciliation, policy research, underwriting support, new business processing, policy servicing, premium audit, surveys, billing and collection, commercial and residential survey, and customer service using the Digital EXLerator Framework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robotics and advanced automation. We provide insurance policy administration &amp; digital customer acquisition services using a BPaaS delivery model through our LifePRO ® and Liss platforms in order to help clients administer life insurance, health insurance, annuities and credit life and disability insurance policies. We also provide subrogation services to property and casualty insurers using a BPaaS delivery model and our proprietary Subrosource ® software platform, the largest commercial end-to-end subrogation platform. Subrosource ® integrates with client systems, manages recovery workflow, increases recoveries and reduces costs.</w:t>
      </w:r>
    </w:p>
    <w:p>
      <w:pPr>
        <w:spacing w:after="0" w:line="19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Healthcare</w:t>
      </w:r>
      <w:r>
        <w:rPr>
          <w:rFonts w:ascii="Times New Roman" w:cs="Times New Roman" w:eastAsia="Times New Roman" w:hAnsi="Times New Roman"/>
          <w:sz w:val="18"/>
          <w:szCs w:val="18"/>
          <w:color w:val="auto"/>
        </w:rPr>
        <w:t xml:space="preserve"> operating segment primarily serves U.S.-based healthcare payers, providers and life sciences organizations. We provide BPM services related to Care Management, Utilization Management, multi-chronic case management (“MCCM”), disease management, dual eligible special needs plans (D-SNP), payment integrity, revenue optimization and customer engagement directly addressing the market need for improved healthcare outcomes, reduced claims, medical and administrative costs, and improved access to the healthcare system in the healthcare market.</w:t>
      </w:r>
    </w:p>
    <w:p>
      <w:pPr>
        <w:spacing w:after="0" w:line="1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offer BPaaS, software-as-a-service ("SaaS") and platform BPM services designed to serve the healthcare industry as well as proprietary technology platforms, robotics and advanced analytics. EXL’s CareRadius® and MaxMC® applications connect payors, providers and members with critical clinical information, and automates a payor's operations to increase efficiencies across all aspects of care management, including behavioral health.</w:t>
      </w:r>
    </w:p>
    <w:p>
      <w:pPr>
        <w:spacing w:after="0" w:line="17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Travel, Transportation and Logistics</w:t>
      </w:r>
      <w:r>
        <w:rPr>
          <w:rFonts w:ascii="Times New Roman" w:cs="Times New Roman" w:eastAsia="Times New Roman" w:hAnsi="Times New Roman"/>
          <w:sz w:val="18"/>
          <w:szCs w:val="18"/>
          <w:color w:val="auto"/>
        </w:rPr>
        <w:t xml:space="preserve"> operating segment primarily serves clients in the travel &amp; leisure and transportation and logistics industries, including less-than-truckload (LTL), truckload and intermodal logistics sectors. We provide BPM services related to business processes in corporate and leisure travel such as reservations, customer service, fulfillment and finance and accounting. In addition, we have expertise in processing transportation and logistics transactions, including supply chain management, warehousing, transportation management and international logistics services using advanced automation, including robotics process automation. For companies in the transportation and logistics sector, we provide sales, billing, collection, claims management, revenue management, accounting freight audit and payment and logistics engineering services.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Finance and Accounting (“F&amp;A”)</w:t>
      </w:r>
      <w:r>
        <w:rPr>
          <w:rFonts w:ascii="Times New Roman" w:cs="Times New Roman" w:eastAsia="Times New Roman" w:hAnsi="Times New Roman"/>
          <w:sz w:val="18"/>
          <w:szCs w:val="18"/>
          <w:color w:val="auto"/>
        </w:rPr>
        <w:t xml:space="preserve"> operating segment provides finance and accounting BPM and Digital Transformation services across an array of F&amp;A processes, including procure-to-pay, order-to-cash, hire-to-retire, record-to-report, regulatory reporting, financial planning and analysis, audit and assurance, reconciliations, treasury and tax processes. This operating segment provides services across the five industry verticals within operations management as well as to clients in other industries like manufacturing, business services, media and retail among others. We partner with our clients to provide digital transformation services to help them simplify and scale their F&amp;A processes, drive customer centricity, improve controls and compliance, reduce operating costs and deliver rich data driven insights to their businesses. We do this by meaningfully combining our deep capabilities in finance transformation, risk management, advanced analytics and intelligent automation, including artificial intelligence and machine learning.</w:t>
      </w:r>
    </w:p>
    <w:p>
      <w:pPr>
        <w:spacing w:after="0" w:line="183"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Banking and Financial Services</w:t>
      </w:r>
      <w:r>
        <w:rPr>
          <w:rFonts w:ascii="Times New Roman" w:cs="Times New Roman" w:eastAsia="Times New Roman" w:hAnsi="Times New Roman"/>
          <w:sz w:val="18"/>
          <w:szCs w:val="18"/>
          <w:color w:val="auto"/>
        </w:rPr>
        <w:t xml:space="preserve"> operating segment offers a comprehensive range of BPM services across the spectrum of the banking and financial services industry, including residential mortgage lending, retail banking and credit cards, commercial banking and investment management. Our operating models encompass process re-engineering with improved customer experience and cost reduction. We integrate front-, middle- and back-office operations as one seamless experience with a digitally enabled customer journey and experience framework. EXL uses robotics process automation and proprietary business intelligence tools to innovate workflow management, transaction monitoring, and management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33"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and reporting to enhance transparency in regulatory and management reporting. EXL works with financial technology companies to supplement their marketing and sales operations, support their processing and underwriting as well as enhance their servicing and collections efforts.</w:t>
      </w:r>
    </w:p>
    <w:p>
      <w:pPr>
        <w:spacing w:after="0" w:line="158"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Utilities</w:t>
      </w:r>
      <w:r>
        <w:rPr>
          <w:rFonts w:ascii="Times New Roman" w:cs="Times New Roman" w:eastAsia="Times New Roman" w:hAnsi="Times New Roman"/>
          <w:sz w:val="18"/>
          <w:szCs w:val="18"/>
          <w:color w:val="auto"/>
        </w:rPr>
        <w:t xml:space="preserve"> operating segment services offers BPM services related to enhancing operating models, improving customer experience, reducing costs, shortening turnaround time and simplifying compliance for our clients. By leveraging our “Model Office” framework, we combine domain expertise, customer-centric operations management practices, robotics and advanced analytics capabilities with cloud-based billing and customer relationship management platform, digital services, industry-specific products, business process automation and robotics.</w:t>
      </w:r>
    </w:p>
    <w:p>
      <w:pPr>
        <w:spacing w:after="0" w:line="17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Consulting</w:t>
      </w:r>
      <w:r>
        <w:rPr>
          <w:rFonts w:ascii="Times New Roman" w:cs="Times New Roman" w:eastAsia="Times New Roman" w:hAnsi="Times New Roman"/>
          <w:sz w:val="18"/>
          <w:szCs w:val="18"/>
          <w:color w:val="auto"/>
        </w:rPr>
        <w:t xml:space="preserve"> operating segment provides industry-specific digital transformational services, targeting select industries and functions across Insurance, Healthcare, Travel, Transportation and Logistics, Banking and Financial Services and Finance and Accounting. Our services are designed to address contemporary problems across the aforementioned domains, embracing the digital and analytics revolution, to deliver business models that help our clients realize their business and innovation goals and improve their strategic competitive position. Our digital consulting offerings include leveraging design thinking to help improve customer experience, using lean models to drive process excellence and using agile delivery models to implement digital technologies and interventions like customer experience transformation, advanced automation and robotics and enterprise architecture. Our approach to consulting is focused on delivering goals across growth and scalability, customer experience improvement cost and efficiency.</w:t>
      </w:r>
    </w:p>
    <w:p>
      <w:pPr>
        <w:spacing w:after="0" w:line="1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also offer a full range of finance transformation services to the CFO suite, including finance platform modernization and implementation, finance process transformation and digitization as well as governance, risk and compliance support.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Analytics</w:t>
      </w:r>
    </w:p>
    <w:p>
      <w:pPr>
        <w:spacing w:after="0" w:line="121"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Our Analytics services focus on driving improved business outcomes for our customers by generating data-driven insights across all parts of our customers’ businesses. Our teams deliver predictive and prescriptive analytics in the areas of customer acquisition and lifecycle management, risk underwriting and pricing, operational effectiveness, credit and operational risk monitoring and governance, regulatory reporting, and data management. We use a spectrum of advanced analytical tools and techniques, including our in-house Machine Learning (“ML”) and Artificial Intelligence (“AI”) capabilities. We leverage and deploy our proprietary ML and AI solutions to help deliver improved business outcomes throughout our clients value chain and to address a range of complex industry-wide problems including:</w:t>
      </w:r>
    </w:p>
    <w:p>
      <w:pPr>
        <w:spacing w:after="0" w:line="13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natural language understanding and deep learning models to address unstructured text and data,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Computer-assisted vision and deep learning-based image analytics to analyze photos and videos,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pattern recognition techniques to identify consumer behavior triggers embedded in multiple formats of data.</w:t>
      </w:r>
    </w:p>
    <w:p>
      <w:pPr>
        <w:spacing w:after="0" w:line="279"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Our Analytics team comprises over 4,300 professionals, including data scientists, data architects, business analysts, statisticians, modelers, industry domain specialists and data experts.</w:t>
      </w:r>
    </w:p>
    <w:p>
      <w:pPr>
        <w:spacing w:after="0" w:line="162"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We help our customers leverage internal and external data sources, enhance their data assets, identify and visualize data patterns, and utilize data-driven insights to improve their effectiveness. Our Analytics services for our customers include:</w:t>
      </w:r>
    </w:p>
    <w:p>
      <w:pPr>
        <w:spacing w:after="0" w:line="189" w:lineRule="exact"/>
        <w:rPr>
          <w:sz w:val="20"/>
          <w:szCs w:val="20"/>
          <w:color w:val="auto"/>
        </w:rPr>
      </w:pPr>
    </w:p>
    <w:p>
      <w:pPr>
        <w:ind w:firstLine="400"/>
        <w:spacing w:after="0" w:line="329" w:lineRule="auto"/>
        <w:tabs>
          <w:tab w:leader="none" w:pos="6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cleansing, matching and use of structured, semi-structured and unstructured data available both internally to our customer’s organization and externally;</w:t>
      </w:r>
    </w:p>
    <w:p>
      <w:pPr>
        <w:spacing w:after="0" w:line="161" w:lineRule="exact"/>
        <w:rPr>
          <w:rFonts w:ascii="Times New Roman" w:cs="Times New Roman" w:eastAsia="Times New Roman" w:hAnsi="Times New Roman"/>
          <w:sz w:val="18"/>
          <w:szCs w:val="18"/>
          <w:color w:val="auto"/>
        </w:rPr>
      </w:pPr>
    </w:p>
    <w:p>
      <w:pPr>
        <w:ind w:firstLine="400"/>
        <w:spacing w:after="0" w:line="329" w:lineRule="auto"/>
        <w:tabs>
          <w:tab w:leader="none" w:pos="6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analytics professionals and data scientists who utilize analytics tools, cutting edge statistical techniques and methodologies in ways designed to help customers better understand their data to generate actionable business insights;</w:t>
      </w:r>
    </w:p>
    <w:p>
      <w:pPr>
        <w:spacing w:after="0" w:line="161" w:lineRule="exact"/>
        <w:rPr>
          <w:rFonts w:ascii="Times New Roman" w:cs="Times New Roman" w:eastAsia="Times New Roman" w:hAnsi="Times New Roman"/>
          <w:sz w:val="18"/>
          <w:szCs w:val="18"/>
          <w:color w:val="auto"/>
        </w:rPr>
      </w:pPr>
    </w:p>
    <w:p>
      <w:pPr>
        <w:ind w:firstLine="400"/>
        <w:spacing w:after="0" w:line="329" w:lineRule="auto"/>
        <w:tabs>
          <w:tab w:leader="none" w:pos="6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implementation of services enabling data visualization and management reporting enabling business users to segment, drill-down, and filter data; and</w:t>
      </w:r>
    </w:p>
    <w:p>
      <w:pPr>
        <w:spacing w:after="0" w:line="161" w:lineRule="exact"/>
        <w:rPr>
          <w:rFonts w:ascii="Times New Roman" w:cs="Times New Roman" w:eastAsia="Times New Roman" w:hAnsi="Times New Roman"/>
          <w:sz w:val="18"/>
          <w:szCs w:val="18"/>
          <w:color w:val="auto"/>
        </w:rPr>
      </w:pPr>
    </w:p>
    <w:p>
      <w:pPr>
        <w:ind w:left="700" w:hanging="300"/>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data insights and predictive models in the real-time decision making processes to drive measurable business impact.</w:t>
      </w:r>
    </w:p>
    <w:p>
      <w:pPr>
        <w:spacing w:after="0" w:line="239"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Our Analytics engagements span both project work and longer-term arrangements where EXL provides ongoing analytics modeling and services for a year or more. We utilize domain and industry knowledge related to the business problem being considered to support these Analytics engagements.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33"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Our Analytics services support: (1) retail banking, commercial banking and investment banking and management for the banking and financial services industry; (2) actuarial, claims, informatics, CRM and marketing analysis, medical cost and care management, payment integrity and operational effectiveness in the healthcare industry; (3) marketing and agency management, actuarial, servicing and operations, customer management, and claims and money movement in the insurance industry; and (4) marketing analytics in the retail and media industries.</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July 1, 2018, we completed the acquisition of SCIO pursuant to an Agreement of Merger dated April 28, 2018 (the "Merger Agreement"). SCIO is a health analytics solution and services company serving over 100 healthcare organizations representing over 130 million covered lives across the continuum, including providers, health plans, pharmacy benefit managers, employers, health services and global life sciences companies. SCIO provides Program Integrity services mainly in the area of claims overpayment and abuse and waste related to healthcare spending. The acquisition of SCIO broadened our spectrum of healthcare capabilities to deliver more complex reimbursement optimization, subrogation as well care and risk and quality management to the healthcare industry. SCIO provides scalable predictive analytic solutions and services that transform data into actionable insights, helping healthcare organizations identify opportunities and prescribe actions to drive operational performance and address the healthcare waste epidemic while improving care quality industry.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We are a business process management company providing operations management and analytics services that help businesses enhance revenue growth and enhance profitability. Specific elements of our strategy include: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Deploying our Digital EXLerator Framework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b w:val="1"/>
          <w:bCs w:val="1"/>
          <w:i w:val="1"/>
          <w:iCs w:val="1"/>
          <w:color w:val="auto"/>
        </w:rPr>
        <w:t xml:space="preserve"> in Operations Management</w:t>
      </w:r>
    </w:p>
    <w:p>
      <w:pPr>
        <w:spacing w:after="0" w:line="149" w:lineRule="exact"/>
        <w:rPr>
          <w:sz w:val="20"/>
          <w:szCs w:val="20"/>
          <w:color w:val="auto"/>
        </w:rPr>
      </w:pPr>
    </w:p>
    <w:p>
      <w:pPr>
        <w:jc w:val="both"/>
        <w:ind w:firstLine="392"/>
        <w:spacing w:after="0" w:line="214" w:lineRule="auto"/>
        <w:rPr>
          <w:sz w:val="20"/>
          <w:szCs w:val="20"/>
          <w:color w:val="auto"/>
        </w:rPr>
      </w:pPr>
      <w:r>
        <w:rPr>
          <w:rFonts w:ascii="Times New Roman" w:cs="Times New Roman" w:eastAsia="Times New Roman" w:hAnsi="Times New Roman"/>
          <w:sz w:val="18"/>
          <w:szCs w:val="18"/>
          <w:color w:val="auto"/>
        </w:rPr>
        <w:t>In servicing our operations management clients, we differentiate ourselves by using our proprietary Digital EXLerator Framework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described above. Digital EXLerator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has helped EXL win new clients as well as increase satisfaction with existing clients. Advanced automation is another key element where we leverage proprietary and partner technologies to drive operational efficiencies and provide a step-change in the degrees of automation (such as robotics) embedded within the process.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Business Process-as-a-Service (“BPaaS”) Solutions to distinguish our BPM Solutions</w:t>
      </w:r>
    </w:p>
    <w:p>
      <w:pPr>
        <w:spacing w:after="0" w:line="229"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continue to invest and focus in developing BPaaS and technology-enabled product solutions, including updated and enhanced LifePRO®, Auditstream and Express Survey products. We are shifting part of our servicing model in niche operations management services from our current model to a BPaaS servicing model that offers an integrated technology platform with operations management services. BPaaS services are typically delivered using a transaction-based or outcome-based pricing model and can minimize a client’s initial capital investment on technology. In addition to existing solutions, we intend to enter into additional partnerships to develop and take-to-market new BPaaS solutions.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Industry Solutions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focus is to develop industry solutions that will help solve a particular industry problem leveraging our existing operations management capabilities, domain expertise, advanced digital technologies and analytics capabilities. We are building proprietary solutions internally and are also co-creating new solutions with our industry partners and clients. In 2018, we announced two such solutions: (1) a Digital Know Your Customer solution in collaboration with HSBC Holdings, PLC that delivers cost efficiencies for banks and large financial services firms and (2) a Current Expected Credit Loss solution with TransUnion to help banks, saving associations and credit unions to comply with the new regulations of the Financial Accounting Standards Board (“FASB”). Further, in December 2017 we acquired preferred stock in Corridor Platforms Inc., a company in the process of launching a big data credit risk management solution to support real-time credit decisions throughout the customer lifecycle.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Additional Analytics Capabilities and Solution Offerings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continue to invest in our Analytics capabilities by expanding our digital solution offerings, enhancing the skill sets and training of our team, and developing reusable intellectual property that can be incorporated into our analytics services. We intend to further increase our investment in our proprietary methodologies and algorithms that help us improve our ability to predict outcomes for our clients to help them capture data signals in a more efficient manner. In order to optimize the way in which we deliver analytics services to clients and source the highest quality global talent, we intend to continue expanding our multi-shore delivery capabilities by adding to our team of professionals in the United States, United Kingdom, Europe, India, the Philippines, South Africa and Colombia. In addition to hiring directly from educational institutions, we actively look to hire additional experienced senior team members in order to deepen our industry expertise and thought leadership.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33"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Extending Our Industry Expertise</w:t>
      </w:r>
    </w:p>
    <w:p>
      <w:pPr>
        <w:spacing w:after="0" w:line="121"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intend to further extend our knowledge and capabilities in the industry verticals we serve in order to enhance our reputation as a provider of business process services. By focusing on transitioning, managing and digitizing more complex and value-enhancing services, we augment our capability to serve our clients, including helping our clients evolve their digital transformation efforts. In order to market our base of experience externally, we intend to continue to produce additional primary research and technical papers in order to enhance our reputation as industry thought leaders.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 Training, and Retaining the Most Talented Professionals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instituted an integrated talent management framework through active collaboration between our recruitment, capability development and business human resource functions. We deploy innovative methods to recruit, train and retain our skilled employees. We intend to focus on recruiting the right talent and develop them further on relevant competencies through our learning academies, rigorous promotion standards, client and industry specific training and competitive compensation packages that include incentive-based compensation. We are able to leverage shared resources across our services, particularly those in operations management, including as a result of our personnel having skillsets applicable to a wide variety of BPM services. We supplement our scope of operations experience with several industry-specific domain academies to enhance the specialization quotient of our employees.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Cultivating Long-term Relationships and Expanding our Client Base</w:t>
      </w:r>
    </w:p>
    <w:p>
      <w:pPr>
        <w:spacing w:after="0" w:line="229"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54" w:lineRule="exact"/>
        <w:rPr>
          <w:sz w:val="20"/>
          <w:szCs w:val="20"/>
          <w:color w:val="auto"/>
        </w:rPr>
      </w:pPr>
    </w:p>
    <w:p>
      <w:pPr>
        <w:ind w:left="820" w:hanging="42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depth and breadth of the services we provide across new client business, functions and geographies;</w:t>
      </w:r>
    </w:p>
    <w:p>
      <w:pPr>
        <w:spacing w:after="0" w:line="27" w:lineRule="exact"/>
        <w:rPr>
          <w:rFonts w:ascii="Times New Roman" w:cs="Times New Roman" w:eastAsia="Times New Roman" w:hAnsi="Times New Roman"/>
          <w:sz w:val="18"/>
          <w:szCs w:val="18"/>
          <w:color w:val="auto"/>
        </w:rPr>
      </w:pPr>
    </w:p>
    <w:p>
      <w:pPr>
        <w:ind w:left="820" w:hanging="42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the full suite of EXL services that includes operations management (including consulting; digital transformation) and analytics; and</w:t>
      </w:r>
    </w:p>
    <w:p>
      <w:pPr>
        <w:spacing w:after="0" w:line="9" w:lineRule="exact"/>
        <w:rPr>
          <w:rFonts w:ascii="Times New Roman" w:cs="Times New Roman" w:eastAsia="Times New Roman" w:hAnsi="Times New Roman"/>
          <w:sz w:val="18"/>
          <w:szCs w:val="18"/>
          <w:color w:val="auto"/>
        </w:rPr>
      </w:pPr>
    </w:p>
    <w:p>
      <w:pPr>
        <w:ind w:left="820" w:hanging="42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clients’ geographic expansion leveraging our global footprint.</w:t>
      </w:r>
    </w:p>
    <w:p>
      <w:pPr>
        <w:spacing w:after="0" w:line="9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intend to continue building a portfolio of Fortune 500 and Global 2000 companies in our focus industries that have the most complex and diverse processes and, accordingly, stand to benefit significantly from our services. We also intend to cultivate long-term relationships with medium-sized companies in our focus industries leveraging our BPaaS and technology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Global Delivery Footprint and Operational Infrastructure</w:t>
      </w:r>
    </w:p>
    <w:p>
      <w:pPr>
        <w:spacing w:after="0" w:line="229"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8"/>
          <w:szCs w:val="18"/>
          <w:color w:val="auto"/>
        </w:rPr>
        <w:t>We intend to further expand and invest in our network of delivery centers to service our clients. In 2018, we expanded our operations centers in India and in the United States, including an operating facility in Connecticut in the United States and Chennai in India as a result of our acquisition of SCIO. In 2017, our acquisition of the Health Integrated business added an operating facility in Tampa, Florida.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Relationships and Acquisitions</w:t>
      </w:r>
    </w:p>
    <w:p>
      <w:pPr>
        <w:spacing w:after="0" w:line="121"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We intend to continue making selective acquisitions in our focus industry verticals as well as to add to our capabilities. We consider selective strategic relationships with industry leaders that add new long-term client relationships, enhance the depth and breadth of our services and complement our business strategy. We also pursue select partnerships, alliances or investments that will expand the scope and effectiveness of our services by adding proprietary technology assets and intellectual property, adding new clients or allowing us to enter new geographic markets. In 2018, we launched our Connected Intelligence Partnership programs to expand our technology and innovation ecosystem to accelerate client business outcomes from digital transformation. The Connected Intelligence program has enhanced go-to-market opportunities with new programs for emerging innovators and startups, digital technology partners, industry solution partners and alliances and associations to deliver leading digital solutions and services to its clients.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Management</w:t>
      </w:r>
    </w:p>
    <w:p>
      <w:pPr>
        <w:spacing w:after="0" w:line="229"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BPM service providers work with clients to transfer their key business processes to reduce costs, improve process quality, handle increased transaction volumes and reduce redundancy. BPM providers can enable organizations to enhance profitability and increase efficiency and reliability, permitting them to concentrate on their core areas of competence. BPM is a long-term strategic commitment for a company that, once implemented, is generally not subject to cyclical spending or information technology budget fluctuations. Increased global demand, cost improvements in international communications and the automation of many business services have created a significant opportunity for BPM providers with offshore delivery capabilities, and many companies are moving select office processes to providers with the capacity to perform these functions from overseas locations. We believe the demand for BPM services will be primarily led by industries that are transaction-driven and that require significant customer interactions.</w:t>
      </w:r>
    </w:p>
    <w:p>
      <w:pPr>
        <w:spacing w:after="0" w:line="189"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According to India’s National Association of Software and Service Companies, an industry trade organization, exports from India in the information technology and BPM industry are expected to grow 7%-9% year over year in the fiscal year ending March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Analytics</w:t>
      </w:r>
    </w:p>
    <w:p>
      <w:pPr>
        <w:spacing w:after="0" w:line="229"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Companies are increasingly looking to BPM service providers to provide a suite of analytics services, including statistical tools, models and techniques to clean, organize and examine structured and unstructured corporate data. This data is then used by companies to generate specific business-related analysis and insights into their business and prospects.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BPM service providers who can develop industry-specific analytics expertise are especially well poised to benefit from this global trend.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Client Management</w:t>
      </w:r>
    </w:p>
    <w:p>
      <w:pPr>
        <w:spacing w:after="0" w:line="22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market our services to our existing and prospective clients through our sales and client management teams, which are aligned by industry verticals and cross-industry domains such as finance and accounting and consulting. Our sales and client management teams operate from the U.S., Europe, Australia and South Africa are supported by our business development teams.</w:t>
      </w:r>
    </w:p>
    <w:p>
      <w:pPr>
        <w:spacing w:after="0" w:line="176"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Our sales, marketing and business development teams are responsible for new client acquisitions, public relations, relations with outsourcing advisory companies, analyst relations and rankings, lead generation, knowledge management, content development, campaign management, digital or web presence, brand awareness and participation in industry forums and conferences. As of December 31, 2018, we employed approximately 150 sales, marketing, business development and client management professionals with the majority of them based in either the U.S. or Europe. Our professionals generally have significant experience in business process services, technology, operations, analytics and consulting.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229"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EXL generated revenues from approximately 480 clients and 420 clients in 2018 and 2017, respectively (with annual revenue exceeding $50,000 per client). We have won 50 and 42 new clients during 2018 and 2017, respectively.</w:t>
      </w:r>
    </w:p>
    <w:p>
      <w:pPr>
        <w:spacing w:after="0" w:line="162"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Our top three, five and ten clients generated 16.4%, 23.7% and 37.2% of our revenues, respectively, in 2018. Our top three, five and ten clients generated 17.1%, 24.6% and 38.6% of our revenues, respectively, in 2017. No client accounted for more than 10% of our total revenues in 2018 or 2017.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 See “Item 1A. Risk Factors-Risks Related to Our Business-We derive a substantial portion of our revenues from a limited number of clients.”</w:t>
      </w:r>
    </w:p>
    <w:p>
      <w:pPr>
        <w:spacing w:after="0" w:line="184"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Our long-term relationships with our clients typically evolve from providing a single, discrete service or process into providing a series of complex, integrated processes across multiple business lines. For operations management services other than consulting, we enter into long-term agreements with our clients with typical initial terms of between three to five years. Consulting engagements have typical terms of six to twelve months. Agreements for Analytics services are either project based or having shorter initial terms, which are typically between one to three years. However, each agreement is individually negotiated with the client.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Competition in the BPM services industry is intense and growing. See “Item 1A. Risk Factors-Risks Related to Our Business-We face significant competition from U.S.-based and non-U.S.-based BPM and information technology (“IT”)</w:t>
      </w:r>
    </w:p>
    <w:p>
      <w:pPr>
        <w:sectPr>
          <w:pgSz w:w="11900" w:h="16838" w:orient="portrait"/>
          <w:cols w:equalWidth="0" w:num="1">
            <w:col w:w="11420"/>
          </w:cols>
          <w:pgMar w:left="240" w:top="333"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and from our clients, who may build shared services centers to perform these services themselves, either in-house, in the U.S. or through offshore groups or other arrangements.” Many companies, including certain of our clients, choose to perform some or all of their customer-facing and back-office processes internally, utilizing their own employees to provide these services as part of their regular business operations. Some companies have moved portions of their in-house customer management functions offshore, including to offshore affiliates. We believe our key advantage over in-house business processes management is that we provide companies the opportunity to focus on their core products and markets while we focus on service delivery and operational excellence. We compete primarily against:</w:t>
      </w:r>
    </w:p>
    <w:p>
      <w:pPr>
        <w:spacing w:after="0" w:line="80" w:lineRule="exact"/>
        <w:rPr>
          <w:sz w:val="20"/>
          <w:szCs w:val="20"/>
          <w:color w:val="auto"/>
        </w:rPr>
      </w:pPr>
    </w:p>
    <w:p>
      <w:pPr>
        <w:ind w:left="820" w:hanging="420"/>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BPM service companies with delivery capability in offshore locations, particularly India, such as Genpact Limited and WNS (Holdings) Limited;</w:t>
      </w:r>
    </w:p>
    <w:p>
      <w:pPr>
        <w:spacing w:after="0" w:line="27" w:lineRule="exact"/>
        <w:rPr>
          <w:rFonts w:ascii="Times New Roman" w:cs="Times New Roman" w:eastAsia="Times New Roman" w:hAnsi="Times New Roman"/>
          <w:sz w:val="18"/>
          <w:szCs w:val="18"/>
          <w:color w:val="auto"/>
        </w:rPr>
      </w:pPr>
    </w:p>
    <w:p>
      <w:pPr>
        <w:ind w:left="820" w:hanging="420"/>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BPM divisions of large global IT service companies, such as Accenture, Cognizant Technology Solutions, Infosys and Tata Consultancy Services;</w:t>
      </w:r>
    </w:p>
    <w:p>
      <w:pPr>
        <w:spacing w:after="0" w:line="9" w:lineRule="exact"/>
        <w:rPr>
          <w:rFonts w:ascii="Times New Roman" w:cs="Times New Roman" w:eastAsia="Times New Roman" w:hAnsi="Times New Roman"/>
          <w:sz w:val="18"/>
          <w:szCs w:val="18"/>
          <w:color w:val="auto"/>
        </w:rPr>
      </w:pPr>
    </w:p>
    <w:p>
      <w:pPr>
        <w:ind w:left="820" w:hanging="420"/>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providers that provide services in a specific geographic market, industry or service area such as analytics or healthcare; and</w:t>
      </w:r>
    </w:p>
    <w:p>
      <w:pPr>
        <w:spacing w:after="0" w:line="9" w:lineRule="exact"/>
        <w:rPr>
          <w:rFonts w:ascii="Times New Roman" w:cs="Times New Roman" w:eastAsia="Times New Roman" w:hAnsi="Times New Roman"/>
          <w:sz w:val="18"/>
          <w:szCs w:val="18"/>
          <w:color w:val="auto"/>
        </w:rPr>
      </w:pPr>
    </w:p>
    <w:p>
      <w:pPr>
        <w:ind w:left="820" w:hanging="420"/>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accounting and management consulting firms.</w:t>
      </w:r>
    </w:p>
    <w:p>
      <w:pPr>
        <w:spacing w:after="0" w:line="99"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8"/>
          <w:szCs w:val="18"/>
          <w:color w:val="auto"/>
        </w:rPr>
        <w:t>We compete against these entities by working to establish ourselves as a service provider with deep industry expertise, strong client relationships, leading industry talent, superior operational and process capabilities, differentiated technology and BPaaS solutions, and sophisticated analytic and consulting capabilities, which enable us to respond rapidly to market trends and the evolving needs of our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intellectual property consists of proprietary and licensed platforms, software and databases, trade secrets, methodologies and know-how, trademarks, copyrighted software, operating procedures and other materials and patents and pending patent applications. We have several registered trademarks and logos, three issued patents and several pending patent and trademark applications with the U.S. Patent and Trademark Office and certain foreign jurisdictions. We consider many of our business processes and implementation methodologies to be trade secrets or proprietary know-how and confidential information. To provide our services, in addition to our own proprietary tools, we use software and data licensed by us or our clients from third parties. We also use SaaS services from third parties pursuant to contracts with us or our clients. In particular, we have developed several strategic partnerships with robotics and process automation software companies to facilitate our offering of automation to our clients.</w:t>
      </w:r>
    </w:p>
    <w:p>
      <w:pPr>
        <w:spacing w:after="0" w:line="189"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Clients and business partners sign nondisclosure agreements requiring confidential treatment of our information. Our employees are required to sign work-for-hire and confidentiality covenants as a condition to their employment.</w:t>
      </w:r>
    </w:p>
    <w:p>
      <w:pPr>
        <w:spacing w:after="0" w:line="16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technology group and various business lines develop proprietary tools that we deploy to support services for our clients. We typically retain ownership of any pre-existing tools. While working on client engagements, we also often develop new tools or methodologies, including robotics and process automation software or “bots,” and we endeavor to negotiate contracts that give us ownership or licenses to use or demonstrate such tools for other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and Data Privacy</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have a strong focus on information security, cyber security, data privacy and the protection of our clients’ and their customers’ confidential personal and sensitive information. We have made significant investments to strengthen our information security and cyber security posture and protocols to ensure compliance with our contractual obligations and the laws and regulations governing our activities. These investments include people, processes and technology intended to protect information throughout its life cycle.</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EXL places significant focus on implementing and maintaining cyber security capabilities to identify, protect, detect, respond and recover from cyber threats, incidents and attacks; reduce vulnerabilities and minimize the impact of cyber incidents. We have a culture of compliance and institutional governance built upon and supported by policies and processes, tools and technologies, and regular knowledge and awareness training. EXL takes into account guidance from the Cyber Security Framework of the National Institute of Standards and Technology of the U.S. Department of Commerce in designing controls and policies regarding security for client and business data. EXL has undertaken measures designed to comply with new European privacy regulations, including the General Data Protection Regulation (EU) 2016/679 (“GDPR”) and/or any corresponding or equivalent national laws or regulations.</w:t>
      </w:r>
    </w:p>
    <w:p>
      <w:pPr>
        <w:spacing w:after="0" w:line="80"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According to the needs of our clients as well as the regulatory requirements of the geographies in which we operate, many of our delivery centers are certified in regard to quality, information security and employee safety, such as the ISO 9001:2008 standard for quality management system, the ISO 27001:2013 standard for our information security management system and the OHSAS 18001:2007 standard for our occupational health and safety management system. Some of our centers in the Philippines and South Africa and certain client processes in other operation centers in India are compliant with the Payment Card Industry Data Security Standard (PCI-DSS) version 3.2 or higher requirements. We engage independent firms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conduct General Controls and business process specific SSAE 16 (SOC I - Type II) assessments EXL offers managed hosting environments for our BPaaS solutions in our Insurance and Healthcare verticals. The technology applications designed to meet disaster recover requirements are hosted in ISO 27001 certified, SSAE18 SOC1 Compliant Tier 4 data centers that are proactively monitored and managed 24 hours a day to meet the client’s business requirements.</w:t>
      </w:r>
    </w:p>
    <w:p>
      <w:pPr>
        <w:spacing w:after="0" w:line="17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have a robust, wide area network and international telecommunications capacity to support our global business operations. Our infrastructure is built to industry standards, leveraging leading technology providers and partners. Our business continuity management includes plans to mitigate and manage operational risks by building resilience and redundancy in our telecommunications and network infrastructure, applications and IT infrastructure, utilities and power, and trained talent across our service delivery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As of December 31, 2018, we had a headcount of approximately 29,100 employees, with approximately 20,200 employees based in India and approximately 5,100 employees in the Philippines. We have approximately 2,700 employees in the U.S, 200 employees in the U.K., 200 employees in Colombia, and 400 employees in the Czech Republic, Bulgaria, Romania, and 300 in South Africa and other geographies. None of our employees are unionized. We have never experienced any work stoppages and believe that we enjoy good employee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Hiring and Recruiting</w:t>
      </w:r>
    </w:p>
    <w:p>
      <w:pPr>
        <w:spacing w:after="0" w:line="229"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Our employees are critical to the success of our business. Accordingly, we focus on recruiting, training and retaining our professionals. We have developed effective strategies that enable an efficient recruitment process. We have over 110 employees dedicated to recruitment. Some of the strategies we have adopted to increase efficiency in our hiring practices include the utilization of online voice assessments and a centralized hiring center. Our hiring policies focus on identifying high quality employees who demonstrate a propensity for learning, contribution to client services and growth. Candidates must undergo numerous tests and interviews before we extend offers for employment. We also conduct background checks on candidates, including criminal background checks, where permitted and as required by clients or on a sample basis. In addition, where permitted and required for client services, we perform random drug testing on the workforce on a regular basis.</w:t>
      </w:r>
    </w:p>
    <w:p>
      <w:pPr>
        <w:spacing w:after="0" w:line="189"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that are located within some of our operations centers. Our attrition rate for employees who had been with EXL for more than 180 days was 31.8% and 32.0% for the years ended December 31, 2018 and 2017, respectively. As competition in our industry increases, our turnover rate could increase.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Capability Development and Training</w:t>
      </w:r>
    </w:p>
    <w:p>
      <w:pPr>
        <w:spacing w:after="0" w:line="18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maintain a strong focus on capability development, with an emphasis on digital transformation deeper knowledge, specialization and domain expertise. Our talent and learning strategies are aligned to the overall business strategy. This creates thought leaders with high industry acumen who are better able to address our clients’ requirements. We also provide a career -linked learning path to our employees from new hires to tenured employees to senior levels of leadership.</w:t>
      </w:r>
    </w:p>
    <w:p>
      <w:pPr>
        <w:spacing w:after="0" w:line="248"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Our domain academies focus on building domain expertise through certifications and specialization. These include our Insurance Academy, Travel Academy, Finance and Accounting Academy, Healthcare Academy, Analytics Academy, Consulting Academy and Digital Academy. These domain academies focus on achieving excellence and developing skill sets that can be used across the different domains. Our training includes behavioral and functional components to enhance and ensure job readiness as well as also boosting ongoing productivity and effectiveness. We also focus on promoting better diversity and inclusion through our training programs. We have a global presence catering to the specific learning requirements of each geography. We provide learning through our blended learning methodology comprising of classroom, on the job coaching and technology led learning.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8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operations sometimes are subject to rules, regulations and statutes in the countries where we have operations and where we deliver services as a result of the diverse and complex nature of our service offerings. More often, however, our clients contractually require that we comply with certain rules and regulations applicable to their specific industries.</w:t>
      </w:r>
    </w:p>
    <w:p>
      <w:pPr>
        <w:spacing w:after="0" w:line="13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one of the few service providers that can provide third-party administrator insurance services from India and the Philippines and are currently able to provide such services in the U.S. for 49 states and 23 states (including the District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3"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Columbia), respectively. Additionally, our Philippines subsidiary is able to provide utilization review services in the U.S. for 39 states (including the District of Columbia). Further, through domestic subsidiaries, we are licensed or otherwise eligible to provide third-party administrator services in all states within the U.S. as well as utilization review, insurance adjuster, and insurance producer services in select states. We are required to maintain licenses in various jurisdictions or require certain categories of our professionals to be individually licensed in service areas such as debt collection, utilization review, workers’ compensation utilization review, insurance adjuster, insurance producer and telemarketing services. Our facilities in the Philippines are accredited by the National Committee for Quality Assurance (NCQA), a leading healthcare and education accreditation organization, while one domestic subsidiary is accredited by both NCQA and the Utilization Review Accreditation Commission. We continue to obtain licenses and accreditations required from time to time by our business operations.</w:t>
      </w:r>
    </w:p>
    <w:p>
      <w:pPr>
        <w:spacing w:after="0" w:line="7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Our operations are also subject to compliance with a variety of other laws, including U.S. federal and state regulations that apply to certain portions of our business such as the Fair Credit Reporting Act, the Foreign Corrupt Practices Act, the Federal Trade Commission Act, the Gramm-Leach-Bliley Act, the Health Insurance Portability and Accountability Act of 1996, the Health Information Technology for Economics and Clinical Health Act of 2009, GDPR and the UK Bribery Act. We must also comply with applicable regulations relating to health and other personal information that we handle as part of our services.</w:t>
      </w:r>
    </w:p>
    <w:p>
      <w:pPr>
        <w:spacing w:after="0" w:line="72"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We benefit from tax relief provided by laws and regulations in India and the Philippines from time to time. Regulation of our business by the Indian government affects us in several ways. During the last several years, we either established or acquired new centers that are eligible for tax benefits under the Special Economic Zones Act, 2005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 See “Item 1A - Risk Factors - Risks related to the International nature of our business - Our financial condition could be negatively affected if foreign governments introduce new legislation, reduce or withdraw tax benefits and other incentives currently provided to companies within our industry or if we are not eligible for these benefits.”</w:t>
      </w:r>
    </w:p>
    <w:p>
      <w:pPr>
        <w:spacing w:after="0" w:line="15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also benefitted from a corporate tax holiday in the Philippines for some of our operations centers established there over the last several years. The Company registered with the Philippines Economic Zone Authority (“PEZA”) and is inter-alia, eligible for income tax exemption for four years. This exemption incentive may be extended in certain instances upon fulfillment of certain conditions. Following the expiry of the tax exemption, income generated from centers in the Philippines will be taxed at the prevailing annual tax rate.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under the Securities Exchange Act of 1934, as amended (the “Exchange Act”). The SEC maintains a website (http://www.sec.gov) that contains reports, proxy and information statements, and other information regarding issuers that file electronically through the EDGAR System. You may access the information filed by us with the SEC by visiting its website.</w:t>
      </w:r>
    </w:p>
    <w:p>
      <w:pPr>
        <w:spacing w:after="0" w:line="140"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We also maintain a website at http://www.exlservice.com. Information on our website does not constitute a part of, nor is it incorporated in any way, into this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corporate governance information, and other news and announcements that investors might find useful or interesting.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3"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a limited number of clients.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derived and believe that we will continue to derive a substantial portion of our total revenues from a limited number of large clients.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200" w:lineRule="exact"/>
        <w:rPr>
          <w:sz w:val="20"/>
          <w:szCs w:val="20"/>
          <w:color w:val="auto"/>
        </w:rPr>
      </w:pPr>
    </w:p>
    <w:p>
      <w:pPr>
        <w:spacing w:after="0" w:line="2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economic and political conditions and the effects of these conditions on our clients’ businesses and levels of business activity.</w:t>
      </w:r>
    </w:p>
    <w:p>
      <w:pPr>
        <w:spacing w:after="0" w:line="11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Global economic and political conditions affect our clients’ businesses and the markets they serve. The domestic and international capital and credit markets have been experiencing volatility and disruption for the past several years, resulting in uncertainty in the financial markets in general, which includes companies in the banking, financial services, healthcare and insurance industries to which we provide services. Although there has been recent improvement in general economic conditions in these industries, there can be no assurance that the economic environment will continue to improve. Our business largely depends on continued demand for our services from clients and potential clients in these industries. If there is a significant consolidation in these industries or a decrease in growth due to any adverse development or consolidation in other industry verticals on which we focus, such events could materially reduce the demand for our services and negatively affect our revenue and profitability. In addition, we currently derive, and are likely to continue to derive, a significant portion of our revenues from clients located in the U.S. Any future decreases in the general level of economic activity, such as decreases in business and consumer spending, could result in a decrease in demand for our services, particularly our analytics and consulting services, thus reducing our revenues. Weakness in the U.S. labor market could also adversely affect the demand for our services. Other developments in response to economic events, such as restructurings or reorganizations, particularly involving our clients, could also cause the demand for our services to decline.</w:t>
      </w:r>
    </w:p>
    <w:p>
      <w:pPr>
        <w:spacing w:after="0" w:line="19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Market disruptions may limit our ability to access financing or increase our cost of financing to meet liquidity needs, and affect the ability of our customers to use credit to purchase our services or to make timely payments to us, resulting in adverse effects on our financial condition, results of operations and cash flows.</w:t>
      </w:r>
    </w:p>
    <w:p>
      <w:pPr>
        <w:spacing w:after="0" w:line="200" w:lineRule="exact"/>
        <w:rPr>
          <w:sz w:val="20"/>
          <w:szCs w:val="20"/>
          <w:color w:val="auto"/>
        </w:rPr>
      </w:pPr>
    </w:p>
    <w:p>
      <w:pPr>
        <w:spacing w:after="0" w:line="2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client contracts contain certain termination and other provisions that could have an adverse effect on our business, results of operations, financial condition and cash flows.</w:t>
      </w:r>
    </w:p>
    <w:p>
      <w:pPr>
        <w:spacing w:after="0" w:line="3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Consistent with industry practice, 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36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financial condition and cash flows.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to our clients which in turn could have a material adverse effect on our business, results of operations, financial condition and cash flows.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3"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2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attract, hire, train and retain qualified employees, including our ability to attract employees with needed skills in the geographic areas in which we operate. Our industry, including us, experiences high employee turnover.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 These additional costs could have a material adverse effect on our results of operations and cash flows.</w:t>
      </w:r>
    </w:p>
    <w:p>
      <w:pPr>
        <w:spacing w:after="0" w:line="3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highly-skilled technical personnel, our ability to effectively lead our current projects and develop new business could be jeopardized, and our business, results of operations and financial condition could be adversely affected.</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often have a long selling cycle for our operations management services that requires significant funds and management resources and a long implementation cycle that requires significant resource commitments.</w:t>
      </w:r>
    </w:p>
    <w:p>
      <w:pPr>
        <w:spacing w:after="0" w:line="2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often have a long selling cycle for our operations management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36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Once we are engaged by a client, it may take us several months before we start to recognize significant revenues.</w:t>
      </w:r>
    </w:p>
    <w:p>
      <w:pPr>
        <w:spacing w:after="0" w:line="2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When we are engaged by a client after the selling process for our operations management services, it takes from four to six weeks to integrate the client’s systems with ours, and from three months to six months thereafter to build our services to the client’s requirements and perform any necessary transformation initiatives.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00" w:lineRule="exact"/>
        <w:rPr>
          <w:sz w:val="20"/>
          <w:szCs w:val="20"/>
          <w:color w:val="auto"/>
        </w:rPr>
      </w:pPr>
    </w:p>
    <w:p>
      <w:pPr>
        <w:spacing w:after="0" w:line="2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generally enter into long-term contracts with our clients for our operations management services, and our failure to accurately estimate the resources and time required for our contracts may negatively affect our revenues, cash flows and profitability.</w:t>
      </w:r>
    </w:p>
    <w:p>
      <w:pPr>
        <w:spacing w:after="0" w:line="2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initial terms of our operations management contracts typically range from three to five years. In many of our operations management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potential productivity benefits over time,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ectPr>
          <w:pgSz w:w="11900" w:h="16838" w:orient="portrait"/>
          <w:cols w:equalWidth="0" w:num="1">
            <w:col w:w="11420"/>
          </w:cols>
          <w:pgMar w:left="240" w:top="333"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33"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Consistency in our revenues from period to period depends in part on our ability to reflect the changing demands and needs of our existing and potential clients. If we are unable to adjust our pricing terms or the mix of products and services we provide to meet the changing demands of our clients and potential clients, our business, results of operations, financial condition and cash flows may be adversely affected.</w:t>
      </w:r>
    </w:p>
    <w:p>
      <w:pPr>
        <w:spacing w:after="0" w:line="2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significant portion of our contracts use a pricing model that provides for hourly or annual billing rates. Industry pricing models are evolving and clients increasingly request transaction-based, outcome-based or other pricing models. If we make inaccurate assumptions for contracts with such alternative pricing models,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3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for the services we provide to our clients, the revenues and income from such services may decline or vary as the type and volume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operations management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will suffer if we are not able to price our services appropriately or manage our asset utilization levels.</w:t>
      </w:r>
    </w:p>
    <w:p>
      <w:pPr>
        <w:spacing w:after="0" w:line="29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profitability is largely a function of the efficiency with which we utilize our assets,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cash flows and financial condition.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analytics and consulting services are cyclical and based on specific projects involving short-term contracts.</w:t>
      </w:r>
    </w:p>
    <w:p>
      <w:pPr>
        <w:spacing w:after="0" w:line="29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analytics and consulting services are cyclical and can be significantly affected by variations in business cycles. Changes in the deadlines or the scope of work required for compliance with the requirements of legislation applicable to our clients could curtail significantly those service offerings.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our project based analytics and consulting services consists of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analytics and consulting services.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experience significant variability and as a result it may be difficult for us to make accurate financial forecasts.</w:t>
      </w:r>
    </w:p>
    <w:p>
      <w:pPr>
        <w:spacing w:after="0" w:line="2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 depending on when we complete the implementation phase with new clients. The completion of implementation varies significantly based upon the complexity of the processes being implemented.</w:t>
      </w:r>
    </w:p>
    <w:p>
      <w:pPr>
        <w:spacing w:after="0" w:line="3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fluctuations, seasonal</w:t>
      </w:r>
    </w:p>
    <w:p>
      <w:pPr>
        <w:sectPr>
          <w:pgSz w:w="11900" w:h="16838" w:orient="portrait"/>
          <w:cols w:equalWidth="0" w:num="1">
            <w:col w:w="11420"/>
          </w:cols>
          <w:pgMar w:left="240" w:top="333"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3"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the operations of our clients and other events identified in this Annual Report on Form 10-K. Our revenues are also affected by changes in pricing under our contracts at the time of renewal or by pricing under new contracts. In addition, most of our contracts do not commit our clients to provide us with a specific volume of business. Further, 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whereas revenues from new license sales and implementation projects have a long selling cycle and it is difficult to predict the timing of when such new contracts will be signed which may lead to fluctuations in our short term revenues. All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00" w:lineRule="exact"/>
        <w:rPr>
          <w:sz w:val="20"/>
          <w:szCs w:val="20"/>
          <w:color w:val="auto"/>
        </w:rPr>
      </w:pPr>
    </w:p>
    <w:p>
      <w:pPr>
        <w:spacing w:after="0" w:line="2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2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25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manage our rapid infrastructure and personnel growth effectively could have a material adverse effect on our business, results of operations, financial condition and cash flows.</w:t>
      </w:r>
    </w:p>
    <w:p>
      <w:pPr>
        <w:spacing w:after="0" w:line="2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Since we were founded in April 1999, we have experienced rapid growth and significantly expanded our operations, and that growth has continued in recent years as well. We have several operations centers in India, the U.S., the Philippines and an operations center in each of Australia, the United Kingdom, South Africa, Colombia, Bulgaria, Romania, and the Czech Republic. Further, we have acquired multiple regional offices in the U.S. as part of our acquisitions. Our headcount has increased significantly over the past several years. We expect to develop and improve our internal systems in the locations where we operate in order to address the anticipated continued growth of our business.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We also need to manage cultural differences between our employee populations and that may create a risk for employment law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3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33"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3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3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36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Following the completion of some acquisitions,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entire book value of goodwill and other intangible assets from acquisitions.</w:t>
      </w:r>
    </w:p>
    <w:p>
      <w:pPr>
        <w:spacing w:after="0" w:line="29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periodically assess our goodwill and intangible assets to determine if they are impaired and we monitor for impairment of goodwill relating to all acquisitions. Goodwill is not amortized but is tested for impairment at least once on an annual basis in the fourth quarter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 quantitative test to determine whether it is more likely than not that the fair value of a reporting unit is less than its carrying amount. In the event that the carrying amount of goodwill is impaired, any such impairment would be charged to earnings in the period of impairment. Since this involves use of critical accounting estimates, we cannot assure you that future impairment of goodwill will not have a material adverse effect on our business, financial condition or results of operations.</w:t>
      </w:r>
    </w:p>
    <w:p>
      <w:pPr>
        <w:spacing w:after="0" w:line="200" w:lineRule="exact"/>
        <w:rPr>
          <w:sz w:val="20"/>
          <w:szCs w:val="20"/>
          <w:color w:val="auto"/>
        </w:rPr>
      </w:pPr>
    </w:p>
    <w:p>
      <w:pPr>
        <w:spacing w:after="0" w:line="2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collect our receivables from, or bill our unbilled services to, our clients, our results of operations and cash flows could be adversely affected.</w:t>
      </w:r>
    </w:p>
    <w:p>
      <w:pPr>
        <w:spacing w:after="0" w:line="2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We might not accurately assess the creditworthiness of our clients. Macroeconomic conditions, such as any domestic or global credit crisis and disruption or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wage increases may prevent us from sustaining our competitive advantage and may reduce our profit margin.</w:t>
      </w:r>
    </w:p>
    <w:p>
      <w:pPr>
        <w:spacing w:after="0" w:line="2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most significant costs are the salaries and related benefits of our operations staff and other employees. For example, wage costs in India have historically been significantly lower than wage costs in the U.S. and Europe for comparably skilled professionals, which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w:t>
      </w:r>
    </w:p>
    <w:p>
      <w:pPr>
        <w:sectPr>
          <w:pgSz w:w="11900" w:h="16838" w:orient="portrait"/>
          <w:cols w:equalWidth="0" w:num="1">
            <w:col w:w="11420"/>
          </w:cols>
          <w:pgMar w:left="240" w:top="333"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33"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retaining the quality and number of employees that our business requires. Wages are generally higher for employees performing analytics and consulting services than for employees performing operations management services. As the scale of our analytics and consulting services increases, wages as a percentage of revenues will likely increase. To the extent that we are not able to control or share wage increases with our clients, wage increases may reduce our margins and cash flows. We will attempt to control such costs by our efforts to add capacity in locations where we consider wage levels of skilled personnel to be satisfactory, but we may not be successful in doing so.</w:t>
      </w:r>
    </w:p>
    <w:p>
      <w:pPr>
        <w:spacing w:after="0" w:line="3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U.S.-based and non-U.S.-based BPM and IT companies and from our clients, who may build shared services centers to perform these services themselves, either in-house, in the U.S. or through offshore groups or other arrangements.</w:t>
      </w:r>
    </w:p>
    <w:p>
      <w:pPr>
        <w:spacing w:after="0" w:line="2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w:t>
      </w:r>
    </w:p>
    <w:p>
      <w:pPr>
        <w:spacing w:after="0" w:line="25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gross margins, which could harm our business, results of operations, financial condition and cash flows.</w:t>
      </w:r>
    </w:p>
    <w:p>
      <w:pPr>
        <w:spacing w:after="0" w:line="36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financial condition and cash flows.</w:t>
      </w:r>
    </w:p>
    <w:p>
      <w:pPr>
        <w:spacing w:after="0" w:line="3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2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w:t>
      </w:r>
    </w:p>
    <w:p>
      <w:pPr>
        <w:spacing w:after="0" w:line="2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business is dependent on the secure and reliable operation of controls within our and our clients’ information systems and processes, whether operated or executed by our clients themselves or by us in connection with our provision of services to them. Although we believe we take adequate measures to safeguard against system-related and other fraud, there can be no assurance that we would be able to prevent fraud or even detect them on a timely basis, particularly where it relates to our clients’ information systems which are not managed by us. We could incur certain liabilities if a process we manage for a client were to result in internal control failures or processing errors, or impair our client’s ability to comply with its own internal control requirements.</w:t>
      </w:r>
    </w:p>
    <w:p>
      <w:pPr>
        <w:spacing w:after="0" w:line="2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as well as for some of the third party technology and platforms we sometimes use to deliver our services. Any failure by these vendors to perform those services, any temporary or permanent loss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3"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our equipment or systems, or any disruptions to basic infrastructure like power and telecommunications could impede our ability to provide services to our clients, have a negative impact on our reputation, cause us to lose clients, reduce our revenues and cash flows and harm our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contractual limitations on liability with our clients and third parties may not be enforceable.</w:t>
      </w:r>
    </w:p>
    <w:p>
      <w:pPr>
        <w:spacing w:after="0" w:line="29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are generally not limited under those agreements. Because our agreements are governed by laws of multiple jurisdictions, the interpretation of certain provisions, and the availability of certain defenses to us, may vary, which, in certain circumstances, may contribute to uncertainty as to the scope of our potential liability.</w:t>
      </w:r>
    </w:p>
    <w:p>
      <w:pPr>
        <w:spacing w:after="0" w:line="3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if we incur legal liability, including with respect to our contractual obligations, in connection with providing our solutions and services.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we fail to meet our contractual obligations or otherwise breach obligations to our clients or vendors, we could be subject to legal liability. We may enter into non-standard agreements because we perceive an important economic opportunity by doing so or because our personnel did not adequately adhere to our guidelines. In addition, with respect to our client contracts, the contracting practices of our competitors may cause contract terms and conditions that are unfavorable to us to become standard in the marketplace. If we cannot or do not perform our obligations with clients or vendors, we could face legal liability and our contracts might not always protect us adequately through limitations on the scope and/or amount of our potential liability. If we cannot, or do not, meet our contractual obligations to provide solutions and services to clients, and if our exposure is not adequately limited through the enforceable terms of our agreements, we might face significant legal liability and our business could be adversely affected. Similarly, if we cannot, or do not, meet our contractual obligations with vendors, such as licensors, the vendors may have the right to terminate the contract, in which case we may not be able to provide client solutions and services dependent on the products or services provided to us by such contracts.</w:t>
      </w:r>
    </w:p>
    <w:p>
      <w:pPr>
        <w:spacing w:after="0" w:line="200" w:lineRule="exact"/>
        <w:rPr>
          <w:sz w:val="20"/>
          <w:szCs w:val="20"/>
          <w:color w:val="auto"/>
        </w:rPr>
      </w:pPr>
    </w:p>
    <w:p>
      <w:pPr>
        <w:spacing w:after="0" w:line="2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2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success depends in part on certain methodologies, practices, tools and technical expertise we utilize in providing our services. We engage in designing, developing, implementing and maintaining applications and other proprietary materials. In order to protect our rights in these various materials, we may seek protection under trade secret, patent, copyright and trademark laws. We also generally enter into confidentiality and nondisclosure agreements with our clients and potential clients, and third party vendors, and seek to limit access to and distribution of our proprietary information. For our employees and independent contractors, we generally require confidentiality and work-for-hire agreements. These measures may not prevent misappropriation or infringement of our intellectual property or proprietary information and a resulting loss of competitive advantage. Additionally, we may not be successful in obtaining or maintaining patents or trademarks for which we have applied.</w:t>
      </w:r>
    </w:p>
    <w:p>
      <w:pPr>
        <w:spacing w:after="0" w:line="36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patents or other means,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36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competitors or others may allege that our systems, processes, marketing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deliverables. We may not be successful in defending against any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 technology development expenses, or pay significant monetary damages.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3"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such claim for intellectual property infringement may have a material adverse effect on our business, results of operations, financial condition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insured for all losses we may incur.</w:t>
      </w:r>
    </w:p>
    <w:p>
      <w:pPr>
        <w:spacing w:after="0" w:line="29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Although we have general liability insurance coverage, including coverage for errors or omissions, cyber security incidents,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3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and changing laws, corporate governance and public disclosure requirements add uncertainty to our compliance policies and increase our costs of compliance.</w:t>
      </w:r>
    </w:p>
    <w:p>
      <w:pPr>
        <w:spacing w:after="0" w:line="2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Changing laws, regulations and standards relating to accounting, corporate governance and public disclosure, including the Sarbanes-Oxley Act of 2002, the Dodd-Frank Wall Street Reform and Consumer Protection Act (“Dodd Frank”), other SEC regulations, rules and regulations of the Consumer Financial Protection Bureau, Public Company Accounting Oversight Board, and the NASDAQ Global Select Market, and generally accepted accounting principles issued by FASB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25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particular, our efforts to comply with Section 404 of the Sarbanes-Oxley Act of 2002 and the related regulations regarding our required assessment of our internal controls over financial reporting and our external auditors’ audit of that assessment requires the commitment of significant financial and managerial resources. We consistently assess the adequacy of our internal controls over financial reporting, remediate any control deficiencies that may be identified, and validate through testing that our controls are functioning as documented. Internal control over financial reporting has inherent limitations, including human error, sample-based testing, the possibility that controls could be circumvented or become inadequate because of changed conditions, and fraud. Because of these inherent limitations, internal control over financial reporting might not prevent or detect all misstatements or fraud. While we do not anticipate any internal control failures, if we cannot maintain effective internal controls or if management or our independent auditor fail in the future to provide us with an unqualified report as to the adequacy and effectiveness, respectively, of our internal controls over financial reporting for future year ends, it could result in adverse consequences to us, including, but not limited to, a loss of investor confidence in the reliability of our financial statements, which could cause the market price of our stock to decline.</w:t>
      </w:r>
    </w:p>
    <w:p>
      <w:pPr>
        <w:spacing w:after="0" w:line="3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adhere to the regulations or accreditation or licensing standards that govern our business could have an adverse impact on our operations.</w:t>
      </w:r>
    </w:p>
    <w:p>
      <w:pPr>
        <w:spacing w:after="0" w:line="2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clients’ business operations are often subject to regulation and accreditation and licensing standards, and our clients may require that we perform our services in a manner that will enable them to comply with applicable regulations or accreditations or licensing standards. Our clients are located around the world, and the laws and regulations that apply include, among others, United States federal laws such as the Gramm-Leach-Bliley Act and the Health Insurance Portability and Accountability Act, the Health Information Technology for Economic and Clinical Health Act, state laws on third party administration services, utilization</w:t>
      </w:r>
    </w:p>
    <w:p>
      <w:pPr>
        <w:sectPr>
          <w:pgSz w:w="11900" w:h="16838" w:orient="portrait"/>
          <w:cols w:equalWidth="0" w:num="1">
            <w:col w:w="11420"/>
          </w:cols>
          <w:pgMar w:left="240" w:top="333"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3"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review services, telemarketing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accreditations, permits and/or licenses for the conduct of our business in all jurisdictions in which we have operations, including India, and, in some cases, where our clients receive our services, including the United States and Europe. If we do not maintain our accreditations,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financial condition and cash flows.</w:t>
      </w:r>
    </w:p>
    <w:p>
      <w:pPr>
        <w:spacing w:after="0" w:line="200" w:lineRule="exact"/>
        <w:rPr>
          <w:sz w:val="20"/>
          <w:szCs w:val="20"/>
          <w:color w:val="auto"/>
        </w:rPr>
      </w:pP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in delivering complex and large projects for our clients that could cause clients to discontinue their work with us, which in turn could harm our business.</w:t>
      </w:r>
    </w:p>
    <w:p>
      <w:pPr>
        <w:spacing w:after="0" w:line="2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been expanding the nature and scope of our engagements. Our ability to effectively offer a wider breadth of end-to-end business services depends on our ability to attract existing or new clients to these expanded service offerings. To obtain engagements for such complex and large projects, we also are more likely to compete with large, well-established international consulting firms, resulting in increased competition and marketing costs. Accordingly, we cannot be certain that our new service offerings will effectively meet client needs or that we will be able to attract existing and new clients to these expanded service offerings. The increased breadth of our service offerings may result in larger and more complex projects with our clients. This will require us to establish closer relationships with our clients and a thorough understanding of their operations. Our ability to establish such relationships will depend on a number of factors, including the proficiency of our employees and management. Our failure to deliver services that meet the requirements specified by our clients could result in termination of client contracts, and we could be liable to our clients for significant penalties or damages. 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 and cash flows.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service our debt or obtain additional financing on competitive terms.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October 1, 2018, the Company entered into an investment agreement with Orogen Echo LLC (the “Purchaser”), an affiliate of The Orogen Group LLC, relating to the issuance to the Purchaser of $150 million aggregate principal amount of 3.50% Convertible Senior Notes due October 1, 2024 (the “Notes”). The Notes bear interest at a rate of 3.50% per annum, payable semi-annually in arrears in cash on April 1 and October 1 of each year. Please see Note 19, “Borrowings,” to our consolidated financial statements for key terms of the Notes.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credit agreement for our bank debt facility contains covenants which require, among other things, maintenance of certain financial ratios, indebtedness and also, under certain conditions, restrict our ability to pay dividends, repurchase common shares and make other restricted payments as defined in the credit agreement. The credit agreement provides for a $300 million revolving credit facility including a letter of credit sub-facility. Our credit facility has a maturity date of November 21, 2022 and is voluntarily payable from time to time without premium or penalty.</w:t>
      </w:r>
    </w:p>
    <w:p>
      <w:pPr>
        <w:spacing w:after="0" w:line="18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cash flow from operations provides the primary source of funds for our debt service payments. If our cash flow from operations declines, we may be unable to service or refinance our current debt which could adversely affect our business and financial condition. In addition, we have limited ability to increase our borrowings under our existing credit agreement.</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in the future require additional financing to fund one or more acquisitions and may not be able to obtain such additional financing on competitive terms or at all, which could restrict our ability to complete such transactions, or could impose financial or operational restrictions on our business.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use cash to settle the principal amount of the Notes upon conversion or to repurchase the Notes upon a fundamental change, which could result in dilution and could adversely affect our financial condition.</w:t>
      </w:r>
    </w:p>
    <w:p>
      <w:pPr>
        <w:spacing w:after="0" w:line="5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Notes are convertible any time prior to their maturity on October 1, 2024 into cash, stock or a combination of cash and stock at an initial conversion rate set forth in the indenture governing the Notes (the "Indenture"). Notes that are converted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33"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connection with a make-whole fundamental change (as defined in the Indenture) may be entitled to an increase in the conversion rate for such Notes. Upon a conversion event, if we do not have adequate cash available or cannot obtain additional financing, or our use of cash is restricted by applicable law, regulations or agreements governing our current or future indebtedness, we may not be able to use cash to settle the principal amount of the Notes upon conversion. If we settle any portion of the principal amount of the Notes upon conversion in stock, it will result in immediate dilution to existing stockholders and such dilution could be material.</w:t>
      </w:r>
    </w:p>
    <w:p>
      <w:pPr>
        <w:spacing w:after="0" w:line="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holders of the Notes have the right to require us to repurchase their Notes upon the occurrence of a fundamental change (as defined in the Indenture) at a repurchase price equal to 100% of the principal amount of the Notes to be repurchased, plus accrued and unpaid interest, if any. If we do not have adequate cash available or cannot obtain additional financing, or our use of cash is restricted by applicable law, regulations or agreements governing our current or future indebtedness, we may not be able repurchase the Notes when required under the Indenture, which would constitute an event of default under the Indenture. An event of default under the Indenture could also lead to a default under other agreements governing our current and future indebtedness, and if the repayment of such other indebtedness were accelerated, we may not have sufficient funds to repay the indebtedness and repurchase the Notes or make cash payments upon conversion of the Notes.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could delay or prevent an attempt to take over our Company.</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terms of the Notes require us to repurchase the Notes in the event of a fundamental change. A takeover of our Company would constitute a fundamental change. This could have the effect of delaying or preventing a takeover of our Company that may otherwise be beneficial to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fluctuations in the market values of our investment and derivatives portfolios.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Any deterioration of the credit and capital markets in the United States, Asia or other regions of the world could result in volatility of our investment earnings and impairments to our investment portfolio, which could negatively impact our financial condition and reported income. Changes in economic conditions could adversely affect the ability of counterparties, including counterparties to our foreign exchange forward contracts, to meet their obligations to us, which could materially affect our positions and investments.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application of the U.S. Tax Cuts and Jobs Act of 2017 could materially affect our tax obligations and effective tax rate.</w:t>
      </w:r>
    </w:p>
    <w:p>
      <w:pPr>
        <w:spacing w:after="0" w:line="11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Tax Cuts and Jobs Act of 2017 (the “Tax Reform Act”) was enacted on December 22, 2017, and significantly affected U.S. tax law by changing how the U.S. imposes income tax on multinational corporations. The U.S. Department of Treasury has broad authority to issue regulations and interpretative guidance that may significantly impact how we will apply the law and impact our results of operations in the period issued. The Tax Reform Act requires complex computations not previously provided in U.S. tax law. As such, the application of accounting guidance for such items continues to remain uncertain. Further, compliance with the Tax Reform Act and the accounting for such provisions require accumulation of information not previously required or regularly produced. As a result, we have provided the effect of the Tax Reform Act in our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International Nature of Our Business</w:t>
      </w:r>
    </w:p>
    <w:p>
      <w:pPr>
        <w:spacing w:after="0" w:line="200" w:lineRule="exact"/>
        <w:rPr>
          <w:sz w:val="20"/>
          <w:szCs w:val="20"/>
          <w:color w:val="auto"/>
        </w:rPr>
      </w:pP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3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offices and operations in various countries around the world and provide services to customers globally. We continually evaluate additional locations outside our current operating geographies in which to invest in operations centers, in order to maintain an appropriate cost structure for our clients’ needs. In recent years we have opened new operations centers in countries outside of the U.S. We cannot predict the extent of government support, availability of qualified workers, or monetary and economic conditions in other countries. Additionally, we may expand into less developed countries that have less political, social or economic stability and less developed infrastructure and legal systems.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We may also face difficulties integrating new facilities in different countries into our existing operations.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 and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3"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more stringent labor laws become applicable to us or if our employees unionize, our profitability may be adversely affected.</w:t>
      </w:r>
    </w:p>
    <w:p>
      <w:pPr>
        <w:spacing w:after="0" w:line="29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 Regulations in other countries in which we operate also regulate our relations with our employees.</w:t>
      </w:r>
    </w:p>
    <w:p>
      <w:pPr>
        <w:spacing w:after="0" w:line="36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and cash flows may be adversely affected.</w:t>
      </w:r>
    </w:p>
    <w:p>
      <w:pPr>
        <w:spacing w:after="0" w:line="3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Government of India in the past few years has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cash flows and financial condition.</w:t>
      </w:r>
    </w:p>
    <w:p>
      <w:pPr>
        <w:spacing w:after="0" w:line="24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2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2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Certain operations centers in India, which were established in Special Economic Zones (“SEZs”), are eligible for tax incentives until 2025. These operations centers are eligible for a 100% income tax exemption for the first 5 years of operations and 50% exemption for a period of 5 years thereafter. We anticipate establishing additional operations centers in SEZs or other tax advantaged locations in the future.</w:t>
      </w:r>
    </w:p>
    <w:p>
      <w:pPr>
        <w:spacing w:after="0" w:line="3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our SEZ legislation benefits are phasing out, our Indian tax expense may materially increase and our after-tax profitability may be materially reduced, unless we can obtain comparable benefits under new legislation or otherwise reduce our tax liability. Similarly, alternative minimum taxes are imposed by certain jurisdictions on otherwise exempt income, which may increase our tax expense in future years.</w:t>
      </w:r>
    </w:p>
    <w:p>
      <w:pPr>
        <w:spacing w:after="0" w:line="3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also benefit from a corporate tax holiday in the Philippines for our operations centers established there over the last several years. The tax holiday already expired for few of our centers and will expire in the future for the other centers, which may lead to an increase in our overall tax rate. Following the expiry of the tax exemption, income generated from centers in the Philippines will be taxed at the prevailing annual tax rate.</w:t>
      </w:r>
    </w:p>
    <w:p>
      <w:pPr>
        <w:spacing w:after="0" w:line="136"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overall effective tax rate may increase in future years and such increase may be material and may have impact on our business, results of operations, financial condition and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transfer pricing arrangements we have among our subsidiaries are determined to be inappropriate, our tax liability may increase.</w:t>
      </w:r>
    </w:p>
    <w:p>
      <w:pPr>
        <w:spacing w:after="0" w:line="29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 thereby reducing our profitability and cash flows. The Company is currently involved in disputes with the Indian tax authorities over the application of some of its transfer pricing policies for past years. Please see Note 23 to our consolidated financial statements for details.</w:t>
      </w:r>
    </w:p>
    <w:p>
      <w:pPr>
        <w:sectPr>
          <w:pgSz w:w="11900" w:h="16838" w:orient="portrait"/>
          <w:cols w:equalWidth="0" w:num="1">
            <w:col w:w="11420"/>
          </w:cols>
          <w:pgMar w:left="240" w:top="333"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tax legislation and disputes with tax authorities may have an adverse effect on our operations and our overall effective tax rate.</w:t>
      </w:r>
    </w:p>
    <w:p>
      <w:pPr>
        <w:spacing w:after="0" w:line="2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Governments in countries in which we operate or provide services could enact new tax legislation, which could have a material adverse effect on our business, results of operations, financial condition and cash flows.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financial condition and cash flows.</w:t>
      </w:r>
    </w:p>
    <w:p>
      <w:pPr>
        <w:spacing w:after="0" w:line="360"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color w:val="auto"/>
        </w:rPr>
        <w:t>The Company’s legal entity rationalization project is an ongoing endeavor to simplify our global legal entity structure, remove redundancies and reduce compliance risks and costs. Furthermore, we also strive to optimize the tax and financial efficiencies of the group structure. As a result, we may carry out certain re-organizations under the tax laws of various jurisdictions in which we operate and take certain positions to qualify for tax neutrality for such internal re-organization. However, we cannot assure you that any of these projects will be fully implemented or implemented in a manner satisfactory to the Company, or, if it is implemented, that there will not be any adverse actions brought by the tax authorities of certain jurisdictions if this re-organization is implemented.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may be adversely affected if we repatriate funds held by our foreign subsidiaries.</w:t>
      </w:r>
    </w:p>
    <w:p>
      <w:pPr>
        <w:spacing w:after="0" w:line="200" w:lineRule="exact"/>
        <w:rPr>
          <w:sz w:val="20"/>
          <w:szCs w:val="20"/>
          <w:color w:val="auto"/>
        </w:rPr>
      </w:pPr>
    </w:p>
    <w:p>
      <w:pPr>
        <w:spacing w:after="0" w:line="2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earn a significant amount of our earnings outside of the United States. We do not presently intend to repatriate funds held by our foreign subsidiaries in light of the current regulatory environment (including under the Tax Reform Act) and because our future growth depends in part upon continued infrastructure and technology investments, geographical expansions and acquisitions outside of the U.S. Not all of the undistributed earnings may be available for repatriation due to foreign legal restrictions that require minimum reserves to be maintained in those countries. However, in light of the Tax Reform Act, such earnings have been subject to U.S. federal tax as a result of the mandatory repatriation provision described in “Management’s Discussion and Analysis of Financial Condition and Results of Operations - Income Taxes” and in Note 23 to our consolidated financial statements contained herein. If we change our present intention and decide to repatriate such earnings, we may have to accrue further taxes associated with such earnings in accordance with local tax laws, rules and regulations in the relevant jurisdictions. All of these risks and uncertainties could have a material adverse effect on our business, results of operations, financial condition and cash flows.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2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provide services to clients throughout the world, therefore we are subject to numerous, and sometimes conflicting, legal rules on matters as diverse as import/export controls, content requirements, trade restrictions, tariffs, taxation, sanctions, government affairs, internal and disclosure control obligations, data privacy and labor relations. The global nature of our operations increases the difficulty of compliance. Compliance with diverse legal requirements is costly, time-consuming and requires significant resources. Violations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financial condition and cash flows.</w:t>
      </w:r>
    </w:p>
    <w:p>
      <w:pPr>
        <w:spacing w:after="0" w:line="36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it may be difficult to enforce our intellectual property rights both within and outside of the U.S. India is a member of the Berne Convention, an international intellectual property treaty, and has agreed to recognize protections on intellectual property rights conferred under the laws of other foreign countries, including the laws of the U.S. There can be no assurance, however,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36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w:t>
      </w:r>
    </w:p>
    <w:p>
      <w:pPr>
        <w:sectPr>
          <w:pgSz w:w="11900" w:h="16838" w:orient="portrait"/>
          <w:cols w:equalWidth="0" w:num="1">
            <w:col w:w="11420"/>
          </w:cols>
          <w:pgMar w:left="240" w:top="333"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3"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to international business standards and could violate these anti-corruption laws or regulations. Although we have policies and procedures in place that are designed to promote legal and regulatory compliance,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3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in the various currencies in which we do business, especially the Indian rupee and the U.S. dollar, could have a material adverse effect on our results of operations.</w:t>
      </w:r>
    </w:p>
    <w:p>
      <w:pPr>
        <w:spacing w:after="0" w:line="2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Although we report our operating results in U.S. dollars, a portion of our revenues and expenses are denominated in currencies other than the U.S. dollar. Fluctuations in foreign currency exchange rates can have a number of adverse effects on us. Because our consolidated financial statements are presented in U.S. dollars, we must translate revenues, expenses and income, as well as assets and liabilities, into U.S. dollars at exchange rates in effect during or at the end of each reporting period. The exchange rates among the Indian rupee, Philippine peso and other currencies in which we incur costs or receive revenues and the U.S. dollar have changed substantially in recent years and may fluctuate substantially in the future. See Item 7A-“Quantitative and Qualitative Disclosures about Market Risk.” Additionally, because a majority of our employees are based in India and the Philippines and paid in Indian rupees or Philippine peso while our revenues are primarily reported in U.S. dollars and U.K. pounds sterling, our employee costs as a percentage of revenues may increase or decrease significantly if the exchange rates among the Indian rupee, Philippine peso and the U.S. dollar fluctuate significantly.</w:t>
      </w:r>
    </w:p>
    <w:p>
      <w:pPr>
        <w:spacing w:after="0" w:line="36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over time by certain movements in exchange rates, particularly if the Indian rupee or other currencies in which we incur expenses or receive revenues, change substantially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1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June 2016, the U.K. held a referendum in which British citizens approved an exit from the European Union ("EU"), commonly referred to as “Brexit.” As a result of the referendum, and the pending U.K. exit from the EU, the global markets and currencies have been and may in the future be adversely impacted, including experiencing a decline in the value of the U.K. pound sterling as compared to the U.S. dollar and causing adverse impacts to our U.K. operations and those of our clients. Volatility in exchange rates is expected to continue in the short term during the U.K.’s pending withdrawal from the EU. As a result, it is possible that events in the U.K. related to Brexit may adversely affect our financial results, operations and cash flows.</w:t>
      </w:r>
    </w:p>
    <w:p>
      <w:pPr>
        <w:spacing w:after="0" w:line="2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financial condition and cash flows.</w:t>
      </w:r>
    </w:p>
    <w:p>
      <w:pPr>
        <w:spacing w:after="0" w:line="2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Terrorist attacks and other acts of violence or war, including those involving India, the Philippines, the U.S. or other countries, may adversely affect worldwide financial markets and could lead to economic recession, which could adversely affect our business, results of operations, financial condition and cash flows.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companies with operations in India, which could have a material adverse effect on the market for our services. Furthermore, if India were to become engaged in armed hostilities, particularly hostilities that were protracted or involved the threat or use of nuclear weapons, we might not be able to continue our operations in India. Our insurance policies may not insure us against losses and interruptions caused by terrorist attacks and other acts of violence or war.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33"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assets and operations are located in India, and we are subject to regulatory, economic and political uncertainties in India.</w:t>
      </w:r>
    </w:p>
    <w:p>
      <w:pPr>
        <w:spacing w:after="0" w:line="29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Many of our operating subsidiaries are incorporated in India, and a substantial portion of our assets and our professionals are located in India. We intend to continue to develop and expand our offshore facilities in India. In the past,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or that any other changes made by the Indian government will be favorable to our operations or business. Recent changes in the leadership of the Indian government, could result in the modification of India’s economic liberalization, deregulation and other policies and disrupt business and economic conditions in India generally and our business in particular. Any such actions could remove benefits currently received by us or impose additional taxes or other obligations on us and therefore negatively impact our business.</w:t>
      </w:r>
    </w:p>
    <w:p>
      <w:pPr>
        <w:spacing w:after="0" w:line="3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visas and work permits may affect our ability to compete for and provide services to clients in the U.S. and other jurisdictions, which could make it more difficult to staff engagements and could increase our costs, which could have an adverse effect on our net income.</w:t>
      </w:r>
    </w:p>
    <w:p>
      <w:pPr>
        <w:spacing w:after="0" w:line="2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Immigration and work permit laws and regulations in the countries in which we have customers are subject to legislative and administrative changes as well as changes in the application of standards and enforcement.</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ability of some of our executives and employees based in India and other foreign locations to work with and meet clients in the U.S. and other jurisdictions depends on their ability to obtain the necessary visas and work permits. In recent years, immigration authorities, in the U.S. as well as other jurisdictions in which our clients are based, have increased the level of scrutiny in granting such visas and work permits.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visas or work permits for our professionals.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w:t>
      </w:r>
    </w:p>
    <w:p>
      <w:pPr>
        <w:spacing w:after="0" w:line="200" w:lineRule="exact"/>
        <w:rPr>
          <w:sz w:val="20"/>
          <w:szCs w:val="20"/>
          <w:color w:val="auto"/>
        </w:rPr>
      </w:pP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natural disasters, technical disruptions and man-made events that could severely disrupt the normal operation of our business and adversely affect our business, results of operations, financial condition and cash flows.</w:t>
      </w:r>
    </w:p>
    <w:p>
      <w:pPr>
        <w:spacing w:after="0" w:line="2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operations centers and our data and voice communications, particularly in India and the Philippines, may be damaged or disrupted as a result of natural disasters such as earthquakes, floods, heavy rains, epidemics, tsunamis and cyclones, technical disruptions such as electricity or infrastructure breakdowns, including damage to telecommunications cables, computer glitches and electronic viruses or man-made events such as protests, riots and labor unrest. Such events may lead to the disruption of information systems and telecommunication services for sustained periods. They also may make it difficult or impossible for employees to reach our business locations.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 our services would also entitle our clients to terminate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3"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contracts with us. Any of the above factors may adversely affect our business, results of operations, financial condition and cash flows.</w:t>
      </w: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2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primary operating subsidiaries are organized outside the U.S. and some of our executive officers may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3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36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00" w:lineRule="exact"/>
        <w:rPr>
          <w:sz w:val="20"/>
          <w:szCs w:val="20"/>
          <w:color w:val="auto"/>
        </w:rPr>
      </w:pP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33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classified board provisions, provisions permitting the board of directors to fill vacancies created by its expansion, provisions permitting the removal of directors only for cause and with the vote of holders of two thirds of our common stock,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and, because we are also a holding company, we may be unable to pay dividends.</w:t>
      </w:r>
    </w:p>
    <w:p>
      <w:pPr>
        <w:spacing w:after="0" w:line="29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ectPr>
          <w:pgSz w:w="11900" w:h="16838" w:orient="portrait"/>
          <w:cols w:equalWidth="0" w:num="1">
            <w:col w:w="11420"/>
          </w:cols>
          <w:pgMar w:left="240" w:top="333"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33"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continues to be volatile.</w:t>
      </w:r>
    </w:p>
    <w:p>
      <w:pPr>
        <w:spacing w:after="0" w:line="29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stock has at times experienced substantial price volatility as a result of, among other reasons, variations between our actual and anticipated financial results, announcements by us and our competitors,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Furthermore, we believe our stock price should reflect future growth and profitability expectations and, if we fail to meet these expectations, this may have a materially adverse effect on the trading price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technological change, and we may not be successful in addressing these changes.</w:t>
      </w:r>
    </w:p>
    <w:p>
      <w:pPr>
        <w:spacing w:after="0" w:line="31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rapid technological change, evolving industry standards, changing client preferences and new product introductions. The success of our business depends, in part, upon our ability to develop services that keep pace with changes in the industry.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 to develop and maintain a competitive advantage and continue to grow could be negatively affected.</w:t>
      </w:r>
    </w:p>
    <w:p>
      <w:pPr>
        <w:spacing w:after="0" w:line="200" w:lineRule="exact"/>
        <w:rPr>
          <w:sz w:val="20"/>
          <w:szCs w:val="20"/>
          <w:color w:val="auto"/>
        </w:rPr>
      </w:pPr>
    </w:p>
    <w:p>
      <w:pPr>
        <w:spacing w:after="0" w:line="2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2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the past year there have been high-profile movements among activists as well as executive and legislative leadership in the U.S. with the potential to restrict or reduce the use of offshore resources.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U.S. and elsewhere.</w:t>
      </w:r>
    </w:p>
    <w:p>
      <w:pPr>
        <w:spacing w:after="0" w:line="3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 variety of U.S. federal and state legislation has been proposed that, if enacted, could restrict or discourage U.S. companies from outsourcing their services to companies with facilities outside the U.S.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other countries, such as the U.K., there has also been some negative publicity and concern expressed regarding the possible effect of job losses caused by outsourcing. Legislation enacted in the U.K. as well as other European jurisdictions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who outsource business to us from those jurisdictions. We are generally indemnified in our existing contracts with clients in those jurisdictions to the extent we incur losses or additional costs due to the application of this legislation to us, and we intend to obtain indemnification in future contracts with clients. However, if we are unable to obtain indemnification</w:t>
      </w:r>
    </w:p>
    <w:p>
      <w:pPr>
        <w:sectPr>
          <w:pgSz w:w="11900" w:h="16838" w:orient="portrait"/>
          <w:cols w:equalWidth="0" w:num="1">
            <w:col w:w="11420"/>
          </w:cols>
          <w:pgMar w:left="240" w:top="333"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3"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future contracts with clients or if the existing indemnification is not enforceable or available, we may be liable under those agreements we enter into with clients in the U.K. and other European jurisdictions.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2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typically required to process, and sometimes collect and/or store sensitive data, including data regulated by the U.S. Health Insurance Portability and Accountability Act of 1996, as amended, of our clients’ end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As a result, we are subject to various data protection and privacy laws, including the GDPR, in the countries in which we operate, and the failure to comply could result in significant fines and penalties. In addition, many of our agreements with our clients do not include any limitation on our liability to them with respect to breaches of our obligation to keep the information we receive from them confidential.</w:t>
      </w:r>
    </w:p>
    <w:p>
      <w:pPr>
        <w:spacing w:after="0" w:line="36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Although we devote substantial resources to protect our information assets and our clients' confidential information, any network infrastructure are subject to be vulnerable to rapidly evolving cyber-attacks, and our user data and corporate systems and security measures may be breached due to the actions of outside parties (including cyber-attacks), employee error, malfeasance, a combination of these, or otherwise, allowing an unauthorized party to obtain access to our data or our users’ or customers’ data. Additionally,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customer’s security that can be attributed to our fault or is perceived to be our fault), the market perception of the effectiveness of our security measures 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3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any person, including any of our employees, negligently disregards or intentionally breaches controls or procedures with which we are responsible for complying with respect to such data or otherwise mismanages or misappropriates that data, or if unauthorized access to or disclosure of data in our possession or control occurs, we could be subject to significant liability to our clients or our clients’ customers for breaching contractual confidentiality and security provisions or privacy laws, as well as liability and penalties in connection with any violation of applicable privacy laws or criminal prosecution. Unauthorized disclosure of sensitive or confidential client or employee data, whether through breach of computer systems, systems failure, employee negligence, fraud or misappropriation, or otherwise, could damage our reputation and cause us to lose clients. Similarly, unauthorized access to or through our information systems and networks or those we develop or manage for our clients, whether by our employees or third parties, could result in negative publicity, legal liability and damage to our reputation.</w:t>
      </w:r>
    </w:p>
    <w:p>
      <w:pPr>
        <w:spacing w:after="0" w:line="36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any person, including any of our employees, is able to penetrate our perimeter or internal network security, computing infrastructure or otherwise mismanages or misappropriates sensitive data, discloses or distributes any such data in an unauthorized manner, we could be subject to significant liability and lawsuits from our clients or their customers for breaching contractual confidentiality provisions or privacy laws, or investigations and penalties from regulators. Under some of our client contracts, we have agreed to pay for the costs of remediation or notice to end users or credit monitoring, as well as other costs.</w:t>
      </w:r>
    </w:p>
    <w:p>
      <w:pPr>
        <w:spacing w:after="0" w:line="1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Cyber-attacks penetrating the network security of our data centers or any unauthorized disclosure or access to confidential information and data of our clients or their end customers could also have a negative impact on our reputation and client confidence, which could have a material adverse effect on our business, results of operations, financial condition and cash flows.</w:t>
      </w:r>
    </w:p>
    <w:p>
      <w:pPr>
        <w:spacing w:after="0" w:line="3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New York, New York. We have twenty six operations centers in India, six operations centers in the Philippines and one operations center in each of Bulgaria, Colombia, the Czech Republic, Romania and South Africa with an aggregate area of approximately 1,900,000 square feet and a current installed capacity of approximately 28,600 workstations, including workstations for training and our employees in enabling functions. We also have multiple operations centers and regional offices in the U.S. and an operations center in the U.K.</w:t>
      </w:r>
    </w:p>
    <w:p>
      <w:pPr>
        <w:sectPr>
          <w:pgSz w:w="11900" w:h="16838" w:orient="portrait"/>
          <w:cols w:equalWidth="0" w:num="1">
            <w:col w:w="11420"/>
          </w:cols>
          <w:pgMar w:left="240" w:top="333"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3"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corporate headquarters and all of our operations centers are leased under long-term leases with varying expiration dates, except for an operations center in Pune, India with an area of 86,361 sq. ft. and containing approximately 1,650 agent workstations, which we own. Substantially all of our owned and leased property is used to service all of our reporting segments. We believe that our current facilities are adequate to support our existing operations. We also believe that we will be able to obtain suitable additional facilities on commercially reasonable terms on an “as needed basis.”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Please see Note 26 to our consolidated financial statements contained herein for details regarding our tax proceedings.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3"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“EXLS.”</w:t>
      </w:r>
    </w:p>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February 25, 2019, there were 26 holders of record of our outstanding common stock. A substantially greater number of holders of our common stock are “street name” or beneficial holders, whose shares of record are held by banks, brokers, and other financial institutions.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anticipate paying any cash dividends in the foreseeable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For information on the sale of unregistered securities during the year ended December 31, 2018, see Note 10 to the consolidated financial statements contained herein. Such securities were issued in reliance on an exemption from the registration requirements of the Securities Act of 1933, as amended (the “Securities Act”), provided by Section 4(a)(2) of the Securities Act as a private offering. Such issuances did not involve public offerings, and were made without general solicitation or advertising. Except for the foregoing, we did not sell any of our equity securities during the year ended December 31, 2018 that were not registered under the Securities 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8"/>
          <w:szCs w:val="18"/>
          <w:color w:val="auto"/>
        </w:rPr>
        <w:t>On February 28, 2017, the Company’s Board of Directors authorized a common stock repurchase program (the “2017 Repurchase Program”), under which shares may be purchased by the Company from time to time from the open market and through private transactions during each of the fiscal years 2017 through 2019 up to an aggregate additional amount of $100 million. The approval authorized stock repurchases of up to $40 million in each of 2018 and 2019.</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structured open market purchases under the 2017 Repurchase Program to comply with Rule 10b-18 under the Exchange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may be discontinued at any time by management.</w:t>
      </w:r>
    </w:p>
    <w:p>
      <w:pPr>
        <w:spacing w:after="0" w:line="9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Repurchased shares under the 2017 Repurchase Program are recorded as treasury shares and are held until our Board of Directors designates that these shares be retired or used for other purposes.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purchase of equity securities by the Company during the three months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36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4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4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r>
      <w:tr>
        <w:trPr>
          <w:trHeight w:val="216"/>
        </w:trPr>
        <w:tc>
          <w:tcPr>
            <w:tcW w:w="33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40" w:type="dxa"/>
            <w:vAlign w:val="bottom"/>
          </w:tcPr>
          <w:p>
            <w:pPr>
              <w:spacing w:after="0"/>
              <w:rPr>
                <w:sz w:val="18"/>
                <w:szCs w:val="18"/>
                <w:color w:val="auto"/>
              </w:rPr>
            </w:pPr>
          </w:p>
        </w:tc>
        <w:tc>
          <w:tcPr>
            <w:tcW w:w="1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6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4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7"/>
        </w:trPr>
        <w:tc>
          <w:tcPr>
            <w:tcW w:w="3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2018 through October 31, 2018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6,513,019</w:t>
            </w: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2018 through November 30,</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4"/>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65,700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2,818,571</w:t>
            </w:r>
          </w:p>
        </w:tc>
      </w:tr>
      <w:tr>
        <w:trPr>
          <w:trHeight w:val="27"/>
        </w:trPr>
        <w:tc>
          <w:tcPr>
            <w:tcW w:w="3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2018 through December 31,</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61"/>
        </w:trPr>
        <w:tc>
          <w:tcPr>
            <w:tcW w:w="334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2018</w:t>
            </w:r>
            <w:r>
              <w:rPr>
                <w:rFonts w:ascii="Times New Roman" w:cs="Times New Roman" w:eastAsia="Times New Roman" w:hAnsi="Times New Roman"/>
                <w:sz w:val="25"/>
                <w:szCs w:val="25"/>
                <w:color w:val="auto"/>
                <w:vertAlign w:val="superscript"/>
              </w:rPr>
              <w:t>(1)</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56,192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55.83</w:t>
            </w:r>
          </w:p>
        </w:tc>
        <w:tc>
          <w:tcPr>
            <w:tcW w:w="120" w:type="dxa"/>
            <w:vAlign w:val="bottom"/>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50,392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13,032</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177,385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58.16</w:t>
            </w:r>
          </w:p>
        </w:tc>
        <w:tc>
          <w:tcPr>
            <w:tcW w:w="120" w:type="dxa"/>
            <w:vAlign w:val="bottom"/>
          </w:tcPr>
          <w:p>
            <w:pPr>
              <w:spacing w:after="0"/>
              <w:rPr>
                <w:sz w:val="22"/>
                <w:szCs w:val="22"/>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171,585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left="660" w:hanging="242"/>
        <w:spacing w:after="0" w:line="273" w:lineRule="auto"/>
        <w:rPr>
          <w:sz w:val="20"/>
          <w:szCs w:val="20"/>
          <w:color w:val="auto"/>
        </w:rPr>
      </w:pPr>
      <w:r>
        <w:rPr>
          <w:rFonts w:ascii="Times New Roman" w:cs="Times New Roman" w:eastAsia="Times New Roman" w:hAnsi="Times New Roman"/>
          <w:sz w:val="14"/>
          <w:szCs w:val="14"/>
          <w:i w:val="1"/>
          <w:iCs w:val="1"/>
          <w:color w:val="auto"/>
        </w:rPr>
        <w:t>(1</w:t>
      </w:r>
      <w:r>
        <w:rPr>
          <w:rFonts w:ascii="Times New Roman" w:cs="Times New Roman" w:eastAsia="Times New Roman" w:hAnsi="Times New Roman"/>
          <w:sz w:val="16"/>
          <w:szCs w:val="16"/>
          <w:i w:val="1"/>
          <w:iCs w:val="1"/>
          <w:color w:val="auto"/>
        </w:rPr>
        <w:t>) Includes 5,800 shares of the Company’s common stock acquired by the Company at the price of $57.21 in connection with satisfaction of tax withholding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6"/>
          <w:szCs w:val="16"/>
          <w:i w:val="1"/>
          <w:iCs w:val="1"/>
          <w:color w:val="auto"/>
        </w:rPr>
        <w:t>on vested restricted stock. Price paid per share for the restricted stock was the average of high and low price of common stock on the trading day prior to the vesting date of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-396875</wp:posOffset>
            </wp:positionV>
            <wp:extent cx="1355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4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purchased 674,604 shares of its common stock under the 2017 Repurchase Program, for an aggregate purchase price of approximately $40.0 million including commissions, representing an average purchase price per share of $59.27.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acquired 51,446 shares from employees in connection with withholding tax payments related to the vesting of restricted stock units for a total consideration of $3.1 million. The weighted average purchase price of $60.68 was the average of the high and low price of the Company’s shares of common stock on the Nasdaq Global Select Market on the trading day prior to the vesting date of the shares of restricted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2018 with respect to the shares of our common stock that may be issued under our existing equity compensation plans. For a description of our equity compensation plans, please see Note 24 to our consolidated financial statements.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48" w:lineRule="exact"/>
        <w:rPr>
          <w:sz w:val="20"/>
          <w:szCs w:val="20"/>
          <w:color w:val="auto"/>
        </w:rPr>
      </w:pPr>
    </w:p>
    <w:p>
      <w:pPr>
        <w:ind w:left="40" w:right="280"/>
        <w:spacing w:after="0" w:line="281"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2"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514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r>
      <w:tr>
        <w:trPr>
          <w:trHeight w:val="216"/>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 be Issued Upon</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 Available for Future</w:t>
            </w:r>
          </w:p>
        </w:tc>
      </w:tr>
      <w:tr>
        <w:trPr>
          <w:trHeight w:val="216"/>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Exercise/Vesting of</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Under Equity</w:t>
            </w:r>
          </w:p>
        </w:tc>
      </w:tr>
      <w:tr>
        <w:trPr>
          <w:trHeight w:val="216"/>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Plans (Excluding</w:t>
            </w:r>
          </w:p>
        </w:tc>
      </w:tr>
      <w:tr>
        <w:trPr>
          <w:trHeight w:val="216"/>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Warrants and</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Options, Warrants and</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38"/>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2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 1)</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439"/>
        </w:trPr>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1,472,495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4"/>
                <w:szCs w:val="24"/>
                <w:color w:val="auto"/>
              </w:rPr>
            </w:pPr>
          </w:p>
        </w:tc>
        <w:tc>
          <w:tcPr>
            <w:tcW w:w="2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3,207,975</w:t>
            </w:r>
          </w:p>
        </w:tc>
      </w:tr>
      <w:tr>
        <w:trPr>
          <w:trHeight w:val="486"/>
        </w:trPr>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1,472,495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0"/>
                <w:szCs w:val="20"/>
                <w:color w:val="auto"/>
              </w:rPr>
            </w:pPr>
          </w:p>
        </w:tc>
        <w:tc>
          <w:tcPr>
            <w:tcW w:w="2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3,207,975</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-822960</wp:posOffset>
            </wp:positionV>
            <wp:extent cx="722947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3086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-205105</wp:posOffset>
            </wp:positionV>
            <wp:extent cx="72294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140"/>
            <w:col w:w="7460"/>
          </w:cols>
          <w:pgMar w:left="240" w:top="333" w:right="239" w:bottom="1440" w:gutter="0" w:footer="0" w:header="0"/>
          <w:type w:val="continuous"/>
        </w:sectPr>
      </w:pPr>
    </w:p>
    <w:p>
      <w:pPr>
        <w:spacing w:after="0" w:line="108" w:lineRule="exact"/>
        <w:rPr>
          <w:sz w:val="20"/>
          <w:szCs w:val="20"/>
          <w:color w:val="auto"/>
        </w:rPr>
      </w:pPr>
    </w:p>
    <w:p>
      <w:pPr>
        <w:ind w:left="420" w:hanging="412"/>
        <w:spacing w:after="0" w:line="283" w:lineRule="auto"/>
        <w:tabs>
          <w:tab w:leader="none" w:pos="4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This includes outstanding options and unvested Restricted Stock Units, which include Time-Based Restricted Stock Units and Performance Restricted Stock Units. See Note 24 to our consolidated financial statements for further details.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of the Nasdaq 100 Index (capitalization weighted) and our peer group of companies for the period beginning December 31, 2013.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2013 and that all dividends were reinvested.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62230</wp:posOffset>
            </wp:positionV>
            <wp:extent cx="5866130" cy="425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6130"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sets forth our selected consolidated historical financial data as of the dates and for the periods indicated. Our selected consolidated financial data set forth below as of December 31, 2018 and 2017 and for each of the three years in the period ended December 31, 2018 has been derived from our consolidated financial statements included elsewhere in this Annual Report on Form 10-K. Our selected consolidated financial data set forth below as of December 31, 2016, 2015 and 2014 and for years ended December 31, 2015 and 2014 is derived from our audited financial statements, which are not included in this Annual Report on Form 10-K. Our selected consolidated financial information for 2018, 2017 and 2016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96"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24765</wp:posOffset>
            </wp:positionV>
            <wp:extent cx="426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3" w:lineRule="exact"/>
        <w:rPr>
          <w:sz w:val="20"/>
          <w:szCs w:val="20"/>
          <w:color w:val="auto"/>
        </w:rPr>
      </w:pPr>
    </w:p>
    <w:p>
      <w:pPr>
        <w:ind w:left="5180"/>
        <w:spacing w:after="0"/>
        <w:tabs>
          <w:tab w:leader="none" w:pos="6500" w:val="left"/>
          <w:tab w:leader="none" w:pos="7880" w:val="left"/>
          <w:tab w:leader="none" w:pos="9300" w:val="left"/>
          <w:tab w:leader="none" w:pos="1062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8"/>
          <w:szCs w:val="8"/>
          <w:b w:val="1"/>
          <w:bCs w:val="1"/>
          <w:color w:val="auto"/>
        </w:rPr>
        <w:t>(3)</w:t>
      </w:r>
      <w:r>
        <w:rPr>
          <w:sz w:val="20"/>
          <w:szCs w:val="20"/>
          <w:color w:val="auto"/>
        </w:rPr>
        <w:tab/>
      </w: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8"/>
          <w:szCs w:val="8"/>
          <w:b w:val="1"/>
          <w:bCs w:val="1"/>
          <w:color w:val="auto"/>
        </w:rPr>
        <w:t>(3)</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24765</wp:posOffset>
            </wp:positionV>
            <wp:extent cx="4262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8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Income Data</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4"/>
          <w:szCs w:val="14"/>
          <w:b w:val="1"/>
          <w:bCs w:val="1"/>
          <w:color w:val="auto"/>
        </w:rPr>
        <w:t>:</w:t>
      </w:r>
    </w:p>
    <w:p>
      <w:pPr>
        <w:sectPr>
          <w:pgSz w:w="11900" w:h="16838" w:orient="portrait"/>
          <w:cols w:equalWidth="0" w:num="1">
            <w:col w:w="11420"/>
          </w:cols>
          <w:pgMar w:left="240" w:top="333" w:right="239" w:bottom="1440" w:gutter="0" w:footer="0" w:header="0"/>
        </w:sectPr>
      </w:pP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Revenues,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Cost of revenues </w:t>
      </w:r>
      <w:r>
        <w:rPr>
          <w:rFonts w:ascii="Times New Roman" w:cs="Times New Roman" w:eastAsia="Times New Roman" w:hAnsi="Times New Roman"/>
          <w:sz w:val="8"/>
          <w:szCs w:val="8"/>
          <w:color w:val="auto"/>
        </w:rPr>
        <w:t>(2)(3)</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Gross profit </w:t>
      </w:r>
      <w:r>
        <w:rPr>
          <w:rFonts w:ascii="Times New Roman" w:cs="Times New Roman" w:eastAsia="Times New Roman" w:hAnsi="Times New Roman"/>
          <w:sz w:val="8"/>
          <w:szCs w:val="8"/>
          <w:color w:val="auto"/>
        </w:rPr>
        <w:t>(2)</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General and administrative expenses</w:t>
      </w:r>
      <w:r>
        <w:rPr>
          <w:rFonts w:ascii="Times New Roman" w:cs="Times New Roman" w:eastAsia="Times New Roman" w:hAnsi="Times New Roman"/>
          <w:sz w:val="8"/>
          <w:szCs w:val="8"/>
          <w:color w:val="auto"/>
        </w:rPr>
        <w:t>(3)</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Selling and marketing expenses</w:t>
      </w:r>
      <w:r>
        <w:rPr>
          <w:rFonts w:ascii="Times New Roman" w:cs="Times New Roman" w:eastAsia="Times New Roman" w:hAnsi="Times New Roman"/>
          <w:sz w:val="8"/>
          <w:szCs w:val="8"/>
          <w:color w:val="auto"/>
        </w:rPr>
        <w:t>(3)</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Impairment charges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from operations</w:t>
      </w:r>
      <w:r>
        <w:rPr>
          <w:rFonts w:ascii="Times New Roman" w:cs="Times New Roman" w:eastAsia="Times New Roman" w:hAnsi="Times New Roman"/>
          <w:sz w:val="8"/>
          <w:szCs w:val="8"/>
          <w:color w:val="auto"/>
        </w:rPr>
        <w:t>(3)</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exchange gain,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income, net</w:t>
      </w:r>
      <w:r>
        <w:rPr>
          <w:rFonts w:ascii="Times New Roman" w:cs="Times New Roman" w:eastAsia="Times New Roman" w:hAnsi="Times New Roman"/>
          <w:sz w:val="8"/>
          <w:szCs w:val="8"/>
          <w:color w:val="auto"/>
        </w:rPr>
        <w:t>(3)</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before income tax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Loss from equity-method investment</w:t>
      </w:r>
    </w:p>
    <w:p>
      <w:pPr>
        <w:spacing w:after="0" w:line="109" w:lineRule="exact"/>
        <w:rPr>
          <w:sz w:val="20"/>
          <w:szCs w:val="20"/>
          <w:color w:val="auto"/>
        </w:rPr>
      </w:pPr>
    </w:p>
    <w:p>
      <w:pPr>
        <w:ind w:left="40"/>
        <w:spacing w:after="0" w:line="510" w:lineRule="auto"/>
        <w:rPr>
          <w:sz w:val="20"/>
          <w:szCs w:val="20"/>
          <w:color w:val="auto"/>
        </w:rPr>
      </w:pPr>
      <w:r>
        <w:rPr>
          <w:rFonts w:ascii="Times New Roman" w:cs="Times New Roman" w:eastAsia="Times New Roman" w:hAnsi="Times New Roman"/>
          <w:sz w:val="14"/>
          <w:szCs w:val="14"/>
          <w:color w:val="auto"/>
        </w:rPr>
        <w:t>Net income attributable to ExlService Holdings, Inc. stockholders Earnings per share attributable to ExlService Holdings, Inc. stockholders: Basic</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Diluted</w:t>
      </w:r>
    </w:p>
    <w:p>
      <w:pPr>
        <w:spacing w:after="0" w:line="109" w:lineRule="exact"/>
        <w:rPr>
          <w:sz w:val="20"/>
          <w:szCs w:val="20"/>
          <w:color w:val="auto"/>
        </w:rPr>
      </w:pPr>
    </w:p>
    <w:p>
      <w:pPr>
        <w:ind w:left="40"/>
        <w:spacing w:after="0" w:line="262" w:lineRule="auto"/>
        <w:rPr>
          <w:sz w:val="20"/>
          <w:szCs w:val="20"/>
          <w:color w:val="auto"/>
        </w:rPr>
      </w:pPr>
      <w:r>
        <w:rPr>
          <w:rFonts w:ascii="Times New Roman" w:cs="Times New Roman" w:eastAsia="Times New Roman" w:hAnsi="Times New Roman"/>
          <w:sz w:val="14"/>
          <w:szCs w:val="14"/>
          <w:color w:val="auto"/>
        </w:rPr>
        <w:t>Weighted-average number of shares used in computing earnings per share attributable to ExlService Holdings, Inc. stockholders: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883.1</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762.3</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686.0</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628.5</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499.3</w:t>
            </w:r>
          </w:p>
        </w:tc>
      </w:tr>
      <w:tr>
        <w:trPr>
          <w:trHeight w:val="275"/>
        </w:trPr>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584.8</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495.1</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447.7</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402.9</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332.6</w:t>
            </w:r>
          </w:p>
        </w:tc>
      </w:tr>
      <w:tr>
        <w:trPr>
          <w:trHeight w:val="245"/>
        </w:trPr>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166.7</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65.4</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r>
      <w:tr>
        <w:trPr>
          <w:trHeight w:val="275"/>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34.0</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75"/>
        </w:trPr>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r>
      <w:tr>
        <w:trPr>
          <w:trHeight w:val="245"/>
        </w:trPr>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37.6</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r>
      <w:tr>
        <w:trPr>
          <w:trHeight w:val="275"/>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16"/>
        </w:trPr>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0.99</w:t>
            </w:r>
          </w:p>
        </w:tc>
      </w:tr>
      <w:tr>
        <w:trPr>
          <w:trHeight w:val="270"/>
        </w:trPr>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-2900045</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-2557145</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-2214245</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-1871345</wp:posOffset>
            </wp:positionV>
            <wp:extent cx="72377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-1553845</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-1210945</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-868045</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-524510</wp:posOffset>
            </wp:positionV>
            <wp:extent cx="723773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885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-164465</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70" w:lineRule="exact"/>
        <w:rPr>
          <w:sz w:val="20"/>
          <w:szCs w:val="20"/>
          <w:color w:val="auto"/>
        </w:rPr>
      </w:pPr>
    </w:p>
    <w:p>
      <w:pPr>
        <w:sectPr>
          <w:pgSz w:w="11900" w:h="16838" w:orient="portrait"/>
          <w:cols w:equalWidth="0" w:num="2">
            <w:col w:w="4280" w:space="420"/>
            <w:col w:w="672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w:t>
            </w:r>
          </w:p>
        </w:tc>
        <w:tc>
          <w:tcPr>
            <w:tcW w:w="33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34,451,008</w:t>
            </w:r>
          </w:p>
        </w:tc>
        <w:tc>
          <w:tcPr>
            <w:tcW w:w="138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33,897,916</w:t>
            </w:r>
          </w:p>
        </w:tc>
        <w:tc>
          <w:tcPr>
            <w:tcW w:w="136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33,566,367</w:t>
            </w:r>
          </w:p>
        </w:tc>
        <w:tc>
          <w:tcPr>
            <w:tcW w:w="13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33,298,104</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32,804,606</w:t>
            </w:r>
          </w:p>
        </w:tc>
        <w:tc>
          <w:tcPr>
            <w:tcW w:w="0" w:type="dxa"/>
            <w:vAlign w:val="bottom"/>
          </w:tcPr>
          <w:p>
            <w:pPr>
              <w:spacing w:after="0"/>
              <w:rPr>
                <w:sz w:val="1"/>
                <w:szCs w:val="1"/>
                <w:color w:val="auto"/>
              </w:rPr>
            </w:pPr>
          </w:p>
        </w:tc>
      </w:tr>
      <w:tr>
        <w:trPr>
          <w:trHeight w:val="193"/>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Diluted</w:t>
            </w:r>
          </w:p>
        </w:tc>
        <w:tc>
          <w:tcPr>
            <w:tcW w:w="33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35,030,984</w:t>
            </w:r>
          </w:p>
        </w:tc>
        <w:tc>
          <w:tcPr>
            <w:tcW w:w="13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35,110,210</w:t>
            </w:r>
          </w:p>
        </w:tc>
        <w:tc>
          <w:tcPr>
            <w:tcW w:w="13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34,563,319</w:t>
            </w:r>
          </w:p>
        </w:tc>
        <w:tc>
          <w:tcPr>
            <w:tcW w:w="13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34,178,340</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33,636,593</w:t>
            </w: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33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3773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28905"/>
                    </a:xfrm>
                    <a:prstGeom prst="rect">
                      <a:avLst/>
                    </a:prstGeom>
                    <a:noFill/>
                  </pic:spPr>
                </pic:pic>
              </a:graphicData>
            </a:graphic>
          </wp:anchor>
        </w:drawing>
      </w:r>
    </w:p>
    <w:p>
      <w:pPr>
        <w:ind w:left="240" w:hanging="205"/>
        <w:spacing w:after="0"/>
        <w:tabs>
          <w:tab w:leader="none" w:pos="2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Results of operations of acquired businesses have been recorded in the financial statements since the date of acquisition. Refer to Note 10 to the consolidated financial statements.</w:t>
      </w:r>
    </w:p>
    <w:p>
      <w:pPr>
        <w:spacing w:after="0" w:line="109" w:lineRule="exact"/>
        <w:rPr>
          <w:rFonts w:ascii="Times New Roman" w:cs="Times New Roman" w:eastAsia="Times New Roman" w:hAnsi="Times New Roman"/>
          <w:sz w:val="14"/>
          <w:szCs w:val="14"/>
          <w:i w:val="1"/>
          <w:iCs w:val="1"/>
          <w:color w:val="auto"/>
        </w:rPr>
      </w:pPr>
    </w:p>
    <w:p>
      <w:pPr>
        <w:ind w:left="240" w:hanging="205"/>
        <w:spacing w:after="0"/>
        <w:tabs>
          <w:tab w:leader="none" w:pos="2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Exclusive of depreciation and amortization.</w:t>
      </w:r>
    </w:p>
    <w:p>
      <w:pPr>
        <w:spacing w:after="0" w:line="41" w:lineRule="exact"/>
        <w:rPr>
          <w:rFonts w:ascii="Times New Roman" w:cs="Times New Roman" w:eastAsia="Times New Roman" w:hAnsi="Times New Roman"/>
          <w:sz w:val="14"/>
          <w:szCs w:val="14"/>
          <w:i w:val="1"/>
          <w:iCs w:val="1"/>
          <w:color w:val="auto"/>
        </w:rPr>
      </w:pPr>
    </w:p>
    <w:p>
      <w:pPr>
        <w:ind w:left="40" w:right="40" w:hanging="5"/>
        <w:spacing w:after="0" w:line="265" w:lineRule="auto"/>
        <w:tabs>
          <w:tab w:leader="none" w:pos="251"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Adjusted pursuant to adoption of ASU No. 2017-07, Improving the Presentation of Net Periodic Pension Cost and Net Periodic Post-retirement Benefit Cost. Refer to Note 21 and Note 27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3773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377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13"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24765</wp:posOffset>
            </wp:positionV>
            <wp:extent cx="42621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3" w:lineRule="exact"/>
        <w:rPr>
          <w:sz w:val="20"/>
          <w:szCs w:val="20"/>
          <w:color w:val="auto"/>
        </w:rPr>
      </w:pPr>
    </w:p>
    <w:p>
      <w:pPr>
        <w:ind w:left="5180"/>
        <w:spacing w:after="0"/>
        <w:tabs>
          <w:tab w:leader="none" w:pos="6560" w:val="left"/>
          <w:tab w:leader="none" w:pos="7940" w:val="left"/>
          <w:tab w:leader="none" w:pos="9300" w:val="left"/>
          <w:tab w:leader="none" w:pos="1062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377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Balance Sheets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377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cash equivalents</w:t>
      </w:r>
      <w:r>
        <w:rPr>
          <w:rFonts w:ascii="Times New Roman" w:cs="Times New Roman" w:eastAsia="Times New Roman" w:hAnsi="Times New Roman"/>
          <w:sz w:val="8"/>
          <w:szCs w:val="8"/>
          <w:color w:val="auto"/>
        </w:rPr>
        <w:t>(1)</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Working capital </w:t>
      </w:r>
      <w:r>
        <w:rPr>
          <w:rFonts w:ascii="Times New Roman" w:cs="Times New Roman" w:eastAsia="Times New Roman" w:hAnsi="Times New Roman"/>
          <w:sz w:val="8"/>
          <w:szCs w:val="8"/>
          <w:color w:val="auto"/>
        </w:rPr>
        <w:t>(2)</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 assets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Borrowings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Other long term obligations </w:t>
      </w:r>
      <w:r>
        <w:rPr>
          <w:rFonts w:ascii="Times New Roman" w:cs="Times New Roman" w:eastAsia="Times New Roman" w:hAnsi="Times New Roman"/>
          <w:sz w:val="8"/>
          <w:szCs w:val="8"/>
          <w:color w:val="auto"/>
        </w:rPr>
        <w:t>(3)</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95.9</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86.8</w:t>
            </w:r>
          </w:p>
        </w:tc>
        <w:tc>
          <w:tcPr>
            <w:tcW w:w="5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213.2</w:t>
            </w:r>
          </w:p>
        </w:tc>
        <w:tc>
          <w:tcPr>
            <w:tcW w:w="5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w:t>
            </w:r>
          </w:p>
        </w:tc>
        <w:tc>
          <w:tcPr>
            <w:tcW w:w="5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344.8</w:t>
            </w:r>
          </w:p>
        </w:tc>
        <w:tc>
          <w:tcPr>
            <w:tcW w:w="5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308.6</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254.6</w:t>
            </w:r>
          </w:p>
        </w:tc>
        <w:tc>
          <w:tcPr>
            <w:tcW w:w="5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232.1</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1,061.9</w:t>
            </w:r>
          </w:p>
        </w:tc>
        <w:tc>
          <w:tcPr>
            <w:tcW w:w="5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825.5</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706.5</w:t>
            </w:r>
          </w:p>
        </w:tc>
        <w:tc>
          <w:tcPr>
            <w:tcW w:w="5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650.8</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284.7</w:t>
            </w:r>
          </w:p>
        </w:tc>
        <w:tc>
          <w:tcPr>
            <w:tcW w:w="5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60.7</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c>
          <w:tcPr>
            <w:tcW w:w="5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25.3</w:t>
            </w:r>
          </w:p>
        </w:tc>
        <w:tc>
          <w:tcPr>
            <w:tcW w:w="5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30.8</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5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70"/>
        </w:trPr>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618.1</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599.8</w:t>
            </w:r>
          </w:p>
        </w:tc>
        <w:tc>
          <w:tcPr>
            <w:tcW w:w="5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532.0</w:t>
            </w:r>
          </w:p>
        </w:tc>
        <w:tc>
          <w:tcPr>
            <w:tcW w:w="5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465.6</w:t>
            </w:r>
          </w:p>
        </w:tc>
        <w:tc>
          <w:tcPr>
            <w:tcW w:w="5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-678815</wp:posOffset>
            </wp:positionV>
            <wp:extent cx="72377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-335915</wp:posOffset>
            </wp:positionV>
            <wp:extent cx="72377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00" w:space="720"/>
            <w:col w:w="6700"/>
          </w:cols>
          <w:pgMar w:left="240" w:top="333" w:right="239" w:bottom="1440" w:gutter="0" w:footer="0" w:header="0"/>
          <w:type w:val="continuous"/>
        </w:sectPr>
      </w:pPr>
    </w:p>
    <w:p>
      <w:pPr>
        <w:ind w:left="240" w:hanging="232"/>
        <w:spacing w:after="0"/>
        <w:tabs>
          <w:tab w:leader="none" w:pos="2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Cash and cash equivalents does not include restricted cash.</w:t>
      </w:r>
    </w:p>
    <w:p>
      <w:pPr>
        <w:spacing w:after="0" w:line="19" w:lineRule="exact"/>
        <w:rPr>
          <w:rFonts w:ascii="Times New Roman" w:cs="Times New Roman" w:eastAsia="Times New Roman" w:hAnsi="Times New Roman"/>
          <w:sz w:val="16"/>
          <w:szCs w:val="16"/>
          <w:i w:val="1"/>
          <w:iCs w:val="1"/>
          <w:color w:val="auto"/>
        </w:rPr>
      </w:pPr>
    </w:p>
    <w:p>
      <w:pPr>
        <w:ind w:firstLine="8"/>
        <w:spacing w:after="0" w:line="246" w:lineRule="auto"/>
        <w:tabs>
          <w:tab w:leader="none" w:pos="231"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Working capital means total current assets less total current liabilities. Pursuant to ASU No. 2015-17, "Income Taxes (Topic 740): Balance Sheet Classification of Deferred Taxes”, all deferred tax liabilities and assets have been classified as long-term in the consolidated balance sheets.</w:t>
      </w:r>
    </w:p>
    <w:p>
      <w:pPr>
        <w:ind w:left="60" w:right="20" w:firstLine="2"/>
        <w:spacing w:after="0" w:line="257" w:lineRule="auto"/>
        <w:tabs>
          <w:tab w:leader="none" w:pos="292" w:val="left"/>
        </w:tabs>
        <w:numPr>
          <w:ilvl w:val="1"/>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long term obligations include unrecognized tax benefits, retirement benefits, capital leases obligation, deferred rent, unrealized losses on effective cash flow hedges, income taxes payable and other long term liabilities.</w:t>
      </w:r>
    </w:p>
    <w:p>
      <w:pPr>
        <w:sectPr>
          <w:pgSz w:w="11900" w:h="16838" w:orient="portrait"/>
          <w:cols w:equalWidth="0" w:num="1">
            <w:col w:w="11420"/>
          </w:cols>
          <w:pgMar w:left="240" w:top="333" w:right="239" w:bottom="1440"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3"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connection with our consolidated financial statements and the related notes included elsewhere in this Annual Report on Form 10-K. Some of the statements in the following discussion are forward looking statements. Dollar amounts within Item 7 are presented as actual, rounded, dollar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108" w:lineRule="exact"/>
        <w:rPr>
          <w:sz w:val="20"/>
          <w:szCs w:val="20"/>
          <w:color w:val="auto"/>
        </w:rPr>
      </w:pPr>
    </w:p>
    <w:p>
      <w:pPr>
        <w:ind w:left="720" w:hanging="388"/>
        <w:spacing w:after="0"/>
        <w:tabs>
          <w:tab w:leader="none" w:pos="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76"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or business conditions;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 including in a timely manner;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senior management team;</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the loss of a significant customer;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entire book value of goodwill and other intangible assets from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changes to or the withdrawal of governmental fiscal incentives;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decisions regarding repatriation of funds held abroad;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service debt or obtain additional financing on favorable terms;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contracts;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the geographies in which we operate;</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customer data; and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Indian tax authorities.</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elsewhere in this Annual Report on Form 10-K. These and other risks could cause actual results to differ materially from those implied by forward-looking statements in this Annual Report on Form 10-K.</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by us in this Annual Report on Form 10-K, or elsewhere, speak only as of the date on which they were made. New risks and uncertainties come up from time to time, and it is impossible for us to predict those events or how they may affect us. We have no obligation to update any forward-looking statements in this Annual Report on Form 10-K after the date of this Annual Report on Form 10-K, except as required by federal securities laws.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3"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right="540" w:hanging="327"/>
        <w:spacing w:after="0" w:line="261"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our remaining operating segments, including our Banking and Financial Services, Utilities and Consulting operating segments).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further information on our operating segments, please see “Item 1. Business.”</w:t>
      </w:r>
    </w:p>
    <w:p>
      <w:pPr>
        <w:spacing w:after="0" w:line="11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July 1, 2018, we completed the acquisition of SCIO pursuant to Merger Agreement. The acquisition of SCIO is included in the Analytics reportable segment. SCIO is a health analytics solution and services company serving over 100 healthcare organizations representing over 130 million covered lives across the continuum, including providers, health plans, pharmacy benefit managers, employers, health services and global life sciences companies.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December 22, 2017, we acquired substantially all of the assets and assumed certain liabilities related thereto of Health Integrated. The acquisition of Health Integrated is included in the Healthcare reportable segment. Health Integrated provides dedicated care management services on behalf of health plans. Its services include case management, utilization management, disease management, special needs programs, and multichronic care management. Health Integrated serves lives in the Medicaid, Medicare, and dual eligible populations.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we had revenues of $883.1 million compared to revenues of $762.3 million for the year ended December 31, 2017, an increase of $120.8 million, or 15.8%.</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serve clients mainly in the U.S. and the U.K., with these two regions generating 83.0% and 13.0%, respectively, of our total revenues for the year ended December 31, 2018 and approximately 82.2% and 14.3%, respectively, of our revenues for the year ended December 31, 2017.</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our total revenues from our top ten clients accounted for 37.2% and 38.6% of our total revenues, respectively.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33"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Operations Management Services: </w:t>
      </w:r>
      <w:r>
        <w:rPr>
          <w:rFonts w:ascii="Times New Roman" w:cs="Times New Roman" w:eastAsia="Times New Roman" w:hAnsi="Times New Roman"/>
          <w:sz w:val="18"/>
          <w:szCs w:val="18"/>
          <w:color w:val="auto"/>
        </w:rPr>
        <w:t>We provide our clients with a range of operations management services principally in the insurance,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provides industry - specific digital transformational services.</w:t>
      </w:r>
    </w:p>
    <w:p>
      <w:pPr>
        <w:spacing w:after="0" w:line="1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operations management solutions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Our Analytics services focus on driving improved business outcomes for our customers by generating data-driven insights across all parts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 We actively cross-sell and, where appropriate, integrate our Analytics services with other operations management services as part of a comprehensive offering set for our clients.</w:t>
      </w:r>
    </w:p>
    <w:p>
      <w:pPr>
        <w:spacing w:after="0" w:line="18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service offerings and client base, both organically and through acquisitions.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3"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cost of revenues primarily consists of:</w:t>
      </w:r>
    </w:p>
    <w:p>
      <w:pPr>
        <w:spacing w:after="0" w:line="27" w:lineRule="exact"/>
        <w:rPr>
          <w:sz w:val="20"/>
          <w:szCs w:val="20"/>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which include salary, bonus and other compensation expenses; recruitment and training costs; employee insurance; transport; rewards and recognition for certain employees; and non-cash stock compensation expense; and</w:t>
      </w: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facilities and communications network, which include telecommunication and IT costs; facilities and customer management support; operational expenses for our operations centers; rent expenses;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other billable costs to our clients;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direct mail operations and other digital solutions.</w:t>
      </w:r>
    </w:p>
    <w:p>
      <w:pPr>
        <w:spacing w:after="0" w:line="207"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The most significant components of our cost of revenues are salaries and benefits (including stock based compensation), recruitment, training, transport, meals, rewards and recognition and employee insurance. Salary levels, employee turnover rates and our ability to efficiently manage and utilize our employees significantly affect our cost of revenues. Salary increases for most of our operations personnel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 compensation expense relating to our issuance of equity awards to employees directly involved in providing services to our clients.</w:t>
      </w:r>
    </w:p>
    <w:p>
      <w:pPr>
        <w:spacing w:after="0" w:line="193"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inflation-based adjustments to our billing rates year over year which partially offset such increase in cost of revenues. See Item 1A-“Risk Factors-Employee wage increases may prevent us from sustaining our competitive advantage and may reduce our profit margin.”</w:t>
      </w:r>
    </w:p>
    <w:p>
      <w:pPr>
        <w:spacing w:after="0" w:line="18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generally experience a higher cost of revenues as a percentage of revenues during the initial 12 months to 18 months in a long-term BPM contract due to upfront investments in infrastructure, resource hiring and training during migration. The cost of revenues as a percentage of revenues improve as we scale up, achieve operational efficiencies and complete the migration.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are comprised of expenses relating to salaries and benefits (including stock based compensation) as well as costs related to recruitment, training and retention of senior management and other support personnel in enabling functions, telecommunications, utilities, travel and other miscellaneous administrative costs. General and administrative (“G&amp;A”) expenses also include acquisition-related costs, legal and professional fees (which represent the costs of third party legal, tax, accounting and other advisors), investment in product development, digital technology, advanced automation and robotics, bad debt allowance and non-cash amortization of stock compensation expenses related to our issuance of equity awards to members of our board of directors. We expect our G&amp;A costs to increase as we continue to strengthen our support and enabling functions and invest in leadership development, performance management and training programs.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Selling and marketing expenses primarily consist of salaries and benefits (including stock based compensation)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3"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We expect amortization of intangible assets to increase further as we pursue strategic relationships and acquisitions.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Charges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Impairment charges pertain to write down of carrying values to fair values of goodwill and intangible assets acquired in a business combination. We perform our annual impairment test annually during the fourth quarter, or more frequently, as circumstances warrant, for all our reporting units and intangible assets. Based on the results, if the carrying values of our reporting units exceeds their fair values, we record impairment charges to the extent that carrying value exceeds estimated fair value.</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fourth quarter of 2018, we performed our annual impairment test of goodwill for all of our reporting units. Based on the results, the fair values of each of our reporting units exceeded its carrying values, except for the Health Integrated reporting unit, within the Healthcare operating segment. The carrying value of our intangible assets acquired as a part of our Health Integrated acquisition also exceeded its fair value. As a result of this analysis, we recognized goodwill and intangible assets impairment charges during the fourth quarter. Further, no other goodwill and intangible assets impairments exist as of December 31, 2018 and the remaining long-lived assets are recoverable for all of our reporting units; however, there can be no assurances that additional goodwill and intangible assets will not be impaired in future periods (See Note 10 to our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U.S. dollars. However, a significant portion of our total revenues are earned in U.K. pounds sterling (12.7% and 14.3%, respectively, for the years ended December 31, 2018 and 2017), while a significant portion of our expenses are incurred and paid in Indian rupees (25.0% and 29.6%, respectively, of our total costs for the years ended December 31, 2018 and 2017) and the Philippine peso (7.1% and 8.4%, of our total costs for the years ended December 31, 2018 and 2017). The exchange rates among the Indian rupee, the Philippine peso, the U.K. pound sterling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We early adopted Accounting Standards Update ("ASU") No. 2017-12, Derivative and Hedging (Topic 815), Targeted Improvements to Accounting for Hedging Activities. Pursuant to this adoption, effective January 1, 2017, we recorded the resultant foreign exchange gain/(loss) upon settlement of cash flow hedges to cost of revenues and operating expenses, as applicable, in the consolidated statements of income. See Note 2 and 18 to our consolidated financial statements and Item 7A -“Quantitative and Qualitative Disclosures about Market Risk-Foreign Currency Risk.”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consist of interest on our borrowings under the new credit facility and convertible senior notes, capital lease obligation and notional interest implicit in the purchase of property and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net primarily consists of gain/(loss) on sale, mark to market and dividend income on our investments in mutual funds, and interest on time deposits included in cash and cash equivalents and short-term investments on our consolidated balance sheet. Other income, net also consists of changes in fair value of earn-out consideration, interest on refunds received from income tax authorities in India on completion of tax assessments and components of net periodic benefit cost such as interest cost, expected return on plan assets and amortization of actuarial gain /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3"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Tax Reform Act was enacted on December 22, 2017, and significantly affected U.S. tax law by changing how the U.S. imposes income tax on multinational corporations. The U.S. Department of Treasury has broad authority to issue regulations and interpretative guidance that may significantly impact how we will apply the law and impact our results of operations in the period issued. The Tax Reform Act requires complex computations not previously provided in U.S. tax law. As such, the application of accounting guidance for such items continues to remain uncertain. However, we have completed our analysis and compliance with the Tax Reform Act based on available guidance to date.</w:t>
      </w:r>
    </w:p>
    <w:p>
      <w:pPr>
        <w:spacing w:after="0" w:line="1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SEC staff issued Staff Accounting Bulletin ("SAB 118"), which provides guidance on accounting for the tax effects of the Tax Reform Act. SAB 118 provides a measurement period that should not extend beyond one year from the Tax Reform Act enactment date for companies to complete the accounting under FASB Accounting Standards Codification ("ASC") No.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 accordance with SAB 118, a company must reflect the income tax effects of those aspects of the Tax Reform Act for which the accounting under ASC 740 is complete. To the extent that a company’s accounting for certain income tax effects of the Tax Reform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Reform Act.</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deemed repatriation transition tax (the “Transition Tax”) is a tax on certain previously untaxed accumulated and current earning &amp; profits of our foreign subsidiaries. We were able to reasonably estimate the Transition Tax and recorded an initial provisional Transition Tax obligation of $27.2 million, with a corresponding adjustment of $27.2 million to income tax expense for the year ended December 31, 2017. On the basis of additional technical research and analysis, we recognized a measurement-period increase of $0.2 million to the Transition Tax obligation, with a corresponding adjustment of $0.2 million to income tax expense during the year ended December, 2018. We have completed our analysis of the Transition Tax and have recorded a final Transition Tax obligation of $27.4 million with a corresponding income tax expense of $27.4 million.</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first quarter of 2018, we made an election to change the tax status of most of our controlled foreign corporations (CFC) to disregarded entities for US income tax purposes. As a result, we no longer have undistributed earnings in connection with these CFCs. The Transition Tax resulted in previously taxed income (PTI) which may be subject to withholding taxes and currency gains or losses upon repatriation. We presently do not intend to distribute our PTI and have not recorded any deferred taxes. If, in the future, we change our present intention regarding the distribution of PTI, additional taxes may be required and would be recorded in the period the intention changes. The Company has adopted an accounting policy to treat Global Intangible Low-Taxed Income as a period cost.</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2017, we were able to reasonably estimate and record provisional adjustments associated with the corporate rate change in the amount of $1.9 million. We have completed our analysis and no significant adjustment was recorded related to this item during the year ended December 31, 2018.</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operations centers in India, which were established in Special Economic Zones (“SEZs”), are eligible for tax incentives until 2025. These operations centers are eligible for a 100% income tax exemption for the first 5 years of operations and 50% exemption for a period of 5 years thereafter. During the year we started operations from one new SEZ unit, and tax holiday exemption for one of the unit reduced from 100% to 50% in 2018, following the expiry of the tax exemption, SEZ unit is taxed at the prevailing annual tax rate, which as of December 31, 2018 was 34.95%. We anticipate establishing additional operations centers in SEZs or other tax advantaged locations in the future.</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benefitted from a corporate tax holiday in the Philippines for our operations centers established there over the last several years. The tax holiday expired for three of our centers in 2014, 2016 and in 2018 and will expire for other centers by year 2022, which may lead to an increase in our overall tax rate. Following the expiry of the tax exemption, income generated from centers in the Philippines will be taxed at the prevailing annual tax rate, which as of December 31, 2018 was 5% of the gross income.</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3"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A summary of our significant accounting policies is included in Note 2 -“Summary of Significant Accounting Policies” to our consolidated financial statements. We consider the policies discussed below to be critical to an understanding of our consolidated financial statements, as their application places the most significant demands on management’s judgment regarding matters that are inherently uncertain at the time an estimate is made. These policies include revenue recognition, accounts receivable, business combinations, goodwill, intangibles and long-lived assets, stock-based compensation, derivative instruments and hedging activity, borrowings, income taxes and assets and obligations related to employee benefit plans. These accounting policies and the associated risks are set out below. Future events may not develop exactly as forecasted and estimates routinely require adjustment.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recognized when services are provided to our customers, in an amount that reflects the consideration we expect to be entitled to in exchange for our services.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discounts and amounts collected on behalf of third parties. We recognize revenue when we satisfy a performance obligation by providing services to our customers.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Reimbursements of out-of-pocket expenses received from clients are included as part of revenues.</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us from our customers, are excluded from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Adoption of ASU No. 2014-09 Topic 606,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(Topic 606)</w:t>
      </w:r>
    </w:p>
    <w:p>
      <w:pPr>
        <w:spacing w:after="0" w:line="16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January 1, 2018, the date of initial application, we adopted Topic 606 using the modified retrospective method by recognizing the cumulative effect of initially applying Topic 606 as an adjustment to the opening balance of equity, primarily due to new contract acquisition costs. The initial application scopes in those contracts which were not completed as of January 1, 2018. Results for reporting periods beginning January 1, 2018 are presented under Topic 606, while prior period amounts are not adjusted and continue to be reported in accordance with our historical accounting under Topic 605. The key area impacted upon adoption of Topic 606 relates to the accounting for sales commissions costs.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services</w:t>
      </w:r>
    </w:p>
    <w:p>
      <w:pPr>
        <w:spacing w:after="0" w:line="16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derive our revenues from operations management and analytics services. We operate in the business process management (“BPM”) industry providing operations management and analytics services helping businesses enhance revenue growth and improve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 of Contracts</w:t>
      </w:r>
    </w:p>
    <w:p>
      <w:pPr>
        <w:spacing w:after="0" w:line="227" w:lineRule="exact"/>
        <w:rPr>
          <w:sz w:val="20"/>
          <w:szCs w:val="20"/>
          <w:color w:val="auto"/>
        </w:rPr>
      </w:pPr>
    </w:p>
    <w:p>
      <w:pPr>
        <w:ind w:left="660" w:hanging="247"/>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Revenues under time-and-material, transaction and outcome-based contracts are recognized as the services are performed. Revenues are recognized net of any penalties or service credits that are due to a client.</w:t>
      </w:r>
    </w:p>
    <w:p>
      <w:pPr>
        <w:spacing w:after="0" w:line="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arrangements involving subcontracting, in part or whole of the assigned work, we evaluate revenues to be recognized based on guidance on “Principal versus agent considerations” in Topic 606.</w:t>
      </w:r>
    </w:p>
    <w:p>
      <w:pPr>
        <w:spacing w:after="0" w:line="53"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our fixed-price contracts are recognized using the time-elapsed output method because we transfer control evenly during execution of our projects. Determining a measure of progress requires management to make judgments that affect the timing of revenue recognized. We regularly monitor our estimates for progress on completion of a project and record changes in the period in which a change in an estimate is determined. If a change in an estimate results in a projected loss on a project, such loss is recognized in the period in which it is identified.</w:t>
      </w:r>
    </w:p>
    <w:p>
      <w:pPr>
        <w:spacing w:after="0" w:line="126"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our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w:t>
      </w:r>
    </w:p>
    <w:p>
      <w:pPr>
        <w:spacing w:after="0" w:line="176"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reimbursement optimization services having contingent fee arrangements are recognized by us at the point in time when a performance obligation is satisfied, which is when we identify an overpayment claim and the overpaid amount is acknowledged by our customers. In such contracts, our consideration is contingent upon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33"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actual collections made by our customers and subsequent potential retractions from providers. Based on guidance on “variable consideration” in Topic 606, we use our historical experience and projections to determine the expected recoveries from our customers and recognize revenue based upon such expected recoveries. Any adjustment required due to change in estimates are recorded in the period in which such changes are identified.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our contracts with customers we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Performance Obligations</w:t>
      </w:r>
    </w:p>
    <w:p>
      <w:pPr>
        <w:spacing w:after="0" w:line="1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we consider the nature of the variable payment and whether it relates specifically to our efforts to satisfy a specific part of the contract.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6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credits and incentives, pre-payment and volume discounts where we estimate customer usage of our services while determining the revenues to be recognized.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consider our experience with similar transactions and expectations regarding the contract in estimating the amount of variable consideration that should be recognized during a period.</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believe that the expected value method is most appropriate for determining the variable consideration since we have large number of contracts with similar nature of transactions/services.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impact of variable consideration is estimated at contract inception and updated at end of each reporting period. Changes to our estimated variable consideration were not material for the reporting period presented.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p>
    <w:p>
      <w:pPr>
        <w:spacing w:after="0" w:line="1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Revenues recognized in excess of billings are recorded as unbilled receivables. Unbilled receivables also include revenues recognized from reimbursement optimization services when we identify an overpayment claim and the same is acknowledged by our customers, however not invoiced at the balance sheet date. Accordingly, amounts for services that we have performed and for which an invoice has not yet been issued to the customers are presented as a part of contract assets as accounts receivable.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16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Billings in excess of revenues recognized are recorded as deferred revenues until revenue recognition criteria are met. Client prepayments (even if nonrefundable) are deferred and recognized over future periods as services are delivered or performed. We also have deferred revenue attributable to certain process transition activities, with respect to our customers where such activities do not represent separate performance obligations. Revenues related to such transition activities are recognized ratably over the period in which the related services are performed. Costs related to such transition activities are contract fulfillment costs, and thereby are recognized ratably over the estimated expected period of benefit.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accounts receivable net of allowances for doubtful accounts. Allowances for doubtful accounts are established through the evaluation of aging of accounts receivable, prior collection experience, current market conditions, clients’ financial condition and the amount of accounts receivable in dispute to estimate the collectability of these accounts receivables. All contracts entered into by us specify the payment terms and are defined for each contract separately. Usual payment terms range between 30-60 days.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3"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account for all business combinations using the acquisition method of accounting as prescribed by Accounting Standards Codification (“ASC”) Topic 805, “Business Combinations”. The guidance requires the use of significant estimates and assumptions in allocation of the purchase price in determining the fair value of identifiable assets acquired and liabilities assumed, including intangible assets and contingent consideration and allocation of purchase price over such assets and liabilities on the acquisition date. The significant estimates and assumptions include, but are not limited to, the timing and amount of future revenue and cash flows based on, among other things, anticipated growth rates and customer attrition rates and the discount rate reflecting the risk inherent in future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We undertake studies to determine the fair values of assets and liabilities acquired and allocate purchase consideration to assets and liabilities, including property and equipment, goodwill and other identifiable intangibles. We examine the carrying value of the goodwill annually in the fourth quarter, or more frequently, as circumstances warrant, to determine whether there are any impairment losses. We test for goodwill impairment at the reporting unit level.</w:t>
      </w:r>
    </w:p>
    <w:p>
      <w:pPr>
        <w:spacing w:after="0" w:line="1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quantitative goodwill impairment test involves a comparison of the fair value of a reporting unit with its carrying amount. The fair value of the reporting unit is measured using the income approach. 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each business. Actual results may differ from those assumed in our forecasts. Discount rate assumptions are based on an assessment of the risk inherent in the future cash flows of the respective reporting units. The discount rate is mainly based on judgment of the specific risk inherent within each reporting unit. The variables within the discount rate, many of which are outside of our control, provide us best estimate of all assumptions applied within the DCF model.</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Determining fair value requires the exercise of significant judgment, including assumptions about appropriate discount rates, perpetual growth rates and the amount and timing of expected future cash flows. There can be no assurance that operations will achieve the future cash flows reflected in the projections. If the carrying amount of the reporting unit exceeds its fair value, an impairment loss shall be recognized, if any, in an amount equal to that excess, limited to the total amount of goodwill allocated to that reporting unit. Goodwill of a reporting unit is tested for impairment annually or more frequently if an event occurs or circumstances change that would more likely than not reduce the fair value of the reporting unit below its carrying amount.</w:t>
      </w:r>
    </w:p>
    <w:p>
      <w:pPr>
        <w:spacing w:after="0" w:line="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discounted expected future cash flows is less than the carrying amount of such asset. The estimate of 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 See Note 2-“Summary of Significant Accounting Policies-Business Combinations, Goodwill and Other Intangible Assets” to our consolidated financial statements for more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the fair value recognition provisions of ASC Topic 718, Compensation-Stock Compensation (“ASC No. 718”), cost is measured at the grant date based on the fair value of the award and is amortized on a straight-line basis over the requisite service periods of the awards, which is generally the vesting period.</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Determining the fair value of stock-based awards at the grant date requires significant judgment, including estimating the expected term over which the stock awards will be outstanding before they are exercised and the expected volatility of our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3"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grant performance-based restricted stock units (“PRSUs”) to executive officers and other specified employees. 50% of the PRSUs cliff vest based on a revenue target (“PUs”). The remaining 50% vest based on a market condition (“MUs”) that is contingent on EXL meeting or exceeding the total shareholder return relative to a group of peer companies specified under the program, measured over a three-year performance period. The award recipient may earn up to two hundred percent (200%) of the PRSUs granted based on the actual achievements of both targets.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share of our common stock on the day prior to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actively look to mitigate the exposure of foreign currency market risk associated with forecasted transactions denominated in certain foreign currencies and to minimize earnings and cash flow volatility associated with changes in foreign currency exchanges rates by entering into various foreign currency exchange forward contracts, with counterparties that are highly rated financial institutions.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hedge forecasted transactions that are subject to foreign exchange exposure with foreign currency exchange contracts that qualify as cash flow hedges. Changes in the fair value of these cash flow hedges are recorded as a component of accumulated other comprehensive income/(loss), net of tax, until the hedged transactions occurs. We early adopted ASU No. 2017-12, Derivative and Hedging (Topic 815), Targeted Improvements to Accounting for Hedging Activities. Pursuant to this adoption, effective January 1, 2017, the resultant foreign exchange gain/(loss) upon settlement of cash flow hedges are recorded along with the underlying hedged item in the same line in the consolidated statements of income as either part of “Cost of revenue”, “General and administrative expenses”, “Selling and marketing expenses”, "Depreciation and amortization”, as applicable.</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Prior to January 1, 2017, the resultant foreign exchange gain/(loss) on settlement of cash flow hedges and changes in the fair value of cash flow hedges deemed ineffective have been recorded in “Foreign exchange gain, net” in the consolidated statements of income.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also use derivative instruments consisting of foreign currency exchange contracts to economically hedge intercompany balances and other monetary assets or liabilities denominated in currencies other than the functional currency. These derivatives do not qualify as fair value hedges. Changes in the fair value of these derivatives are recognized in the consolidated statements of income and are included in foreign exchange gain/(loss).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determine the fair value of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evaluate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account for convertible notes in accordance with the guidelines established by the ASC No.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We separate the convertible notes into liability and equity components. The Beneficial Conversion Feature ("BCF") of a convertible note, which is the equity component and recorded as additional paid-in capital, is normally characterized as the convertible portion or feature of certain notes payable that provide a rate of conversion that is below market value or in-the-money when issued. We record a BCF related to the issuance of a convertible notes when issued.</w:t>
      </w:r>
    </w:p>
    <w:p>
      <w:pPr>
        <w:spacing w:after="0" w:line="7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If a convertible note is within the scope of the Cash Conversion Subsections contains embedded features other than the embedded conversion option, the guidance in ASC No.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(“ASC 815-15”), is applied to determine if any of those features must be separately accounted for as a derivative instrument.</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estimated fair value of the liability component at issuance is determined using a discounted cash flow technique, which considers debt issuances with similar features of our convertible notes, excluding the conversion feature. The excess of the gross proceeds received over the estimated fair value of the liability component is allocated to the BCF, which is credited to additional paid-in-capital with a corresponding offset recognized as a discount to reduce the net carrying value of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3"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The discount is being amortized to interest expense over the expected term of the convertible notes using the effective interest method.</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Direct, incremental finance costs related to the convertible notes are amortized over the term instrument through charges to interest expense using the effective interest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7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probable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current tax assessments.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2018, we made an election to change the tax status of most of our controlled foreign corporations (CFC) to disregarded entities for US income tax purposes. As a result, we no longer have undistributed earnings in connection with these CFCs. The transition tax resulted in previously taxed income (PTI) which may be subject to withholding taxes and currency gains or losses upon repatriation. We presently do not intend to distribute our PTI and have not recorded any deferred taxes. If, in the future, we change our present intention regarding the distribution of PTI, additional taxes may be required and would be recorded in the period the intention changes. See Note 23 to our consolidated financial statements contained herein.</w:t>
      </w:r>
    </w:p>
    <w:p>
      <w:pPr>
        <w:spacing w:after="0" w:line="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is more likely than not to be realized upon settlement. Our income tax expense also takes into account any interest or penalties related to unrecognized tax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 contributions to defined contribution plans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spacing w:after="0" w:line="7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2018, we adopted ASU No. 2017-07, </w:t>
      </w:r>
      <w:r>
        <w:rPr>
          <w:rFonts w:ascii="Times New Roman" w:cs="Times New Roman" w:eastAsia="Times New Roman" w:hAnsi="Times New Roman"/>
          <w:sz w:val="18"/>
          <w:szCs w:val="18"/>
          <w:i w:val="1"/>
          <w:iCs w:val="1"/>
          <w:color w:val="auto"/>
        </w:rPr>
        <w:t>Compensation -Retirement Benefits ("Topic 715"), Improving the Presentation of Net Periodic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Pension Cost and Net Periodic Post Retirement Benefit Cost. </w:t>
      </w:r>
      <w:r>
        <w:rPr>
          <w:rFonts w:ascii="Times New Roman" w:cs="Times New Roman" w:eastAsia="Times New Roman" w:hAnsi="Times New Roman"/>
          <w:sz w:val="18"/>
          <w:szCs w:val="18"/>
          <w:color w:val="auto"/>
        </w:rPr>
        <w:t>Pursuant to this, we retrospectively included only the service cost component of the net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cost in the same line item or items on the 2017 and 2016 consolidated statements of income as other compensation costs arising from services rendered by the respective employees during the period. The interest cost, expected return on plan assets and amortization of actuarial gains/loss, have been reclassified from “Cost of revenues”, “General and administrative expenses” and “Selling and marketing expenses” to “Other income, net”. See Note 21 and Note 27 to our consolidated financial statements for impact of adoption of accounting guidance on prior years’ presentation and disclosures.</w:t>
      </w:r>
    </w:p>
    <w:p>
      <w:pPr>
        <w:spacing w:after="0" w:line="7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recognize the liabilities for compensated absences dependent on whether the obligation is attributable to employee services already rendered, relates to rights that vest or accumulate and payment is probable and estimable.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3"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both probability and whether an exposure is reasonably estimable.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2018, 2017 and 2016:</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9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8"/>
                <w:szCs w:val="8"/>
                <w:b w:val="1"/>
                <w:bCs w:val="1"/>
                <w:color w:val="auto"/>
              </w:rPr>
              <w:t>(2)</w:t>
            </w: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8"/>
                <w:szCs w:val="8"/>
                <w:b w:val="1"/>
                <w:bCs w:val="1"/>
                <w:color w:val="auto"/>
              </w:rPr>
              <w:t>(2)</w:t>
            </w:r>
          </w:p>
        </w:tc>
      </w:tr>
      <w:tr>
        <w:trPr>
          <w:trHeight w:val="196"/>
        </w:trPr>
        <w:tc>
          <w:tcPr>
            <w:tcW w:w="5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883.1</w:t>
            </w:r>
          </w:p>
        </w:tc>
        <w:tc>
          <w:tcPr>
            <w:tcW w:w="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762.3</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r>
      <w:tr>
        <w:trPr>
          <w:trHeight w:val="270"/>
        </w:trPr>
        <w:tc>
          <w:tcPr>
            <w:tcW w:w="594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(1)(2)</w:t>
            </w:r>
          </w:p>
        </w:tc>
        <w:tc>
          <w:tcPr>
            <w:tcW w:w="8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584.8</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495.1</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64"/>
        </w:trPr>
        <w:tc>
          <w:tcPr>
            <w:tcW w:w="594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5"/>
                <w:szCs w:val="25"/>
                <w:b w:val="1"/>
                <w:bCs w:val="1"/>
                <w:color w:val="auto"/>
                <w:vertAlign w:val="superscript"/>
              </w:rPr>
              <w:t>(1)</w:t>
            </w:r>
          </w:p>
        </w:tc>
        <w:tc>
          <w:tcPr>
            <w:tcW w:w="8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298.3</w:t>
            </w:r>
          </w:p>
        </w:tc>
        <w:tc>
          <w:tcPr>
            <w:tcW w:w="1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267.2</w:t>
            </w:r>
          </w:p>
        </w:tc>
        <w:tc>
          <w:tcPr>
            <w:tcW w:w="1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
        </w:trPr>
        <w:tc>
          <w:tcPr>
            <w:tcW w:w="5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59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116.2</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70"/>
        </w:trPr>
        <w:tc>
          <w:tcPr>
            <w:tcW w:w="59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Selling and marketing expenses</w:t>
            </w:r>
            <w:r>
              <w:rPr>
                <w:rFonts w:ascii="Times New Roman" w:cs="Times New Roman" w:eastAsia="Times New Roman" w:hAnsi="Times New Roman"/>
                <w:sz w:val="25"/>
                <w:szCs w:val="25"/>
                <w:color w:val="auto"/>
                <w:vertAlign w:val="superscript"/>
              </w:rPr>
              <w:t>(2)</w:t>
            </w:r>
          </w:p>
        </w:tc>
        <w:tc>
          <w:tcPr>
            <w:tcW w:w="8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5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94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 operating expenses</w:t>
            </w:r>
            <w:r>
              <w:rPr>
                <w:rFonts w:ascii="Times New Roman" w:cs="Times New Roman" w:eastAsia="Times New Roman" w:hAnsi="Times New Roman"/>
                <w:sz w:val="25"/>
                <w:szCs w:val="25"/>
                <w:color w:val="auto"/>
                <w:vertAlign w:val="superscript"/>
              </w:rPr>
              <w:t>(2)</w:t>
            </w:r>
          </w:p>
        </w:tc>
        <w:tc>
          <w:tcPr>
            <w:tcW w:w="8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248.5</w:t>
            </w:r>
          </w:p>
        </w:tc>
        <w:tc>
          <w:tcPr>
            <w:tcW w:w="1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194.5</w:t>
            </w:r>
          </w:p>
        </w:tc>
        <w:tc>
          <w:tcPr>
            <w:tcW w:w="1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7"/>
        </w:trPr>
        <w:tc>
          <w:tcPr>
            <w:tcW w:w="5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9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5"/>
                <w:szCs w:val="25"/>
                <w:color w:val="auto"/>
                <w:vertAlign w:val="superscript"/>
              </w:rPr>
              <w:t>(2)</w:t>
            </w:r>
          </w:p>
        </w:tc>
        <w:tc>
          <w:tcPr>
            <w:tcW w:w="8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8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7"/>
        </w:trPr>
        <w:tc>
          <w:tcPr>
            <w:tcW w:w="5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Exclusive of depreciation &amp; amortization.</w:t>
      </w:r>
    </w:p>
    <w:p>
      <w:pPr>
        <w:spacing w:after="0" w:line="117" w:lineRule="exact"/>
        <w:rPr>
          <w:rFonts w:ascii="Times New Roman" w:cs="Times New Roman" w:eastAsia="Times New Roman" w:hAnsi="Times New Roman"/>
          <w:sz w:val="18"/>
          <w:szCs w:val="18"/>
          <w:i w:val="1"/>
          <w:iCs w:val="1"/>
          <w:color w:val="auto"/>
        </w:rPr>
      </w:pPr>
    </w:p>
    <w:p>
      <w:pPr>
        <w:ind w:left="740" w:hanging="246"/>
        <w:spacing w:after="0" w:line="284" w:lineRule="auto"/>
        <w:tabs>
          <w:tab w:leader="none" w:pos="769"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pursuant to adoption of ASU No. 2017-07, Improving the Presentation of Net Periodic Pension Cost and Net Periodic Post-retirement Benefit Cost. Refer to Note 21 and Note 27 to our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3"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 for the year ended December 31, 2018 and 2017:</w:t>
      </w:r>
    </w:p>
    <w:p>
      <w:pPr>
        <w:spacing w:after="0" w:line="33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7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70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5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234.8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Transportation and Logistics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762.3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for the year ended December 31, 2018 were $883.1 million, up $120.8 million, or 15.8%, compared to the year ended December 31, 2017.</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Insurance of $23.3 million was primarily driven by expansion of business from our new and existing clients of $24.3 million, partially offset by net impact of foreign exchange loss of $1.0 million mainly due to depreciation of the Indian rupee against the U.S. dollar during the year ended December 31, 2018 compared to the year ended December 31, 2017. Insurance revenues were 29.2% and 30.8% of our total revenues in 2018 and 2017, respectively.</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Healthcare of $7.4 million was primarily driven by our acquisition of Health Integrated in 2017, contributing $17.0 million. This was partially offset by lower revenues of $9.6 million due to the termination of certain client contracts. Healthcare revenues were 9.6% and 10.1% of our total revenues in 2018 and 2017, respectively</w:t>
      </w:r>
    </w:p>
    <w:p>
      <w:pPr>
        <w:spacing w:after="0" w:line="109" w:lineRule="exact"/>
        <w:rPr>
          <w:sz w:val="20"/>
          <w:szCs w:val="20"/>
          <w:color w:val="auto"/>
        </w:rPr>
      </w:pPr>
    </w:p>
    <w:p>
      <w:pPr>
        <w:jc w:val="both"/>
        <w:ind w:firstLine="405"/>
        <w:spacing w:after="0" w:line="313" w:lineRule="auto"/>
        <w:rPr>
          <w:sz w:val="20"/>
          <w:szCs w:val="20"/>
          <w:color w:val="auto"/>
        </w:rPr>
      </w:pPr>
      <w:r>
        <w:rPr>
          <w:rFonts w:ascii="Times New Roman" w:cs="Times New Roman" w:eastAsia="Times New Roman" w:hAnsi="Times New Roman"/>
          <w:sz w:val="18"/>
          <w:szCs w:val="18"/>
          <w:color w:val="auto"/>
        </w:rPr>
        <w:t>Revenue decline in Travel, Transportation and Logistics ("TT&amp;L") of $0.8 million was mainly due to net impact of foreign exchange loss of $0.8 million primarily due to the depreciation of the Indian rupee and the Philippine peso against the U.S. dollar during the year ended December 31, 2018 compared to the year ended December 31, 2017. TT&amp;L revenues were 8.0% and 9.3% of our total revenues in 2018 and 2017, respectively.</w:t>
      </w:r>
    </w:p>
    <w:p>
      <w:pPr>
        <w:spacing w:after="0" w:line="82" w:lineRule="exact"/>
        <w:rPr>
          <w:sz w:val="20"/>
          <w:szCs w:val="20"/>
          <w:color w:val="auto"/>
        </w:rPr>
      </w:pPr>
    </w:p>
    <w:p>
      <w:pPr>
        <w:jc w:val="both"/>
        <w:ind w:firstLine="405"/>
        <w:spacing w:after="0" w:line="329" w:lineRule="auto"/>
        <w:rPr>
          <w:sz w:val="20"/>
          <w:szCs w:val="20"/>
          <w:color w:val="auto"/>
        </w:rPr>
      </w:pPr>
      <w:r>
        <w:rPr>
          <w:rFonts w:ascii="Times New Roman" w:cs="Times New Roman" w:eastAsia="Times New Roman" w:hAnsi="Times New Roman"/>
          <w:sz w:val="18"/>
          <w:szCs w:val="18"/>
          <w:color w:val="auto"/>
        </w:rPr>
        <w:t>Revenue growth in Finance and Accounting ("F&amp;A") of $11.4 million was driven by net volume increases from our new and existing clients. F&amp;A revenues were 11.1% and 11.4% of our total revenues in 2018 and 2017, respectively.</w:t>
      </w:r>
    </w:p>
    <w:p>
      <w:pPr>
        <w:spacing w:after="0" w:line="27"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Revenue growth in All Other of $4.1 million was primarily driven by higher revenues of $9.6 million in the Consulting operating segment, partially offset by lower revenues in our Banking and Financial Services operating segment of $2.4 million and Utilities operating segment of $1.8 million and a net impact of foreign exchange loss of $1.3 million primarily due to the depreciation of the Indian rupee against the U.S. dollar during the year ended December 31, 2018 compared to the year ended December 31, 2017. All Other revenues were 9.9% and 10.9% of our total revenues in 2018 and 2017, respectively.</w:t>
      </w:r>
    </w:p>
    <w:p>
      <w:pPr>
        <w:spacing w:after="0" w:line="2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Analytics of $75.4 million was driven by our acquisition of SCIO in July 2018, contributing $40.0 million. The remaining increase of $35.4 million was attributable by our recurring and project-based engagements from our new and existing clients. Analytics revenues were 32.3% and 27.5% of our total revenues in 2018 and 2017, respectively.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3"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4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20" w:type="dxa"/>
            <w:vAlign w:val="bottom"/>
            <w:tcBorders>
              <w:top w:val="single" w:sz="8" w:color="auto"/>
            </w:tcBorders>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5"/>
                <w:szCs w:val="5"/>
                <w:color w:val="auto"/>
              </w:rPr>
            </w:pPr>
          </w:p>
        </w:tc>
        <w:tc>
          <w:tcPr>
            <w:tcW w:w="9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TT&amp;L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F&amp;A</w:t>
            </w:r>
          </w:p>
        </w:tc>
        <w:tc>
          <w:tcPr>
            <w:tcW w:w="2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2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cost of revenues was $584.8 million compared to $495.1 million for the year ended December 31, 2017, an increase of $89.7 million, or 18.1%. Our gross margin for the year ended December 31, 2018 was 33.8% compared to 35.0% for year ended December 31, 2017, a decrease of 120 basis points (“bps”).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Insurance of $15.5 million was primarily due to an increase in employee-related costs of $15.9 million on account of higher headcount and wage inflation, technology and infrastructure costs of $1.7 million, travel and other operating costs of $1.1 million, partially offset by lower professional fees of $2.0 million and currency movements net of hedging of $1.2 million. Gross margin in Insurance increased by 10 bps during the year ended December 31, 2018 compared to the year ended December 31, 2017, primarily due to higher revenues and margin expansion in existing clients.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Healthcare of $17.4 million was primarily due to an increase in employee-related costs of $15.2 million, technology and infrastructure costs of $3.8 million and other operating cost of $0.5 million, on account of our acquisition of Health Integrated in 2017, partially offset by decrease in other operating costs of $1.5 million and currency movements net of hedging of $0.6 million. Gross margin in Healthcare decreased by 14.9% during the year ended December 31, 2018 compared to the year ended December 31, 2017, primarily due to the impact of our Health Integrated business, lower revenue from existing clients and the termination of certain client contracts.</w:t>
      </w:r>
    </w:p>
    <w:p>
      <w:pPr>
        <w:spacing w:after="0" w:line="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TT&amp;L of $0.2 million was primarily due to currency movements net of hedging of $0.7 million, partially offset by an increase in employee-related costs of $0.5 million. Gross margin in TT&amp;L decreased by 20 bps due to margin contraction in existing clients during the year ended December 31, 2018 compared to the year ended December 31, 2017.</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F&amp;A of $7.8 million was primarily due to an increase in employee-related costs of $6.4 million on account of higher headcount and wage inflation, higher technology and infrastructure costs of $1.2 million, and travel costs of $1.1 million, partially offset by other operating costs of $0.3 million and currency movements net of hedging of $0.6 million. Gross margin in F&amp;A decreased by 100 bps during the year ended December 31, 2018 compared to the year ended December 31, 2017, primarily due to higher operating expenses associated with the initiation of services for new clients.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All Other of $1.6 million was primarily due to an increase in employee-related costs of $2.9 million on account of higher headcount and wage inflation, partially offset by other operating costs of $0.3 million and currency movements net of hedging of $0.8 million. Gross margin in All Other increased by 120 bps during the year ended December 31, 2018 compared to the year ended December 31, 2017, primarily due to higher revenues in our Consulting operating segment.</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Analytics of $47.6 million was primarily due to an increase in employee-related costs of $36.8 million on account of higher headcount and wage inflation, including incremental cost related to our acquisition of SCIO in July 2018 of $19.9 million. The remaining increase was attributable to other operating costs of $11.8 million, partially offset by currency movements net of hedging of $1.0 million. Gross margin in Analytics increased by 50 bps during the year ended December 31, 2018 compared to the year ended December 31, 2017, primarily as a result of increased gross margin from our SCIO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6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6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increase in SG&amp;A expenses of $23.8 million was primarily due to an increase in employee-related costs of $18.9 million, including incremental costs related to our SCIO acquisition in July 2018 and Health Integrated acquisition in December 2017 of $12.8 million. </w:t>
      </w:r>
      <w:r>
        <w:rPr>
          <w:rFonts w:ascii="Times New Roman" w:cs="Times New Roman" w:eastAsia="Times New Roman" w:hAnsi="Times New Roman"/>
          <w:sz w:val="19"/>
          <w:szCs w:val="19"/>
          <w:color w:val="auto"/>
        </w:rPr>
        <w:t>Ther</w:t>
      </w:r>
      <w:r>
        <w:rPr>
          <w:rFonts w:ascii="Times New Roman" w:cs="Times New Roman" w:eastAsia="Times New Roman" w:hAnsi="Times New Roman"/>
          <w:sz w:val="18"/>
          <w:szCs w:val="18"/>
          <w:color w:val="auto"/>
        </w:rPr>
        <w:t>e was a further increase in infrastructure and other operating costs of $4.4 million related to the above described acquisitions. The remaining increase of $1.6 mi</w:t>
      </w:r>
      <w:r>
        <w:rPr>
          <w:rFonts w:ascii="Times New Roman" w:cs="Times New Roman" w:eastAsia="Times New Roman" w:hAnsi="Times New Roman"/>
          <w:sz w:val="19"/>
          <w:szCs w:val="19"/>
          <w:color w:val="auto"/>
        </w:rPr>
        <w:t>llion</w:t>
      </w:r>
      <w:r>
        <w:rPr>
          <w:rFonts w:ascii="Times New Roman" w:cs="Times New Roman" w:eastAsia="Times New Roman" w:hAnsi="Times New Roman"/>
          <w:sz w:val="18"/>
          <w:szCs w:val="18"/>
          <w:color w:val="auto"/>
        </w:rPr>
        <w:t xml:space="preserve"> due to continued investments in strategic initiatives, product development, digital technology, advance automation and robotics, partially offset by currency movements net of hedging of $1.1 million.</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6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6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90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intangibles amortization expense of $6.4 million was primarily due to amortization of intangibles associated with our SCIO acquisition in July 2018 and Health Integrated acquisition in December 2017. The increase in depreciation expense of $3.7 million was due to depreciation related to our new operating centers commenced during 2017 to support our business growth and depreciation associated with our acquisitions.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280" w:type="dxa"/>
        <w:tblCellMar>
          <w:top w:w="0" w:type="dxa"/>
          <w:left w:w="0" w:type="dxa"/>
          <w:bottom w:w="0" w:type="dxa"/>
          <w:right w:w="0" w:type="dxa"/>
        </w:tblCellMar>
      </w:tblPr>
      <w:tr>
        <w:trPr>
          <w:trHeight w:val="47"/>
        </w:trPr>
        <w:tc>
          <w:tcPr>
            <w:tcW w:w="48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8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fourth quarter of 2018, we recognized an impairment charge of $20.1 million to write down the carrying value of goodwill of $14.2 million and intangible assets of $5.9 million to their fair values related to our Health Integrated reporting unit within our Healthcare operating segment. The primary factors contributing to an impairment charge were (i) revenues and profitability for the Health Integrated business in 2018 were significantly lower than our budget and (ii) significant changes to the Company's estimated future cash flows and long-term growth assumptions driven by loss of customer contracts, cost pressures and the Company’s most recent views of the long-term outlook for the Health Integrated business. See Note 10 to our consolidated financial statements.</w:t>
      </w:r>
    </w:p>
    <w:p>
      <w:pPr>
        <w:spacing w:after="0" w:line="76"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decreased by $22.9 million, or 31.5%, from $72.7 million for the year ended December 31, 2017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$49.8 million for the year ended December 31, 2018 primarily due to impairment charges of $20.1 million. As a percentage of revenues, income from operations decreased from 9.5% for the year ended December 31, 2017 to 5.6% for the year ended December 31, 2018.</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the year ended December 31, 2018. The average exchange rate of the U.S. dollar against the Indian rupee increased from 64.93 during the year ended December 31, 2017 to 68.48 during the year ended December 31, 2018. The average exchange rate of the U.K. pound sterling against the U.S. dollar increased from 1.30 during the year ended December 31, 2017 to 1.33 during the year ended December 31, 2018. The average exchange rate of the U.S. dollar against the Philippine peso increased from 50.38 during the year ended December 31, 2017 to 52.69 during the year ended December 31, 2018.</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$4.8 million for the year ended December 31, 2018 compared to the net foreign exchange gain of $2.8 million for the year ended December 31, 2017.</w:t>
      </w:r>
    </w:p>
    <w:p>
      <w:pPr>
        <w:spacing w:after="0" w:line="50"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from $1.9 million for the year ended December 31, 2017 to $7.2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primarily due to increase in borrowings under our new credit facility, issuance of convertible notes and higher effective interest rates.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420" w:type="dxa"/>
        <w:tblCellMar>
          <w:top w:w="0" w:type="dxa"/>
          <w:left w:w="0" w:type="dxa"/>
          <w:bottom w:w="0" w:type="dxa"/>
          <w:right w:w="0" w:type="dxa"/>
        </w:tblCellMar>
      </w:tblPr>
      <w:tr>
        <w:trPr>
          <w:trHeight w:val="47"/>
        </w:trPr>
        <w:tc>
          <w:tcPr>
            <w:tcW w:w="45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vMerge w:val="restart"/>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56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2200" w:type="dxa"/>
            <w:vAlign w:val="bottom"/>
            <w:tcBorders>
              <w:top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income, net increased by $1.6 million, from $11.4 million for the year ended December 31, 2017 to $13.0 million for the year ended December 31, 2018 primarily due to higher return on mutual fund investments of $1.2 million and interest and dividend income of $0.3 million.</w:t>
      </w:r>
    </w:p>
    <w:p>
      <w:pPr>
        <w:spacing w:after="0" w:line="15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$3.4 million and $36.1 million for the year ended December 31, 2018 and 2017,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tax rate decreased from 42.5% during the year ended December 31, 2017 to 5.6% during the year ended December 31, 2018 primarily as a result of: (i) a reduction in federal statutory tax rate and (ii) the impact of one-time transition tax of $27.2 million on the mandatory deemed repatriation of accumulated earnings and profits (“E&amp;P”) of foreign subsidiaries and deferred tax re-measurement of $1.9 million under the Tax Reform Act, during the year ended December 31, 2017 compared to $0.2 million during the year ended December 31, 2018 . See Note 23 to our consolidated financial statements.</w:t>
      </w:r>
    </w:p>
    <w:p>
      <w:pPr>
        <w:spacing w:after="0" w:line="180"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increased from $48.9 million for the year ended December 31, 2017 to $56.7 million for the year ended December 31,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decrease in income tax expense of $32.7 million, increase in foreign exchange gains of $2.0 million and other income of $1.6 million, partially offset by lower income from operation of $22.9 million, higher interest expense of $5.3 million and loss from equity-method investment of $0.3 million. As a percentage of revenues, net income was 6.4% in each of the years ended December 31, 2018 and 2017.</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3"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2017 Compared to Year Ended December 31, 2016</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line="38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280" w:type="dxa"/>
        <w:tblCellMar>
          <w:top w:w="0" w:type="dxa"/>
          <w:left w:w="0" w:type="dxa"/>
          <w:bottom w:w="0" w:type="dxa"/>
          <w:right w:w="0" w:type="dxa"/>
        </w:tblCellMar>
      </w:tblPr>
      <w:tr>
        <w:trPr>
          <w:trHeight w:val="47"/>
        </w:trPr>
        <w:tc>
          <w:tcPr>
            <w:tcW w:w="48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right"/>
              <w:ind w:right="354"/>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80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Transportation and Logistics</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8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for the year ended December 31, 2017 were $762.3 million, up $76.3 million, or 11.1%, compared to the year ended December 31, 2016.</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Insurance of $28.5 million was driven by expansion of business from our new and existing clients of $26.9 million, including incremental $3.7 million from our Liss Systems Limited (“Liss”) acquisition in 2016. The remaining increase of $1.6 million was attributable to a net impact of appreciation of the South African Rand and Indian rupee against the U.S. dollar during the year ended December 31, 2017 compared to the year ended December 31, 2016. Insurance revenues were 30.8% and 30.1% of our total revenues in 2017 and 2016, respectively.</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growth in Healthcare of $8.3 million was primarily driven by expansion of business from our new and existing clients. Healthcare revenues were 10.1% and 10.0% of our total revenues in 2017 and 2016, respectively.</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Travel, Transportation and Logistics of $1.6 million was primarily driven by net volume increases from our new and existing clients of $2.5 million, partially offset by a $0.9 million impact due to depreciation of the Philippine Peso against the U.S. dollar during the year ended December 31, 2017 compared to the year ended December 31, 2016. TT&amp;L revenues were 9.3% and 10.1% of our total revenues in 2017 and 2016, respectively.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Finance and Accounting of $7.1 million was driven by net volume increases from our new and existing clients of $6.5 million. The remaining increase of $0.6 million was attributable to a net impact of appreciation of the Indian rupee against the U.S. dollar during the year ended December 31, 2017 compared to the year ended December 31, 2016. F&amp;A revenues were 11.4% and 11.6% of our total revenues in 2017 and 2016, respectively.</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All Other of $13.4 million was driven primarily by lower revenue in our Consulting and Utilities operating segments, aggregating to $14.8 million, partially offset by higher revenue in our Banking and Financial Services operating segment of $0.6 million. This was partially offset by a net increase of $0.8 million due to the appreciation of the Indian rupee against the U.S. dollar during the year ended December 31, 2017 compared to the year ended December 31, 2016. All Other revenues were 10.9% and 14.1% of our total revenues in 2017 and 2016, respectively.</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Analytics of $44.2 million was driven by our recurring and project based engagements from our new and existing clients, including incremental $19.9 million from our IQR Consulting Inc. ("IQR") and Datasource Consulting, LLC ("Datasource") acquisitions in 2016. Analytics revenues were 27.5% and 24.2% of our total revenues in 2017 and 2016,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3"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00" w:lineRule="exact"/>
        <w:rPr>
          <w:sz w:val="20"/>
          <w:szCs w:val="20"/>
          <w:color w:val="auto"/>
        </w:rPr>
      </w:pP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22"/>
                <w:szCs w:val="22"/>
                <w:color w:val="auto"/>
              </w:rPr>
            </w:pPr>
          </w:p>
        </w:tc>
        <w:tc>
          <w:tcPr>
            <w:tcW w:w="25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00" w:type="dxa"/>
            <w:vAlign w:val="bottom"/>
            <w:tcBorders>
              <w:top w:val="single" w:sz="8" w:color="auto"/>
            </w:tcBorders>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5"/>
                <w:szCs w:val="5"/>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TT&amp;L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F&amp;A</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2017, cost of revenues was $495.1 million compared to $447.7 million for the year ended December 31, 2016, an increase of $47.4 million, or 10.6%. Our gross margin for 2017 was 35.0% compared to 34.7% for 2016, an increase of 0.3% or 30 basis points (“bps”).</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Insurance of $13.2 million was primarily due to an increase in employee-related costs of $10.6 million on account of higher headcount and wage inflation, technology and infrastructure costs of $3.3 million. This was partially offset by a decrease in other operating costs of $0.2 million. There was a net decrease of $0.5 million due to foreign exchange gains and losses on settlement of cash flow hedges during the year ended December 31, 2017 compared to the year ended December 31, 2016. Gross margin in Insurance increased by 290 bps during the year ended December 31, 2017 compared to the year ended December 31, 2016, primarily due to higher revenues and margin expansion in existing clients.</w:t>
      </w:r>
    </w:p>
    <w:p>
      <w:pPr>
        <w:spacing w:after="0" w:line="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Healthcare of $5.3 million was primarily due to an increase in employee-related costs of $4.7 million on account of higher headcount and wage inflation, and technology and infrastructure costs of $1.1 million. This was partially offset by $0.7 million due to the depreciation of the Philippine peso against the U.S. dollar during the year ended December 31, 2017 compared to the year ended December 31, 2016. Gross margin in Healthcare during 2017 as compared to 2016 was relatively flat.</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TT&amp;L of $0.6 million was primarily due to foreign exchange gains and losses on settlement of cash flow hedges during the year ended December 31, 2017 compared to the year ended December 31, 2016. Gross margin in TT&amp;L increased by 210 bps during 2017 as compared to 2016, primarily due to margin expansion in existing clients and lower operating costs.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F&amp;A of $3.2 million was primarily due to an increase in employee-related costs of $2.8 million on account of higher headcount and wage inflation, and technology and infrastructure costs of $1.4 million and travel costs of $0.2 million. This increase was partially offset by a net decrease of $1.2 million due to foreign exchange gains and losses on settlement of cash flow hedges during the year ended December 31, 2017 compared to the year ended December 31, 2016. Gross margin in F&amp;A increased by 140 bps during 2017 compared to 2016, primarily due to increase in volumes in new clients.</w:t>
      </w:r>
    </w:p>
    <w:p>
      <w:pPr>
        <w:spacing w:after="0" w:line="7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decline in cost of revenues in All Other of $4.4 million was primarily due to a decrease in employee-related costs of $2.8 million on account of lower headcount, partially offset by wage inflation. There was also a decrease in travel-related costs of $1.6 million. Gross margin in All Other decreased by 500 bps during 2017 compared to 2016, primarily due to lower revenues in our Consulting and Utilities operating segments.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Analytics of $30.7 million was primarily due to an increase in employee-related costs of $28.4 million (including $15.8 million related to our IQR and Datasource acquisitions in 2016) on account of higher headcount and wage inflation, and an increase in technology costs and infrastructure costs of $2.7 million. The increase was partially offset by a net decrease of $0.5 million due to foreign exchange gains and losses on settlement of cash flow hedges during the year ended December 31, 2017 compared to the year ended December 31, 2016. Gross margin in Analytics decreased by 110 bps during 2017 compared to 2016, primarily due to higher operating costs and lower gross margin from our 2016 acquisitions.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33"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4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vMerge w:val="restart"/>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4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increase in SG&amp;A expenses of $16.8 million was primarily due to an increase in employee-related costs of $10.5 million (including $5.3 million of incremental employee-related costs related to our 2016 acquisitions) as a result of annual wage increments and an increase in our average headcount to support the increased business volumes. There was an increase of $2.7 million due to recognition of reserve for doubtful account receivables, increase in professional fees of $1.2 million related to our acquisitions and other strategic initiatives and increase in travel, infrastructure and other operating expenses of $2.4 million (including incremental operating expenses of $1.1 million related to our 2016 acquisitions). There was a net decrease of $0.1 million due to foreign exchange gains and losses on settlement of cash flow hedges during the year ended December 31, 2017 compared to year ended December 31, 2016.</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4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vMerge w:val="restart"/>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4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880" w:type="dxa"/>
            <w:vAlign w:val="bottom"/>
          </w:tcPr>
          <w:p>
            <w:pPr>
              <w:spacing w:after="0"/>
              <w:rPr>
                <w:sz w:val="21"/>
                <w:szCs w:val="21"/>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by $3.9 million, or 11.5%, from $34.6 million for the year ended December 31, 2016 to $38.5 million for the year ended December 31, 2017. The increase in intangible amortization expense of $2.1 million was primarily due to amortization of intangibles associated with our 2016 acquisitions. There was an increase in our depreciation expenses of $1.8 million, due to depreciation related to our new operating centers in India and the Philippines to support our business growth and depreciation expense associated with our 2016 acquisitions.</w:t>
      </w:r>
    </w:p>
    <w:p>
      <w:pPr>
        <w:spacing w:after="0" w:line="176"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$8.2 million, or 12.8%, from $64.5 million for the year ended December 31, 2016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$72.7 million for the year ended December 31, 2017. As a percentage of revenues, income from operations increased from 9.4% for the year ended December 31, 2016 to 9.5% for the year ended December 31, 2017.</w:t>
      </w:r>
    </w:p>
    <w:p>
      <w:pPr>
        <w:spacing w:after="0" w:line="17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2017. The average exchange rate of the Indian rupee against the U.S. dollar decreased from 67.25 during the year ended 2016 to 64.93 during the year ended 2017. The average exchange rate of the U.K. pound sterling against the U.S. dollar decreased from 1.35 during 2016 to 1.30 during 2017. The average exchange rate of the Philippine peso against the U.S. dollar increased from 47.67 during the year ended 2016 to 50.38 during the year ended 2017.</w:t>
      </w:r>
    </w:p>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recorded a net foreign exchange gain of $2.8 million for the year ended December 31, 2017 compared to the foreign exchange gain of $5.6 million for the year ended December 31, 2016. The decrease of $2.8 million was primarily due to change in presentation of foreign exchange gains and losses upon settlement of cash flow hedges in the consolidated statements of income along with the underlying hedged item as either part of “Cost of revenue”, “General and administrative expenses”, “Selling and marketing expenses”, “Depreciation and amortization”, as applicable, for the fiscal year beginning January 1, 2017.</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33"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300" w:type="dxa"/>
        <w:tblCellMar>
          <w:top w:w="0" w:type="dxa"/>
          <w:left w:w="0" w:type="dxa"/>
          <w:bottom w:w="0" w:type="dxa"/>
          <w:right w:w="0" w:type="dxa"/>
        </w:tblCellMar>
      </w:tblPr>
      <w:tr>
        <w:trPr>
          <w:trHeight w:val="47"/>
        </w:trPr>
        <w:tc>
          <w:tcPr>
            <w:tcW w:w="47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vMerge w:val="restart"/>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76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 out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income, net decreased by $3.7 million, from $15.1 million for the year ended December 31, 2016 to $11.4 million for the year ended December 31, 2017 primarily due to recognition of $4.1 million to income due to reversal of earn-out liability for the year ended December 31, 2016 related to our 2015 acquisition of RPM Direct LLC and RPM Data Solutions LLC (collectively, “RPM”) and higher net periodic benefit costs, other than service costs of $0.2 million recognized during the year ended December 31, 2017. This decrease was partially offset by higher gain on sale of mutual fund investments of $0.7 million during the year ended December 31, 2017 compared to year ended December 31, 2016.</w:t>
      </w:r>
    </w:p>
    <w:p>
      <w:pPr>
        <w:spacing w:after="0" w:line="18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The effective tax rate increased from 26.4% for the year ended December 31, 2016 to 42.5%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The increase was the result of (i) higher income tax expense of $29.2 million (comprised of a provisional deemed repatriation tax expense of $27.2 million and a provisional net deferred tax expense of $2.0 million) associated with the Tax Reform Act enacted in 2017, partially offset by (ii) excess tax benefit related to stock awards of $9.8 million pursuant to ASU No. 2016 - 09 during the year ended December 31, 2017; (iii) conclusion of uncertain tax positions of $4.1 million (including interest of $1.6 million); (iv) lower domestic profits; and (v) an increase in earnings and incentives in lower tax jurisdictions. See Note 23 to our consolidated financial statements.</w:t>
      </w:r>
    </w:p>
    <w:p>
      <w:pPr>
        <w:spacing w:after="0" w:line="18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decreased from $61.7 million for the year ended December 31, 2016 to $48.9 million for the year ended December 31,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lower other income and foreign exchange gain of $6.5 million and higher income tax expense of $13.9 million, partially offset by higher income from operations of $8.3 million. As a percentage of revenues, net income decreased from 9.0% for the year ended December 31, 2016 to 6.4% for the year ended December 31, 2017.</w:t>
      </w:r>
    </w:p>
    <w:p>
      <w:pPr>
        <w:sectPr>
          <w:pgSz w:w="11900" w:h="16838" w:orient="portrait"/>
          <w:cols w:equalWidth="0" w:num="1">
            <w:col w:w="11420"/>
          </w:cols>
          <w:pgMar w:left="240" w:top="333" w:right="239" w:bottom="1440" w:gutter="0" w:footer="0" w:header="0"/>
        </w:sectPr>
      </w:pPr>
    </w:p>
    <w:p>
      <w:pPr>
        <w:spacing w:after="0" w:line="2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551815</wp:posOffset>
            </wp:positionV>
            <wp:extent cx="59004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004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34290</wp:posOffset>
            </wp:positionV>
            <wp:extent cx="59004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004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for investing activities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34290</wp:posOffset>
            </wp:positionV>
            <wp:extent cx="59004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004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Closing cash and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22980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94.3</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220.4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92.4</w:t>
            </w:r>
          </w:p>
        </w:tc>
        <w:tc>
          <w:tcPr>
            <w:tcW w:w="360" w:type="dxa"/>
            <w:vAlign w:val="bottom"/>
          </w:tcPr>
          <w:p>
            <w:pPr>
              <w:spacing w:after="0"/>
              <w:rPr>
                <w:sz w:val="23"/>
                <w:szCs w:val="23"/>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113.2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36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(222.7)</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197.8</w:t>
            </w:r>
          </w:p>
        </w:tc>
        <w:tc>
          <w:tcPr>
            <w:tcW w:w="36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23"/>
                <w:szCs w:val="23"/>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104.1</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7"/>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440" w:space="720"/>
            <w:col w:w="5260"/>
          </w:cols>
          <w:pgMar w:left="240" w:top="333" w:right="239" w:bottom="1440" w:gutter="0" w:footer="0" w:header="0"/>
          <w:type w:val="continuous"/>
        </w:sect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2018 and 2017, we had $280.4 million and $265.3 million, respectively, in cash, cash equivalents and short-term investments. During the first quarter of 2018, we made an election to change the tax status of most of our controlled foreign corporations (CFC) to disregarded entities for US income tax purposes. As a result, we no longer have undistributed earnings in connection with our CFCs. The transition tax resulted in previously taxed income (PTI) which may be subject to withholding taxes and currency gains or losses upon repatriation. We presently do not intend to distribute our PTI and have not recorded any deferred taxes. If, in the future, we change our present intention regarding the distribution of PTI, additional taxes may be required and would be recorded in the period the intention changes.</w:t>
      </w:r>
    </w:p>
    <w:p>
      <w:pPr>
        <w:spacing w:after="0" w:line="18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provided by operating activities were $92.4 million for the year ended December 31, 2018 as compared to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operating activities of $113.2 million during the year ended December 31, 2017. Generally, factors that affect our earnings-including pricing, volume of services, costs and productivity-affect our cash flows used or provided from operations in a similar manner. However, while management of working capital, including timing of</w:t>
      </w:r>
    </w:p>
    <w:p>
      <w:pPr>
        <w:sectPr>
          <w:pgSz w:w="11900" w:h="16838" w:orient="portrait"/>
          <w:cols w:equalWidth="0" w:num="1">
            <w:col w:w="11420"/>
          </w:cols>
          <w:pgMar w:left="240" w:top="333" w:right="2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3" w:right="2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collections and payments affects operating results only indirectly, the impact on the working capital and cash flows provided by operating activities can be significant.</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for the year ended December 31, 2018 was $92.4 million. This comprised of net income plus the net effect of non-cash items, such as depreciation and amortization, stock-based compensation expense, deferred income taxes, impairment charges and others aggregating to $132.1 million. The primary working capital use of cash of $41.0 million during the year ended December 31, 2018 was driven by an increase in accounts receivables, advance income tax, prepaid expenses and other assets. The primary working capital sources of cash of $1.3 million was driven by higher accrued employee costs.</w:t>
      </w:r>
    </w:p>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for the year ended December 31, 2017 was $113.2 million. This comprised of net income plus the net effect of non-cash items, such as depreciation and amortization, stock-based compensation expense, allowance for doubtful accounts receivables and others aggregating to $116.2 million. The primary working capital use of cash of $29.3 million was driven by an increase in accounts receivables, other assets and decrease in deferred revenue. The primary working capital sources of cash of $26.3 million was driven by decrease in net advance tax and higher accrued expenses and other liabilities, accrued employee costs and accounts payable.</w:t>
      </w:r>
    </w:p>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for the year ended December 31, 2016 was $102.4 million. This comprised of net income plus the net effect of non-cash items, such as depreciation and amortization, stock-based compensation expense, deferred income taxes, earn-out consideration, excess tax benefit, and others aggregating to $103.2 million. The primary working capital use of cash of $26.1 million during the year ended December 31, 2016 was driven by an increase in accounts receivables, prepaid expenses and other current assets. The primary working capital sources of cash of $25.3 million was driven by higher deferred revenue, accrued employee costs, accrued expenses and other current liabilities and lower other assets.</w:t>
      </w:r>
    </w:p>
    <w:p>
      <w:pPr>
        <w:spacing w:after="0" w:line="182"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flows used for investing activities were $277.5 million for the year ended December 31, 2018 as compared to cash flows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investing activities of $222.7 million for the year ended December 31, 2017. The increase of $54.8 million was primarily due to an increase in cash used for business acquisitions of $208.5 million during the year ended December 31, 2018. This was partially offset by net purchase of investments of $5.2 million during the year ended December 31, 2018 as compared to net purchase of investments of $161.3 million during the year ended December 31, 2017. Refer to Note 10 to our consolidated financial statements herein for further detail of our business acquisitions.</w:t>
      </w:r>
    </w:p>
    <w:p>
      <w:pPr>
        <w:spacing w:after="0" w:line="182"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Cash flows used for investing activities increased from $54.7 million for the year ended December 31, 2016 to $222.7 million for the year ended December 31, 2017. The increase was primarily due to an increase in cash used for net purchase of investments of $161.2 million, cash used for purchase of property and equipment of $9.3 million and cash used for investment in equity affiliate of $3.0 million during the year ended December 31, 2017 as compared to December 31, 2016. This increase was offset by a decrease in cash paid for business acquisition of $5.4 million ($23.3 million paid for our Health Integrated acquisition in 2017 and closing date working capital adjustment related to our Liss and Datasource acquisitions in 2016 compared to $28.7 million paid for Liss, IQR and Datasource acquisitions in 2016) during the year ended December 31, 2017 as compared to December 31, 2016.</w:t>
      </w:r>
    </w:p>
    <w:p>
      <w:pPr>
        <w:spacing w:after="0" w:line="186"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provided by financing activities were $197.8 million during the year ended December 31, 2018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used for financing activities of $20.5 million during the year ended December 31, 2017. The increase in cash flows provided by financing activities was primarily due to higher proceeds from borrowings of $225.0 million (net of repayments) under our New Credit Facility and Convertible Notes (as described below in “Financing Arrangements”) during the year ended December 31, 2018, partially offset by lower proceeds from exercise of stock options of $7.2 million during the year ended December 31, 2018.</w:t>
      </w:r>
    </w:p>
    <w:p>
      <w:pPr>
        <w:spacing w:after="0" w:line="182"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Cash flows used for financing activities were $20.5 million during the year ended December 31, 2017 compared to cash flows used for financing activities of $32.7 million during the year ended December 31, 2016. The decrease in cash flows used for financing activities was primarily due to net borrowings of $15.0 million under our New Credit Facility (as described below in “—Financing Arrangements”) during the year ended December 31, 2017 compared to repayment of borrowings of $25.0 million during the year ended December 31, 2016. This decrease was partially offset by higher purchases of treasury stock by $25.3 million under our share repurchase program during the year ended December 31, 2017 compared to the year ended December 31, 2016.</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by making investments, primarily related to new facilities and capital expenditures associated with leasehold improvements to build our facilities, and purchase telecommunications equipment and computer hardware and software in connection with managing client operations. We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3"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incurred $40.4 million of capital expenditures in the year ended December 31, 2018. We expect to incur capital expenditures of between $40.0 million to $45.0 million in 2019, primarily to meet our growth requirements, including additions to our facilities as well as investments in technology applications, product development, digital technology, advanced automation, robotics and infrastructure.</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respect to such assessment orders (refer to Note 26 to our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(Debt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October 24, 2014, we entered into a credit agreement that provided for a $50.0 million revolving credit facility (the “Credit Facility”). On February 23, 2015, we increased the commitments under the Credit Facility by an additional $50.0 million. The Credit Facility had a maturity date of October 24, 2019 and was voluntarily pre-payable from time to time without premium or penalty. On November 21, 2017, we prepaid all outstanding amounts, including accrued interest and fees, and terminated all commitments, under the Credit Agreement.</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November 21, 2017, we and each of our wholly owned material domestic subsidiaries entered into a Credit Agreement with certain lenders, and Citibank, N.A. as Administrative Agent (the “New Credit Agreement”). The New Credit Agreement provides for a $200.0 million revolving credit facility (the “New Credit Facility”) with an option to increase the commitments by up to $100.0 million, subject to certain approvals and conditions as set forth in the New Credit Agreement. The New Credit Agreement also includes a letter of credit sub facility. The New Credit Facility has a maturity date of November 21, 2022 and is voluntarily pre-payable from time to time without premium or penalty. Borrowings under the New Credit Agreement were used to repay amounts outstanding under the Credit Facility and may otherwise be used for working capital and general corporate purposes, including permitted acquisitions. On July 2, 2018, we exercised our option under the New Credit Agreement to increase the commitments by $100.0 million thereby utilizing the entire revolver under the New Credit Facility of $300.0 million, to fund the SCIO acquisition. The incremental commitments were made pursuant to (and constitute part of) the existing commitments and are subject to the terms and conditions applicable to the existing commitments as set forth in the New Credit Agreement.</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Depending on the type of borrowing, loans under the New Credit Agreement bear interest at a rate equal to the specified prime rate (alternate base rate) or adjusted LIBO rate, plus, in each case, an applicable margin. The applicable margin is tied to our total net leverage ratio and ranges from 0% to 0.75% per annum with respect to loans pegged to the specified prime rate, and 1.00% to 1.75% per annum on loans pegged to the adjusted LIBO rate. The revolving credit commitments under the New Credit Agreement are subject to a commitment fee which is also tied to our total net leverage ratio, and ranges from 0.15% to 0.30% per annum on the average daily amount by which the aggregate revolving commitments exceed the sum of outstanding revolving loans and letter of credit obligations. The New Credit Facility carried an effective interest rate of 3.4% and 3.0% per annum, respectively, during the year ended December 31, 2018 and 2017.</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Obligations under the New Credit Agreement are guaranteed by our material domestic subsidiaries and are secured by all or substantially all of our assets and that of our material domestic subsidiaries. The New Credit Agreement contains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New Credit Agreement contains a covenant to not permit the interest coverage ratio or the total net leverage ratio, both as defined for the four consecutive quarter period ending on the last day of each fiscal quarter, to be less than 3.5 to 1.0 or more than 3.0 to 1.0, respectively. As of December 31, 2018, we were in compliance with all financial and non-financial covenants listed under the New Credit Agreement.</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entered into a second amendment (the “Amendment”) to our New Credit Agreement, as amended, among the Company, as borrower, with certain lenders, and Citibank, N.A. as Administrative Agent to, among other things, permit the issuance by the Company of the Notes, and settlement upon maturity or conversion thereof, in accordance with the Investment Agreement, the indenture dated as of October 4, 2018 and the other documents entered into in connection therewith.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33"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2018, we had outstanding indebtedness under the new credit facility of $150.0 million of which $20.0 million is expected to be repaid within the next twelve months and is included under “current portion of long-term borrowings” and of which $130.0 million is included under “long-term borrowings” in the consolidated balance sheets. As of December 31, 2017, we had outstanding indebtedness under the new credit facility of $60.0 million, of which $10.0 million was included under “current portion of long-term borrowings,” and the balance of $50.0 million was included under “long-term borrowings” in the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6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1, 2018, we entered into an investment agreement (the “Investment Agreement”) with Orogen Echo LLC, an affiliate of The Orogen Group LLC, relating to the issuance to the Purchaser of $150.0 million aggregate principal amount of 3.50% Convertible Senior Notes due October 1, 2024 (the "Notes"). The Notes were issued on October 4, 2018. The Notes bear interest at a rate of 3.50% per annum, payable semi-annually in arrears in cash on April 1 and October 1 of each year. The Notes are convertible at an initial conversion rate of 13.3333 shares of the common stock per $1.0 million principal amount of the Notes (which represents an initial conversion price of approximately $75 per share). With certain exceptions, upon a fundamental change, as defined in the Indenture, the holders of the Notes may require us to repurchase all or part of the principal amount of the Notes at a purchase price equal to the principal amount plus accrued and unpaid interest. We may redeem the principal amount of the Notes, at our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our exercise of this redemption right (including the trading day immediately prior to the date of the notice of redemption). We may elect to settle conversions of the Notes by paying or delivering, as the case may be, cash, shares of our common stock or a combination of cash and shares of our common stock. We used the proceeds from the issuance of Notes to repay $150.0 million of our outstanding borrowings under the New Credit Facility.</w:t>
      </w:r>
    </w:p>
    <w:p>
      <w:pPr>
        <w:spacing w:after="0" w:line="19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accounted for the liability and equity components of the Notes separately to reflect its nonconvertible debt borrowing rate. The estimated fair value of the liability component at issuance of $133.1 million was determined using a discounted cash flow technique, which considered debt issuances with similar features of our debt, excluding the conversion feature. The resulting effective interest rate for the Notes was 5.75%. The excess of the gross proceeds received over the estimated fair value of the liability component totaling $16.9 million, excluding tax effects,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Notes, we are not prohibited from paying cash dividends unless payment would trigger an event of default or if one currently exists. We do not anticipate paying any cash dividends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we had no off-balance sheet arrangements or obligations.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333"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60" w:type="dxa"/>
            <w:vAlign w:val="bottom"/>
          </w:tcPr>
          <w:p>
            <w:pPr>
              <w:spacing w:after="0"/>
              <w:rPr>
                <w:sz w:val="23"/>
                <w:szCs w:val="23"/>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3"/>
                <w:szCs w:val="2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00" w:type="dxa"/>
            <w:vAlign w:val="bottom"/>
          </w:tcPr>
          <w:p>
            <w:pPr>
              <w:spacing w:after="0"/>
              <w:rPr>
                <w:sz w:val="23"/>
                <w:szCs w:val="23"/>
                <w:color w:val="auto"/>
              </w:rPr>
            </w:pPr>
          </w:p>
        </w:tc>
        <w:tc>
          <w:tcPr>
            <w:tcW w:w="428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5"/>
                <w:szCs w:val="25"/>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w:t>
            </w:r>
          </w:p>
        </w:tc>
      </w:tr>
      <w:tr>
        <w:trPr>
          <w:trHeight w:val="243"/>
        </w:trPr>
        <w:tc>
          <w:tcPr>
            <w:tcW w:w="30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leases</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300" w:type="dxa"/>
            <w:vAlign w:val="bottom"/>
          </w:tcPr>
          <w:p>
            <w:pPr>
              <w:spacing w:after="0"/>
              <w:rPr>
                <w:sz w:val="23"/>
                <w:szCs w:val="23"/>
                <w:color w:val="auto"/>
              </w:rPr>
            </w:pPr>
          </w:p>
        </w:tc>
        <w:tc>
          <w:tcPr>
            <w:tcW w:w="42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obligations</w:t>
            </w:r>
            <w:r>
              <w:rPr>
                <w:rFonts w:ascii="Times New Roman" w:cs="Times New Roman" w:eastAsia="Times New Roman" w:hAnsi="Times New Roman"/>
                <w:sz w:val="25"/>
                <w:szCs w:val="25"/>
                <w:color w:val="auto"/>
                <w:vertAlign w:val="superscript"/>
              </w:rPr>
              <w:t>(b)</w:t>
            </w:r>
          </w:p>
        </w:tc>
        <w:tc>
          <w:tcPr>
            <w:tcW w:w="1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r>
      <w:tr>
        <w:trPr>
          <w:trHeight w:val="250"/>
        </w:trPr>
        <w:tc>
          <w:tcPr>
            <w:tcW w:w="30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Principal payments</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302.1</w:t>
            </w:r>
          </w:p>
        </w:tc>
      </w:tr>
      <w:tr>
        <w:trPr>
          <w:trHeight w:val="27"/>
        </w:trPr>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00" w:type="dxa"/>
            <w:vAlign w:val="bottom"/>
          </w:tcPr>
          <w:p>
            <w:pPr>
              <w:spacing w:after="0"/>
              <w:rPr>
                <w:sz w:val="23"/>
                <w:szCs w:val="23"/>
                <w:color w:val="auto"/>
              </w:rPr>
            </w:pPr>
          </w:p>
        </w:tc>
        <w:tc>
          <w:tcPr>
            <w:tcW w:w="4280" w:type="dxa"/>
            <w:vAlign w:val="bottom"/>
            <w:gridSpan w:val="2"/>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5"/>
                <w:szCs w:val="25"/>
                <w:color w:val="auto"/>
                <w:vertAlign w:val="superscript"/>
              </w:rPr>
              <w:t>(c)</w:t>
            </w: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w:t>
            </w:r>
          </w:p>
        </w:tc>
      </w:tr>
      <w:tr>
        <w:trPr>
          <w:trHeight w:val="264"/>
        </w:trPr>
        <w:tc>
          <w:tcPr>
            <w:tcW w:w="300" w:type="dxa"/>
            <w:vAlign w:val="bottom"/>
          </w:tcPr>
          <w:p>
            <w:pPr>
              <w:spacing w:after="0"/>
              <w:rPr>
                <w:sz w:val="22"/>
                <w:szCs w:val="22"/>
                <w:color w:val="auto"/>
              </w:rPr>
            </w:pPr>
          </w:p>
        </w:tc>
        <w:tc>
          <w:tcPr>
            <w:tcW w:w="428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5"/>
                <w:szCs w:val="25"/>
                <w:color w:val="auto"/>
                <w:vertAlign w:val="superscript"/>
              </w:rPr>
              <w:t>(d)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482.1</w:t>
            </w:r>
          </w:p>
        </w:tc>
      </w:tr>
      <w:tr>
        <w:trPr>
          <w:trHeight w:val="20"/>
        </w:trPr>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840" w:hanging="440"/>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lease payments payable for cancellable and non-cancellable lease period.</w:t>
      </w:r>
    </w:p>
    <w:p>
      <w:pPr>
        <w:spacing w:after="0" w:line="211" w:lineRule="exact"/>
        <w:rPr>
          <w:rFonts w:ascii="Times New Roman" w:cs="Times New Roman" w:eastAsia="Times New Roman" w:hAnsi="Times New Roman"/>
          <w:sz w:val="18"/>
          <w:szCs w:val="18"/>
          <w:color w:val="auto"/>
        </w:rPr>
      </w:pPr>
    </w:p>
    <w:p>
      <w:pPr>
        <w:ind w:left="860" w:hanging="460"/>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payments under the Gratuity Plan.</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borrowings is calculated based on the interest rate on the outstanding borrowings as of December 31, 2018.</w:t>
      </w:r>
    </w:p>
    <w:p>
      <w:pPr>
        <w:spacing w:after="0" w:line="171" w:lineRule="exact"/>
        <w:rPr>
          <w:rFonts w:ascii="Times New Roman" w:cs="Times New Roman" w:eastAsia="Times New Roman" w:hAnsi="Times New Roman"/>
          <w:sz w:val="18"/>
          <w:szCs w:val="18"/>
          <w:color w:val="auto"/>
        </w:rPr>
      </w:pPr>
    </w:p>
    <w:p>
      <w:pPr>
        <w:ind w:left="660" w:hanging="247"/>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$0.8 million related to uncertain tax positions, since the extent of the amount and timing of payment is currently not reliably estimable or determinable.</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refer to Note 2-“Recent Accounting Pronouncements” to the consolidated financial statements contained herein.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33"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responsibilities of our treasury operations include management of cash resources, implementing hedging strategies for foreign currency exposures, borrowing strategies and ensuring compliance with market risk limits and policies.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Market Risk</w:t>
      </w:r>
    </w:p>
    <w:p>
      <w:pPr>
        <w:spacing w:after="0" w:line="11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Our exposure to market risk arises principally from exchange rate risk. Although substantially all of our revenues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U.S. dollars 84.7% in the year ended December 31, 2018 or U.K. pounds sterling 12.7% in the year ended December 31, 2018, a substantial portion of our expenses were incurred and paid in Indian rupees and Philippine peso 25.0% and 7.1% respectively, in the year ended December 31, 2018. We also incur expenses in U.S. dollars, and currencies of the other countries in which we have operations. The exchange rates among the Indian rupee, the Philippine peso and the U.S. dollar have changed substantially in recent years and may fluctuate substantially in the future.</w:t>
      </w:r>
    </w:p>
    <w:p>
      <w:pPr>
        <w:spacing w:after="0" w:line="7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exchange rate risk primarily arises from our foreign currency revenues, expenses incurred by our foreign subsidiaries and foreign currency accounts receivable and payable. The average exchange rate of the Indian rupee against the U.S. dollar increased from 64.93 during the year ended December 31, 2017 to 68.48 during the year ended December 31, 2018, representing a depreciation of 5.5%. The average exchange rate of the Philippine peso against the U.S. dollar increased from 50.38 during the year ended December 31, 2017 to 52.69 during the year ended December 31, 2018, representing a depreciation of 4.6%. Based upon our level of operations during the year ended December 31, 2018 and excluding any hedging arrangements that we had in place during that period, a 10% appreciation/depreciation in the Indian rupee against the U.S. dollar would have increased/decreased our revenues by approximately $8.4 million and increased/decreased our expenses incurred and paid in Indian rupees by approximately $20.8 million in the year ended December 31, 2018, respectively. Similarly, a 10% appreciation/depreciation in the Philippine Peso against the U.S. dollar would have increased/decreased our revenues by approximately $0.7 million and increased/decreased our expenses incurred and paid in Philippine Peso by approximately $5.9 million in the year ended December 31, 2018, respectively.</w:t>
      </w:r>
    </w:p>
    <w:p>
      <w:pPr>
        <w:spacing w:after="0" w:line="7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that are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Indian rupee and Philippine peso foreign exchange currency risks. In addition, any such contracts may not perform adequately as a hedging mechanism. We may, in the future, adopt more active hedging policies, and have done so in the past.</w:t>
      </w:r>
    </w:p>
    <w:p>
      <w:pPr>
        <w:spacing w:after="0" w:line="8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impact on earnings and/or cash flows related to these foreign currency forward contracts is immaterial as the impact of the maturing cash flow hedges in respective periods are intended to offset the foreign currency impact on the related expenses. Further, a significant number of our customer contracts include protection against foreign exchange rate fluctuations which minimizes the impact of volatility in the exchange rates on our operating results.</w:t>
      </w:r>
    </w:p>
    <w:p>
      <w:pPr>
        <w:spacing w:after="0" w:line="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Cash flow hedges with notional amounts of $362.4 million (including $6.9 million of range forward contracts) and $300.8 million were outstanding as at December 31, 2018 and 2017, respectively, with maturity periods of one to forty five-months. The fair value of these cash flow hedges as of December 31, 2018 and 2017 was ($0.2) million and $17.5 million respectively and is included in Accumulated Other Comprehensive loss on our Consolidated Balance Sheets. During the year ended December 31, 2018 we recognized $2.5 million as a foreign exchange gain from the maturing cash flow hedges, which was largely offset by the foreign exchange loss on the related expenses of $2.7 million. The net impact on earnings for the year ended December 31, 2018 from the maturing cash flow hedges was insignificant, offset by an insignificant foreign currency impact on the related expenses.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33"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also enter into foreign currency forward contracts to economically hedge our intercompany balances and other monetary assets and liabilities denominated in currencies other than functional currencies. These derivatives do not qualify as fair value hedges under ASC No.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Changes in the fair value of these derivatives are recognized in the consolidated statements of income and are included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gain/(loss). 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$125.5 million, GBP 15.6 million and EUR 0.5 million were outstanding at December 31, 2018 compared to $97.9 million, GBP 17.9 million and EUR 0.8 million outstanding at December 31, 2017. The fair values of these derivative instruments as of December 31, 2018 and 2017 were insignificant in both year and are included in the "foreign exchange gain/(loss)" in our Consolidated Statements of Income. At December 31, 2018, the outstanding derivative instruments had maturities of 31 days or less.</w:t>
      </w:r>
    </w:p>
    <w:p>
      <w:pPr>
        <w:spacing w:after="0" w:line="18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As described in “Item 7. Management’s Discussion and Analysis of Financial Condition and Results of Operations,”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21, 2017 we entered into the Credit Agreement that provides for a $200.0 million revolving credit facility and a letter of credit sub-facility. We have an option to increase the commitments under the New Credit Facility by up to an additional $100.0 million. On July 2, 2018, we exercised our option under the New Credit Agreement to increase the commitments to $300.0 million. The New Credit Facility has a maturity date of November 21, 2022 and is voluntarily pre-payable from time to time without premium or penalty.</w:t>
      </w:r>
    </w:p>
    <w:p>
      <w:pPr>
        <w:spacing w:after="0" w:line="18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Depending on the type of borrowing, loans under the New Credit Facility bear interest at a rate equal to the specified prime rate (alternate base rate) or adjusted LIBO rate, plus, in each case, an applicable margin. The applicable margin is tied to the Company’s total net leverage ratio and ranges from 0.00% to 0.75% per annum with respect to loans (“ABR Loans”) pegged to the specified prime rate, and 1.00% to 1.75% per annum on loans (“Eurodollar Loans”) pegged to the adjusted LIBO rate (such applicable margin, the “Applicable Rate”). The revolving credit commitments under the New Credit Agreement are subject to a commitment fee. The commitment fee is also tied to the Company’s leverage ratio, and ranges from 0.15% to 0.30% per annum on the average daily amount by which the aggregate revolving commitments exceed the sum of outstanding revolving loans and letter of credit obligations. A 50 basis point increase or decrease in interest rates may impact our interest expense for the year ended December 31, 2018 by approximately $0.7 million.</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October 2018, we issued the Notes with an aggregate principal amount of $150.0 million (see Note 19, Borrowings &amp; Credit Arrangements). The Notes bear interest at a fixed rate, so we have no financial statement impact from changes in interest rates. However, changes in market interest rates impact the fair value of the convertible notes along with other variables such as our credit spreads and the market price and volatility of our common stock.</w:t>
      </w:r>
    </w:p>
    <w:p>
      <w:pPr>
        <w:spacing w:after="0" w:line="1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had cash, cash equivalents and short-term investments totaling $280.4 million and $265.3 million at December 31, 2018 and 2017, respectively. These amounts were invested principally in a short-term investment portfolio primarily comprised of highly-rated debt mutual funds, money market accounts and time deposits. The cash and cash equivalents are held for potential acquisitions of complementary businesses or assets, capital expenditures,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our future investment income. A 50 basis point increase or decrease in short term rates may impact our interest income for the year ended December 31, 2018 by approximately $0.8 million.</w:t>
      </w:r>
    </w:p>
    <w:p>
      <w:pPr>
        <w:spacing w:after="0" w:line="18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As of December 31, 2018 and 2017, we have accounts receivable of $164.8 million and $135.7 million, respectively. We believe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accounts receivable balance as on December 31, 2018 and 2017.</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33"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21"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the Company files or submits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2018. Based upon that evaluation, the CEO and CFO have concluded that the Company’s disclosure controls and procedures, as of December 31, 2018, were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Financial Statements</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6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72" w:lineRule="exact"/>
        <w:rPr>
          <w:sz w:val="20"/>
          <w:szCs w:val="20"/>
          <w:color w:val="auto"/>
        </w:rPr>
      </w:pPr>
    </w:p>
    <w:p>
      <w:pPr>
        <w:ind w:left="640" w:hanging="32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63" w:lineRule="exact"/>
        <w:rPr>
          <w:rFonts w:ascii="Times New Roman" w:cs="Times New Roman" w:eastAsia="Times New Roman" w:hAnsi="Times New Roman"/>
          <w:sz w:val="18"/>
          <w:szCs w:val="18"/>
          <w:color w:val="auto"/>
        </w:rPr>
      </w:pPr>
    </w:p>
    <w:p>
      <w:pPr>
        <w:ind w:left="640" w:right="20" w:hanging="321"/>
        <w:spacing w:after="0" w:line="281"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U.S.;</w:t>
      </w:r>
    </w:p>
    <w:p>
      <w:pPr>
        <w:spacing w:after="0" w:line="1" w:lineRule="exact"/>
        <w:rPr>
          <w:rFonts w:ascii="Times New Roman" w:cs="Times New Roman" w:eastAsia="Times New Roman" w:hAnsi="Times New Roman"/>
          <w:sz w:val="18"/>
          <w:szCs w:val="18"/>
          <w:color w:val="auto"/>
        </w:rPr>
      </w:pPr>
    </w:p>
    <w:p>
      <w:pPr>
        <w:ind w:left="640" w:hanging="321"/>
        <w:spacing w:after="0" w:line="281"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the authorization of our management and our board of directors; and</w:t>
      </w:r>
    </w:p>
    <w:p>
      <w:pPr>
        <w:spacing w:after="0" w:line="1" w:lineRule="exact"/>
        <w:rPr>
          <w:rFonts w:ascii="Times New Roman" w:cs="Times New Roman" w:eastAsia="Times New Roman" w:hAnsi="Times New Roman"/>
          <w:sz w:val="18"/>
          <w:szCs w:val="18"/>
          <w:color w:val="auto"/>
        </w:rPr>
      </w:pPr>
    </w:p>
    <w:p>
      <w:pPr>
        <w:ind w:left="640" w:hanging="321"/>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33"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CEO and CFO, assessed the effectiveness of our internal control over financial reporting as of December 31, 2018. In making this assessment, management used the criteria described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2018. See Deloitte &amp; Touche LLP's accompanying report on their audit of our internal controls over financial reporting.</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acquired SCIOinspire Holdings Inc. ("SCIO") on July 1, 2018, as discussed in Note 10 to the consolidated financial Statements. As permitted by the SEC staff’s Frequently Asked Question 3 on Management’s Report on Internal Control Over Financial Reporting and Certification of Disclosure in Exchange Act Periodic Reports (revised September 24, 2007), our management excluded from our assessment of internal control over financial reporting effectiveness as of December 31, 2018, SCIO’s internal control over financial reporting associated with consolidated total assets of 24.2%, and consolidated total revenues of 4.5%, included in our consolidated financial statements as of and for the year ended December 31, 2018. We will include SCIO in our assessment of the effectiveness of internal control over financial reporting starting fiscal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2018,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6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http://ir.exlservice.com/corporate-governance.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additional information required by this Item 10 will be set forth in the definitive proxy statement for our 2019 Annual Meeting of Stockholders (the “Proxy Statement”), including under the headings “Our Board of Directors”, “Our Executive Officers” and “Corporate Governance — Committees — Audit Committee”, “— Committees — Nominating and Governance Committee” and “— Section 16(a) Beneficial Ownership Reporting Compliance”, and is incorporated herein by reference. We intend to file the Proxy Statement with the SEC within 120 days after the fiscal year end of December 31, 2018.</w:t>
      </w:r>
    </w:p>
    <w:p>
      <w:pPr>
        <w:spacing w:after="0" w:line="3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“Executive Compensation — Compensation Discussion and Analysis”, “— Compensation Committee Report”, “— Summary Compensation Table for Fiscal Year 2018”, “— Grants of Plan-Based Awards Table for Fiscal Year 2018”, “Outstanding Equity Awards at Fiscal 2018 Year-End”, “Option Exercises and Stock Vested During Fiscal Year 2018”, “— Pension Benefits for Fiscal Year 2018”, “— Potential Payments upon Termination or Change in Control at Fiscal 2018 Year-End”, “— Director Compensation for Fiscal Year 2018”, “— Risk and Compensation Policies” and “Corporate Governance —Compensation Committee Interlocks and Insider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33"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“Principal Stockholders”.</w:t>
      </w:r>
    </w:p>
    <w:p>
      <w:pPr>
        <w:spacing w:after="0" w:line="3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3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333"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listed under “Item 8. Financial Statements and Supplementary Data” of this Annual Report on Form 10-K.</w:t>
      </w:r>
    </w:p>
    <w:p>
      <w:pPr>
        <w:spacing w:after="0" w:line="54" w:lineRule="exact"/>
        <w:rPr>
          <w:sz w:val="20"/>
          <w:szCs w:val="20"/>
          <w:color w:val="auto"/>
        </w:rPr>
      </w:pPr>
    </w:p>
    <w:p>
      <w:pPr>
        <w:ind w:left="820" w:hanging="407"/>
        <w:spacing w:after="0"/>
        <w:tabs>
          <w:tab w:leader="none" w:pos="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since they are either not required, not material or the information is otherwise included in our consolidated financial statements or the notes to our consolidated financial statements.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5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15(a)(3) above.</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333"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2019</w:t>
            </w:r>
          </w:p>
        </w:tc>
        <w:tc>
          <w:tcPr>
            <w:tcW w:w="798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594"/>
        </w:trPr>
        <w:tc>
          <w:tcPr>
            <w:tcW w:w="3380" w:type="dxa"/>
            <w:vAlign w:val="bottom"/>
          </w:tcPr>
          <w:p>
            <w:pPr>
              <w:spacing w:after="0"/>
              <w:rPr>
                <w:sz w:val="24"/>
                <w:szCs w:val="24"/>
                <w:color w:val="auto"/>
              </w:rPr>
            </w:pPr>
          </w:p>
        </w:tc>
        <w:tc>
          <w:tcPr>
            <w:tcW w:w="79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r>
      <w:tr>
        <w:trPr>
          <w:trHeight w:val="27"/>
        </w:trPr>
        <w:tc>
          <w:tcPr>
            <w:tcW w:w="3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4"/>
        </w:trPr>
        <w:tc>
          <w:tcPr>
            <w:tcW w:w="3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8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Vishal Chhibbar</w:t>
            </w:r>
          </w:p>
        </w:tc>
      </w:tr>
      <w:tr>
        <w:trPr>
          <w:trHeight w:val="149"/>
        </w:trPr>
        <w:tc>
          <w:tcPr>
            <w:tcW w:w="3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0"/>
        </w:trPr>
        <w:tc>
          <w:tcPr>
            <w:tcW w:w="3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tc>
      </w:tr>
    </w:tbl>
    <w:p>
      <w:pPr>
        <w:spacing w:after="0" w:line="208"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2"/>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14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0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OHIT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APOOR</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Executive Officer, Vice-Chairman and 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45"/>
        </w:trPr>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Rohit Kapoor</w:t>
            </w:r>
          </w:p>
        </w:tc>
        <w:tc>
          <w:tcPr>
            <w:tcW w:w="446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6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AREN</w:t>
            </w:r>
            <w:r>
              <w:rPr>
                <w:rFonts w:ascii="Times New Roman" w:cs="Times New Roman" w:eastAsia="Times New Roman" w:hAnsi="Times New Roman"/>
                <w:sz w:val="18"/>
                <w:szCs w:val="18"/>
                <w:color w:val="auto"/>
              </w:rPr>
              <w:t xml:space="preserve"> K. S</w:t>
            </w:r>
            <w:r>
              <w:rPr>
                <w:rFonts w:ascii="Times New Roman" w:cs="Times New Roman" w:eastAsia="Times New Roman" w:hAnsi="Times New Roman"/>
                <w:sz w:val="14"/>
                <w:szCs w:val="14"/>
                <w:color w:val="auto"/>
              </w:rPr>
              <w:t>TAGLIN</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Garen K. Staglin</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5"/>
        </w:trPr>
        <w:tc>
          <w:tcPr>
            <w:tcW w:w="1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45"/>
        </w:trPr>
        <w:tc>
          <w:tcPr>
            <w:tcW w:w="1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Accounting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Vishal Chhibbar</w:t>
            </w:r>
          </w:p>
        </w:tc>
        <w:tc>
          <w:tcPr>
            <w:tcW w:w="446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7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NNE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INTO</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Anne Minto</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color w:val="auto"/>
                <w:w w:val="98"/>
              </w:rPr>
              <w:t>C</w:t>
            </w:r>
            <w:r>
              <w:rPr>
                <w:rFonts w:ascii="Times New Roman" w:cs="Times New Roman" w:eastAsia="Times New Roman" w:hAnsi="Times New Roman"/>
                <w:sz w:val="14"/>
                <w:szCs w:val="14"/>
                <w:color w:val="auto"/>
                <w:w w:val="98"/>
              </w:rPr>
              <w:t>LYDE</w:t>
            </w:r>
            <w:r>
              <w:rPr>
                <w:rFonts w:ascii="Times New Roman" w:cs="Times New Roman" w:eastAsia="Times New Roman" w:hAnsi="Times New Roman"/>
                <w:sz w:val="18"/>
                <w:szCs w:val="18"/>
                <w:color w:val="auto"/>
                <w:w w:val="98"/>
              </w:rPr>
              <w:t xml:space="preserve"> W. O</w:t>
            </w:r>
            <w:r>
              <w:rPr>
                <w:rFonts w:ascii="Times New Roman" w:cs="Times New Roman" w:eastAsia="Times New Roman" w:hAnsi="Times New Roman"/>
                <w:sz w:val="14"/>
                <w:szCs w:val="14"/>
                <w:color w:val="auto"/>
                <w:w w:val="98"/>
              </w:rPr>
              <w:t>STLER</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Clyde W. Ostler</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6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B. K</w:t>
            </w:r>
            <w:r>
              <w:rPr>
                <w:rFonts w:ascii="Times New Roman" w:cs="Times New Roman" w:eastAsia="Times New Roman" w:hAnsi="Times New Roman"/>
                <w:sz w:val="14"/>
                <w:szCs w:val="14"/>
                <w:color w:val="auto"/>
              </w:rPr>
              <w:t>ELSO</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David B. Kelso</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t>
            </w:r>
          </w:p>
        </w:tc>
        <w:tc>
          <w:tcPr>
            <w:tcW w:w="80" w:type="dxa"/>
            <w:vAlign w:val="bottom"/>
          </w:tcPr>
          <w:p>
            <w:pPr>
              <w:spacing w:after="0"/>
              <w:rPr>
                <w:sz w:val="24"/>
                <w:szCs w:val="24"/>
                <w:color w:val="auto"/>
              </w:rPr>
            </w:pPr>
          </w:p>
        </w:tc>
        <w:tc>
          <w:tcPr>
            <w:tcW w:w="27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EBORAH</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ERR</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Deborah Kerr</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7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ITIN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AHNEY</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Nitin Sahney</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7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180" w:type="dxa"/>
            <w:vAlign w:val="bottom"/>
          </w:tcPr>
          <w:p>
            <w:pPr>
              <w:spacing w:after="0"/>
              <w:rPr>
                <w:sz w:val="24"/>
                <w:szCs w:val="24"/>
                <w:color w:val="auto"/>
              </w:rPr>
            </w:pPr>
          </w:p>
        </w:tc>
        <w:tc>
          <w:tcPr>
            <w:tcW w:w="25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OM</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ITTAL</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Som Mittal</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44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AYNIE</w:t>
            </w:r>
            <w:r>
              <w:rPr>
                <w:rFonts w:ascii="Times New Roman" w:cs="Times New Roman" w:eastAsia="Times New Roman" w:hAnsi="Times New Roman"/>
                <w:sz w:val="18"/>
                <w:szCs w:val="18"/>
                <w:color w:val="auto"/>
              </w:rPr>
              <w:t xml:space="preserve"> M. S</w:t>
            </w:r>
            <w:r>
              <w:rPr>
                <w:rFonts w:ascii="Times New Roman" w:cs="Times New Roman" w:eastAsia="Times New Roman" w:hAnsi="Times New Roman"/>
                <w:sz w:val="14"/>
                <w:szCs w:val="14"/>
                <w:color w:val="auto"/>
              </w:rPr>
              <w:t>TUDENMUND</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Jaynie M. Studenmund</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1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4"/>
                <w:szCs w:val="14"/>
                <w:color w:val="auto"/>
              </w:rPr>
              <w:t>IKRAM</w:t>
            </w:r>
            <w:r>
              <w:rPr>
                <w:rFonts w:ascii="Times New Roman" w:cs="Times New Roman" w:eastAsia="Times New Roman" w:hAnsi="Times New Roman"/>
                <w:sz w:val="18"/>
                <w:szCs w:val="18"/>
                <w:color w:val="auto"/>
              </w:rPr>
              <w:t xml:space="preserve"> S. P</w:t>
            </w:r>
            <w:r>
              <w:rPr>
                <w:rFonts w:ascii="Times New Roman" w:cs="Times New Roman" w:eastAsia="Times New Roman" w:hAnsi="Times New Roman"/>
                <w:sz w:val="14"/>
                <w:szCs w:val="14"/>
                <w:color w:val="auto"/>
              </w:rPr>
              <w:t>ANDIT</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Vikram S. Pandit</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8"/>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760" w:type="dxa"/>
            <w:vAlign w:val="bottom"/>
            <w:gridSpan w:val="29"/>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2"/>
        </w:trPr>
        <w:tc>
          <w:tcPr>
            <w:tcW w:w="11320" w:type="dxa"/>
            <w:vAlign w:val="bottom"/>
            <w:gridSpan w:val="32"/>
          </w:tcPr>
          <w:p>
            <w:pPr>
              <w:ind w:left="40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Securities Purchase Agreement dated as of February 23, 2015 by and among ExlService Holdings, Inc., ExlService.com LLC, RPM Direct</w:t>
              </w:r>
            </w:hyperlink>
          </w:p>
        </w:tc>
        <w:tc>
          <w:tcPr>
            <w:tcW w:w="30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1"/>
          </w:tcPr>
          <w:p>
            <w:pPr>
              <w:spacing w:after="0" w:line="19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LLC, RPM Data Solutions, LLC and the security holders named therein (incorporated by reference to Exhibit 2.1 of the Company’s Quarterly</w:t>
              </w:r>
            </w:hyperlink>
          </w:p>
        </w:tc>
      </w:tr>
      <w:tr>
        <w:trPr>
          <w:trHeight w:val="196"/>
        </w:trPr>
        <w:tc>
          <w:tcPr>
            <w:tcW w:w="102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Report on Form 10-Q (File No. 1-33089) filed on May 1, 2015).</w:t>
              </w:r>
            </w:hyperlink>
          </w:p>
        </w:tc>
        <w:tc>
          <w:tcPr>
            <w:tcW w:w="5580" w:type="dxa"/>
            <w:vAlign w:val="bottom"/>
            <w:tcBorders>
              <w:top w:val="single" w:sz="8" w:color="0000FF"/>
            </w:tcBorders>
            <w:gridSpan w:val="24"/>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3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Agreement of Merger, dated April 28, 2018, by and among ExlService.com, LLC, ExlService Cayman Merger Sub, and SCIOInspire Holdings</w:t>
              </w:r>
            </w:hyperlink>
          </w:p>
        </w:tc>
      </w:tr>
      <w:tr>
        <w:trPr>
          <w:trHeight w:val="196"/>
        </w:trPr>
        <w:tc>
          <w:tcPr>
            <w:tcW w:w="1020" w:type="dxa"/>
            <w:vAlign w:val="bottom"/>
          </w:tcPr>
          <w:p>
            <w:pPr>
              <w:spacing w:after="0"/>
              <w:rPr>
                <w:sz w:val="17"/>
                <w:szCs w:val="17"/>
                <w:color w:val="auto"/>
              </w:rPr>
            </w:pPr>
          </w:p>
        </w:tc>
        <w:tc>
          <w:tcPr>
            <w:tcW w:w="10300" w:type="dxa"/>
            <w:vAlign w:val="bottom"/>
            <w:gridSpan w:val="31"/>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Inc. (incorporated by reference to Exhibit 2.1 of the Company’s Current Report on Form 8-K (File No. 1-33089) filed on May 1, 2018).</w:t>
              </w:r>
            </w:hyperlink>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00" w:type="dxa"/>
            <w:vAlign w:val="bottom"/>
            <w:gridSpan w:val="31"/>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Certificate of Incorporation of the Company (incorporated by reference to Exhibit 3.1 of the Company’s Current</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Report on Form 8-K (File No. 1-33089) filed on October 25, 2006).</w:t>
              </w:r>
            </w:hyperlink>
          </w:p>
        </w:tc>
        <w:tc>
          <w:tcPr>
            <w:tcW w:w="50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Fourth Amended and Restated By-laws of the Company (incorporated by reference to Exhibit 3.2 of the Company’s Current Report on Form</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8-K (File No. 1-33089) filed on February 28, 2017).</w:t>
              </w:r>
            </w:hyperlink>
          </w:p>
        </w:tc>
        <w:tc>
          <w:tcPr>
            <w:tcW w:w="6540" w:type="dxa"/>
            <w:vAlign w:val="bottom"/>
            <w:gridSpan w:val="28"/>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300" w:type="dxa"/>
            <w:vAlign w:val="bottom"/>
            <w:gridSpan w:val="31"/>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Registration Rights Agreement (incorporated by reference to Exhibit 4.1 of the Company’s Current Report on Form 8-K (File No. 1-33089)</w:t>
              </w:r>
            </w:hyperlink>
          </w:p>
        </w:tc>
      </w:tr>
      <w:tr>
        <w:trPr>
          <w:trHeight w:val="196"/>
        </w:trPr>
        <w:tc>
          <w:tcPr>
            <w:tcW w:w="1020" w:type="dxa"/>
            <w:vAlign w:val="bottom"/>
          </w:tcPr>
          <w:p>
            <w:pPr>
              <w:spacing w:after="0"/>
              <w:rPr>
                <w:sz w:val="17"/>
                <w:szCs w:val="17"/>
                <w:color w:val="auto"/>
              </w:rPr>
            </w:pPr>
          </w:p>
        </w:tc>
        <w:tc>
          <w:tcPr>
            <w:tcW w:w="1006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filed on October 25, 2006).</w:t>
              </w:r>
            </w:hyperlink>
          </w:p>
        </w:tc>
        <w:tc>
          <w:tcPr>
            <w:tcW w:w="24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1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Indenture, dated as of October 4, 2018, by and between the Company and Citibank, N.A., as trustee (incorporated by reference to Exhibit 4.1</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1"/>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to the Company’s Current Report on Form 8-K (File No. 1-33089) filed on October 4, 2018).</w:t>
              </w:r>
            </w:hyperlink>
          </w:p>
        </w:tc>
      </w:tr>
      <w:tr>
        <w:trPr>
          <w:trHeight w:val="20"/>
        </w:trPr>
        <w:tc>
          <w:tcPr>
            <w:tcW w:w="1020" w:type="dxa"/>
            <w:vAlign w:val="bottom"/>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Amended and Restated Employment and Non-Competition Agreement, dated as of September 19, 2017 between ExlService Holdings, Inc.</w:t>
              </w:r>
            </w:hyperlink>
          </w:p>
        </w:tc>
        <w:tc>
          <w:tcPr>
            <w:tcW w:w="28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1"/>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and Rohit Kapoor, dated as of September 19, 2017 (incorporated by reference to Exhibit 10.1 to the Company’s Quarterly Report on Form 10-</w:t>
              </w:r>
            </w:hyperlink>
          </w:p>
        </w:tc>
      </w:tr>
      <w:tr>
        <w:trPr>
          <w:trHeight w:val="196"/>
        </w:trPr>
        <w:tc>
          <w:tcPr>
            <w:tcW w:w="10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Q (File No. 1-33089) filed on October 26, 2017).</w:t>
              </w:r>
            </w:hyperlink>
          </w:p>
        </w:tc>
        <w:tc>
          <w:tcPr>
            <w:tcW w:w="6700" w:type="dxa"/>
            <w:vAlign w:val="bottom"/>
            <w:tcBorders>
              <w:top w:val="single" w:sz="8" w:color="0000FF"/>
            </w:tcBorders>
            <w:gridSpan w:val="2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00" w:type="dxa"/>
            <w:vAlign w:val="bottom"/>
            <w:gridSpan w:val="31"/>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Employment Agreement, dated July 31, 2002, between ExlService Holdings, Inc. and Pavan Bagai (incorporated by reference to Exhibit 10.15</w:t>
              </w:r>
            </w:hyperlink>
          </w:p>
        </w:tc>
      </w:tr>
      <w:tr>
        <w:trPr>
          <w:trHeight w:val="196"/>
        </w:trPr>
        <w:tc>
          <w:tcPr>
            <w:tcW w:w="1020" w:type="dxa"/>
            <w:vAlign w:val="bottom"/>
          </w:tcPr>
          <w:p>
            <w:pPr>
              <w:spacing w:after="0"/>
              <w:rPr>
                <w:sz w:val="17"/>
                <w:szCs w:val="17"/>
                <w:color w:val="auto"/>
              </w:rPr>
            </w:pPr>
          </w:p>
        </w:tc>
        <w:tc>
          <w:tcPr>
            <w:tcW w:w="1028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to the Company’s Registration Statement on Form S-1 (Registration No. 333-121001) filed on December 6, 2004).</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300" w:type="dxa"/>
            <w:vAlign w:val="bottom"/>
            <w:gridSpan w:val="31"/>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Employment Agreement, effective as of January 1, 2016, between ExlService Holdings, Inc. and Vishal Chhibbar (incorporated by reference</w:t>
              </w:r>
            </w:hyperlink>
          </w:p>
        </w:tc>
      </w:tr>
      <w:tr>
        <w:trPr>
          <w:trHeight w:val="196"/>
        </w:trPr>
        <w:tc>
          <w:tcPr>
            <w:tcW w:w="1020" w:type="dxa"/>
            <w:vAlign w:val="bottom"/>
          </w:tcPr>
          <w:p>
            <w:pPr>
              <w:spacing w:after="0"/>
              <w:rPr>
                <w:sz w:val="17"/>
                <w:szCs w:val="17"/>
                <w:color w:val="auto"/>
              </w:rPr>
            </w:pPr>
          </w:p>
        </w:tc>
        <w:tc>
          <w:tcPr>
            <w:tcW w:w="1014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to Exhibit 10.3 to the Company’s Quarterly Report on Form 10-Q (File No. 1-33089) filed on April 29, 2016).</w:t>
              </w:r>
            </w:hyperlink>
          </w:p>
        </w:tc>
        <w:tc>
          <w:tcPr>
            <w:tcW w:w="16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Employment Agreement, dated as of September 15, 2014, between ExlService Holdings, Inc. and Nalin Kumar Miglani (incorporated by</w:t>
              </w:r>
            </w:hyperlink>
          </w:p>
        </w:tc>
        <w:tc>
          <w:tcPr>
            <w:tcW w:w="42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6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reference to Exhibit 10.1 to the Company’s Quarterly Report on Form 10-Q (File No. 1-33089) filed on April 29, 2016).</w:t>
              </w:r>
            </w:hyperlink>
          </w:p>
        </w:tc>
        <w:tc>
          <w:tcPr>
            <w:tcW w:w="1640" w:type="dxa"/>
            <w:vAlign w:val="bottom"/>
            <w:gridSpan w:val="18"/>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300" w:type="dxa"/>
            <w:vAlign w:val="bottom"/>
            <w:gridSpan w:val="31"/>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Employment Agreement, dated November 19, 2016, between ExlService Holdings, Inc. and Nagaraja Srivatsan (incorporated by reference to</w:t>
              </w:r>
            </w:hyperlink>
          </w:p>
        </w:tc>
      </w:tr>
      <w:tr>
        <w:trPr>
          <w:trHeight w:val="196"/>
        </w:trPr>
        <w:tc>
          <w:tcPr>
            <w:tcW w:w="1020" w:type="dxa"/>
            <w:vAlign w:val="bottom"/>
          </w:tcPr>
          <w:p>
            <w:pPr>
              <w:spacing w:after="0"/>
              <w:rPr>
                <w:sz w:val="17"/>
                <w:szCs w:val="17"/>
                <w:color w:val="auto"/>
              </w:rPr>
            </w:pPr>
          </w:p>
        </w:tc>
        <w:tc>
          <w:tcPr>
            <w:tcW w:w="778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Exhibit 10.6 to the Company’s Annual Report on Form 10-K (File No. 1-330089) filed on March 15, 2017).</w:t>
              </w:r>
            </w:hyperlink>
          </w:p>
        </w:tc>
        <w:tc>
          <w:tcPr>
            <w:tcW w:w="2400" w:type="dxa"/>
            <w:vAlign w:val="bottom"/>
            <w:tcBorders>
              <w:top w:val="single" w:sz="8" w:color="0000FF"/>
            </w:tcBorders>
            <w:gridSpan w:val="17"/>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300" w:type="dxa"/>
            <w:vAlign w:val="bottom"/>
            <w:gridSpan w:val="31"/>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ExlService Holdings, Inc. 2006 Omnibus Plan (incorporated by reference to Exhibit 10.20 of Amendment 3 to the Company’s Registration</w:t>
              </w:r>
            </w:hyperlink>
          </w:p>
        </w:tc>
      </w:tr>
      <w:tr>
        <w:trPr>
          <w:trHeight w:val="196"/>
        </w:trPr>
        <w:tc>
          <w:tcPr>
            <w:tcW w:w="1020" w:type="dxa"/>
            <w:vAlign w:val="bottom"/>
          </w:tcPr>
          <w:p>
            <w:pPr>
              <w:spacing w:after="0"/>
              <w:rPr>
                <w:sz w:val="17"/>
                <w:szCs w:val="17"/>
                <w:color w:val="auto"/>
              </w:rPr>
            </w:pPr>
          </w:p>
        </w:tc>
        <w:tc>
          <w:tcPr>
            <w:tcW w:w="1000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Statement on Form S-1 (Registration No. 333-121001) filed July 28, 2006).</w:t>
              </w:r>
            </w:hyperlink>
          </w:p>
        </w:tc>
        <w:tc>
          <w:tcPr>
            <w:tcW w:w="300" w:type="dxa"/>
            <w:vAlign w:val="bottom"/>
            <w:gridSpan w:val="9"/>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6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Form of Non-Qualified Stock Option Agreement under the 2006 Omnibus Award Plan (incorporated by reference to Exhibit 10.32 of</w:t>
              </w:r>
            </w:hyperlink>
          </w:p>
        </w:tc>
        <w:tc>
          <w:tcPr>
            <w:tcW w:w="700" w:type="dxa"/>
            <w:vAlign w:val="bottom"/>
            <w:gridSpan w:val="1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1"/>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Amendment 5 to the Company’s Registration Statement on Form S-1 (Registration No. 333-121001) filed October 4, 2006).</w:t>
              </w:r>
            </w:hyperlink>
          </w:p>
        </w:tc>
      </w:tr>
      <w:tr>
        <w:trPr>
          <w:trHeight w:val="20"/>
        </w:trPr>
        <w:tc>
          <w:tcPr>
            <w:tcW w:w="1020" w:type="dxa"/>
            <w:vAlign w:val="bottom"/>
          </w:tcPr>
          <w:p>
            <w:pPr>
              <w:spacing w:after="0" w:line="20" w:lineRule="exact"/>
              <w:rPr>
                <w:sz w:val="1"/>
                <w:szCs w:val="1"/>
                <w:color w:val="auto"/>
              </w:rPr>
            </w:pPr>
          </w:p>
        </w:tc>
        <w:tc>
          <w:tcPr>
            <w:tcW w:w="66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9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ExlService Holdings, Inc. 2006 Omnibus India Subplan 2 (incorporated by reference to Exhibit 10.38 of Amendment 6 to the Company’s</w:t>
              </w:r>
            </w:hyperlink>
          </w:p>
        </w:tc>
        <w:tc>
          <w:tcPr>
            <w:tcW w:w="38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7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Registration Statement on Form S-1 (Registration No. 333-121001) filed October 17, 2006).</w:t>
              </w:r>
            </w:hyperlink>
          </w:p>
        </w:tc>
        <w:tc>
          <w:tcPr>
            <w:tcW w:w="3600" w:type="dxa"/>
            <w:vAlign w:val="bottom"/>
            <w:gridSpan w:val="23"/>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9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Form of Non-Qualified Stock Option Agreement under the 2006 Omnibus India Subplan 2 (incorporated by reference to Exhibit 10.39 of</w:t>
              </w:r>
            </w:hyperlink>
          </w:p>
        </w:tc>
        <w:tc>
          <w:tcPr>
            <w:tcW w:w="40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1"/>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Amendment 5 to the Company’s Registration Statement on Form S-1 (Registration No. 333-121001) filed October 4, 2006).</w:t>
              </w:r>
            </w:hyperlink>
          </w:p>
        </w:tc>
      </w:tr>
      <w:tr>
        <w:trPr>
          <w:trHeight w:val="20"/>
        </w:trPr>
        <w:tc>
          <w:tcPr>
            <w:tcW w:w="1020" w:type="dxa"/>
            <w:vAlign w:val="bottom"/>
          </w:tcPr>
          <w:p>
            <w:pPr>
              <w:spacing w:after="0" w:line="20" w:lineRule="exact"/>
              <w:rPr>
                <w:sz w:val="1"/>
                <w:szCs w:val="1"/>
                <w:color w:val="auto"/>
              </w:rPr>
            </w:pPr>
          </w:p>
        </w:tc>
        <w:tc>
          <w:tcPr>
            <w:tcW w:w="6640" w:type="dxa"/>
            <w:vAlign w:val="bottom"/>
            <w:gridSpan w:val="7"/>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8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Amendment to ExlService Holdings, Inc. 2006 Omnibus Award Plan (incorporated by reference to Exhibit 10.43 of Amendment 5 to the</w:t>
              </w:r>
            </w:hyperlink>
          </w:p>
        </w:tc>
        <w:tc>
          <w:tcPr>
            <w:tcW w:w="44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1"/>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Company’s Registration Statement on Form S-1 (Registration No. 333-121001) filed October 4, 2006).</w:t>
              </w:r>
            </w:hyperlink>
          </w:p>
        </w:tc>
      </w:tr>
      <w:tr>
        <w:trPr>
          <w:trHeight w:val="20"/>
        </w:trPr>
        <w:tc>
          <w:tcPr>
            <w:tcW w:w="1020" w:type="dxa"/>
            <w:vAlign w:val="bottom"/>
          </w:tcPr>
          <w:p>
            <w:pPr>
              <w:spacing w:after="0" w:line="20" w:lineRule="exact"/>
              <w:rPr>
                <w:sz w:val="1"/>
                <w:szCs w:val="1"/>
                <w:color w:val="auto"/>
              </w:rPr>
            </w:pPr>
          </w:p>
        </w:tc>
        <w:tc>
          <w:tcPr>
            <w:tcW w:w="6640" w:type="dxa"/>
            <w:vAlign w:val="bottom"/>
            <w:gridSpan w:val="7"/>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3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Amendment No. 2 to ExlService Holdings, Inc. 2006 Omnibus Award Plan (incorporated by reference to Exhibit 10.46 of Amendment 6 to the</w:t>
              </w:r>
            </w:hyperlink>
          </w:p>
        </w:tc>
      </w:tr>
      <w:tr>
        <w:trPr>
          <w:trHeight w:val="196"/>
        </w:trPr>
        <w:tc>
          <w:tcPr>
            <w:tcW w:w="1020" w:type="dxa"/>
            <w:vAlign w:val="bottom"/>
          </w:tcPr>
          <w:p>
            <w:pPr>
              <w:spacing w:after="0"/>
              <w:rPr>
                <w:sz w:val="17"/>
                <w:szCs w:val="17"/>
                <w:color w:val="auto"/>
              </w:rPr>
            </w:pPr>
          </w:p>
        </w:tc>
        <w:tc>
          <w:tcPr>
            <w:tcW w:w="67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Registration Statement on Form S-1 (Registration No. 333-121001) filed October 17, 2006).</w:t>
              </w:r>
            </w:hyperlink>
          </w:p>
        </w:tc>
        <w:tc>
          <w:tcPr>
            <w:tcW w:w="3600" w:type="dxa"/>
            <w:vAlign w:val="bottom"/>
            <w:gridSpan w:val="23"/>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Amendment No. 3 to ExlService Holdings, Inc. 2006 Omnibus Award Plan (incorporated by reference to Exhibit 4.6 to the Company’s</w:t>
              </w:r>
            </w:hyperlink>
          </w:p>
        </w:tc>
        <w:tc>
          <w:tcPr>
            <w:tcW w:w="54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1"/>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Registration Statement on Form S-8 (Registration No. 333-157076) filed February 2, 2009).</w:t>
              </w:r>
            </w:hyperlink>
          </w:p>
        </w:tc>
      </w:tr>
      <w:tr>
        <w:trPr>
          <w:trHeight w:val="507"/>
        </w:trPr>
        <w:tc>
          <w:tcPr>
            <w:tcW w:w="1020" w:type="dxa"/>
            <w:vAlign w:val="bottom"/>
          </w:tcPr>
          <w:p>
            <w:pPr>
              <w:spacing w:after="0"/>
              <w:rPr>
                <w:sz w:val="24"/>
                <w:szCs w:val="24"/>
                <w:color w:val="auto"/>
              </w:rPr>
            </w:pPr>
          </w:p>
        </w:tc>
        <w:tc>
          <w:tcPr>
            <w:tcW w:w="4880" w:type="dxa"/>
            <w:vAlign w:val="bottom"/>
            <w:tcBorders>
              <w:top w:val="single" w:sz="8" w:color="0000FF"/>
            </w:tcBorders>
            <w:gridSpan w:val="5"/>
          </w:tcPr>
          <w:p>
            <w:pPr>
              <w:ind w:left="4560"/>
              <w:spacing w:after="0"/>
              <w:rPr>
                <w:sz w:val="20"/>
                <w:szCs w:val="20"/>
                <w:color w:val="auto"/>
              </w:rPr>
            </w:pPr>
            <w:r>
              <w:rPr>
                <w:rFonts w:ascii="Times New Roman" w:cs="Times New Roman" w:eastAsia="Times New Roman" w:hAnsi="Times New Roman"/>
                <w:sz w:val="18"/>
                <w:szCs w:val="18"/>
                <w:color w:val="auto"/>
              </w:rPr>
              <w:t>63</w:t>
            </w:r>
          </w:p>
        </w:tc>
        <w:tc>
          <w:tcPr>
            <w:tcW w:w="5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333" w:right="299" w:bottom="1440" w:gutter="0" w:footer="0" w:header="0"/>
        </w:sectPr>
      </w:pPr>
    </w:p>
    <w:bookmarkStart w:id="65" w:name="page66"/>
    <w:bookmarkEnd w:id="65"/>
    <w:p>
      <w:pPr>
        <w:spacing w:after="0"/>
        <w:rPr>
          <w:rFonts w:ascii="Times New Roman" w:cs="Times New Roman" w:eastAsia="Times New Roman" w:hAnsi="Times New Roman"/>
          <w:sz w:val="17"/>
          <w:szCs w:val="17"/>
          <w:b w:val="1"/>
          <w:bCs w:val="1"/>
          <w:u w:val="single" w:color="auto"/>
          <w:color w:val="0000EE"/>
        </w:rPr>
      </w:pP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80"/>
          </w:cols>
          <w:pgMar w:left="240" w:top="333" w:right="2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10.13+</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10.14+</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right="580"/>
        <w:spacing w:after="0" w:line="282" w:lineRule="auto"/>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Form of Restricted Stock Unit Agreement (U.S.) under the 2006 Omnibus Award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Company’s Quarterly Report on Form 10-Q (File No. 1-33089) filed on May 1, 2014).</w:t>
        </w:r>
      </w:hyperlink>
    </w:p>
    <w:p>
      <w:pPr>
        <w:spacing w:after="0" w:line="148" w:lineRule="exact"/>
        <w:rPr>
          <w:sz w:val="20"/>
          <w:szCs w:val="20"/>
          <w:color w:val="auto"/>
        </w:rPr>
      </w:pPr>
    </w:p>
    <w:p>
      <w:pPr>
        <w:ind w:right="160"/>
        <w:spacing w:after="0" w:line="282" w:lineRule="auto"/>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ExlService Holdings, Inc. 2015 Amendment and Restatement of the 2006 Omnibus Award Plan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the Company’s Current Report on Form 8-K (File No. 1-33089) filed on June 25, 2015).</w:t>
        </w:r>
      </w:hyperlink>
    </w:p>
    <w:p>
      <w:pPr>
        <w:spacing w:after="0" w:line="135" w:lineRule="exact"/>
        <w:rPr>
          <w:sz w:val="20"/>
          <w:szCs w:val="20"/>
          <w:color w:val="auto"/>
        </w:rPr>
      </w:pPr>
    </w:p>
    <w:p>
      <w:pPr>
        <w:jc w:val="both"/>
        <w:ind w:right="40"/>
        <w:spacing w:after="0" w:line="266" w:lineRule="auto"/>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Form of Restricted Stock Unit Agreement (U.S.) under the ExlService Holdings, Inc. 2015 Amendment and Restatement of the 2006 Omnibus</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Award Plan (incorporated by reference to Exhibit 10.1 to the Company’s Quarterly Report on Form 10-Q (File No. 1-33089) filed on October</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27, 2016).</w:t>
        </w:r>
      </w:hyperlink>
    </w:p>
    <w:p>
      <w:pPr>
        <w:spacing w:after="0" w:line="136"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520"/>
            <w:col w:w="10320"/>
          </w:cols>
          <w:pgMar w:left="240" w:top="333" w:right="27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20" w:type="dxa"/>
            <w:vAlign w:val="bottom"/>
            <w:gridSpan w:val="29"/>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of Restricted Stock Unit Agreement (U.S.) under the ExlService Holdings, Inc. 2015 Amendment and Restatement of the 2006 Omnibus</w:t>
              </w:r>
            </w:hyperlink>
          </w:p>
        </w:tc>
      </w:tr>
      <w:tr>
        <w:trPr>
          <w:trHeight w:val="196"/>
        </w:trPr>
        <w:tc>
          <w:tcPr>
            <w:tcW w:w="1020" w:type="dxa"/>
            <w:vAlign w:val="bottom"/>
          </w:tcPr>
          <w:p>
            <w:pPr>
              <w:spacing w:after="0"/>
              <w:rPr>
                <w:sz w:val="17"/>
                <w:szCs w:val="17"/>
                <w:color w:val="auto"/>
              </w:rPr>
            </w:pPr>
          </w:p>
        </w:tc>
        <w:tc>
          <w:tcPr>
            <w:tcW w:w="1028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Award Plan “(incorporated by reference to Exhibit 10.40 to the Company’s Annual Report on Form 10-K (File No. 1-33089) filed on March</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63">
              <w:r>
                <w:rPr>
                  <w:rFonts w:ascii="Times New Roman" w:cs="Times New Roman" w:eastAsia="Times New Roman" w:hAnsi="Times New Roman"/>
                  <w:sz w:val="18"/>
                  <w:szCs w:val="18"/>
                  <w:color w:val="0000FF"/>
                  <w:w w:val="97"/>
                </w:rPr>
                <w:t>15, 2017).</w:t>
              </w:r>
            </w:hyperlink>
          </w:p>
        </w:tc>
        <w:tc>
          <w:tcPr>
            <w:tcW w:w="138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320" w:type="dxa"/>
            <w:vAlign w:val="bottom"/>
            <w:gridSpan w:val="29"/>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ExlService Holdings, Inc. 2018 Omnibus Incentive Plan (incorporated by reference to Exhibit 10.1 to the Company’s Current Report on Form</w:t>
              </w:r>
            </w:hyperlink>
          </w:p>
        </w:tc>
      </w:tr>
      <w:tr>
        <w:trPr>
          <w:trHeight w:val="196"/>
        </w:trPr>
        <w:tc>
          <w:tcPr>
            <w:tcW w:w="10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8-K (File No. 1-33089) filed on June 20, 2018).</w:t>
              </w:r>
            </w:hyperlink>
          </w:p>
        </w:tc>
        <w:tc>
          <w:tcPr>
            <w:tcW w:w="6760" w:type="dxa"/>
            <w:vAlign w:val="bottom"/>
            <w:tcBorders>
              <w:top w:val="single" w:sz="8" w:color="0000FF"/>
            </w:tcBorders>
            <w:gridSpan w:val="2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Form of Restricted Stock Unit Agreement (U.S. Executive Officers Combined) under the 2018 Omnibus Incentive Plan (incorporated by</w:t>
              </w:r>
            </w:hyperlink>
          </w:p>
        </w:tc>
        <w:tc>
          <w:tcPr>
            <w:tcW w:w="46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3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reference to Exhibit 10.2 to the Company’s Current Report on Form 8-K (File No. 1-33089) filed on June 20, 2018).</w:t>
              </w:r>
            </w:hyperlink>
          </w:p>
        </w:tc>
        <w:tc>
          <w:tcPr>
            <w:tcW w:w="1940" w:type="dxa"/>
            <w:vAlign w:val="bottom"/>
            <w:gridSpan w:val="17"/>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6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Form of Restricted Stock Unit Agreement (International Executive Officers) under the 2018 Omnibus Incentive Plan (incorporated by</w:t>
              </w:r>
            </w:hyperlink>
          </w:p>
        </w:tc>
        <w:tc>
          <w:tcPr>
            <w:tcW w:w="66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3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reference to Exhibit 10.3 to the Company’s Current Report on Form 8-K (File No. 1-33089) filed on June 20, 2018).</w:t>
              </w:r>
            </w:hyperlink>
          </w:p>
        </w:tc>
        <w:tc>
          <w:tcPr>
            <w:tcW w:w="1940" w:type="dxa"/>
            <w:vAlign w:val="bottom"/>
            <w:gridSpan w:val="17"/>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3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Form of Restricted Stock Unit Agreement (Directors) under the 2018 Omnibus Incentive Plan (incorporated by reference to Exhibit 10.4 to the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Company’s Current Report on Form 8-K (File No. 1-33089) filed on June 20, 2018).</w:t>
              </w:r>
            </w:hyperlink>
          </w:p>
        </w:tc>
        <w:tc>
          <w:tcPr>
            <w:tcW w:w="4220" w:type="dxa"/>
            <w:vAlign w:val="bottom"/>
            <w:gridSpan w:val="21"/>
          </w:tcPr>
          <w:p>
            <w:pPr>
              <w:spacing w:after="0"/>
              <w:rPr>
                <w:sz w:val="17"/>
                <w:szCs w:val="17"/>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320" w:type="dxa"/>
            <w:vAlign w:val="bottom"/>
            <w:gridSpan w:val="2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Credit Agreement, dated as of October 24, 2014, among ExlService Holdings, Inc., JPMorgan Chase Bank, N.A., as administrative agent and</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co-lead arranger, Citibank, N.A., as co-lead arranger, and the other Loan Parties and Lenders thereto (incorporated by reference to Exhibit</w:t>
              </w:r>
            </w:hyperlink>
          </w:p>
        </w:tc>
        <w:tc>
          <w:tcPr>
            <w:tcW w:w="240" w:type="dxa"/>
            <w:vAlign w:val="bottom"/>
            <w:tcBorders>
              <w:top w:val="single" w:sz="8" w:color="0000FF"/>
            </w:tcBorders>
            <w:gridSpan w:val="6"/>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r>
                <w:rPr>
                  <w:rFonts w:ascii="Times New Roman" w:cs="Times New Roman" w:eastAsia="Times New Roman" w:hAnsi="Times New Roman"/>
                  <w:sz w:val="18"/>
                  <w:szCs w:val="18"/>
                  <w:color w:val="0000FF"/>
                </w:rPr>
                <w:t xml:space="preserve"> to the Company’s Annual Report on Form 10-K (File No. 1-33089) filed on February 27, 2015).</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320" w:type="dxa"/>
            <w:vAlign w:val="bottom"/>
            <w:gridSpan w:val="2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First Amendment to Credit Agreement and Incremental Facility Agreement, dated as of February 23, 2015, by and among ExlService</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3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Holdings, Inc., each of its subsidiaries party thereto, the Lenders party thereto and JPMorgan Chase Bank, N.A., as administrative agent for the</w:t>
              </w:r>
            </w:hyperlink>
          </w:p>
        </w:tc>
      </w:tr>
      <w:tr>
        <w:trPr>
          <w:trHeight w:val="196"/>
        </w:trPr>
        <w:tc>
          <w:tcPr>
            <w:tcW w:w="10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Lenders (incorporated by reference to Exhibit 10.40 to the Company’s Annual Report on Form 10-K (File No. 1-33089) filed on February 27,</w:t>
              </w:r>
            </w:hyperlink>
          </w:p>
        </w:tc>
      </w:tr>
      <w:tr>
        <w:trPr>
          <w:trHeight w:val="196"/>
        </w:trPr>
        <w:tc>
          <w:tcPr>
            <w:tcW w:w="1020" w:type="dxa"/>
            <w:vAlign w:val="bottom"/>
          </w:tcPr>
          <w:p>
            <w:pPr>
              <w:spacing w:after="0"/>
              <w:rPr>
                <w:sz w:val="17"/>
                <w:szCs w:val="17"/>
                <w:color w:val="auto"/>
              </w:rPr>
            </w:pPr>
          </w:p>
        </w:tc>
        <w:tc>
          <w:tcPr>
            <w:tcW w:w="74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2015).</w:t>
              </w:r>
            </w:hyperlink>
          </w:p>
        </w:tc>
        <w:tc>
          <w:tcPr>
            <w:tcW w:w="138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Credit Agreement, dated as of November 21, 2017, among ExlService Holdings, Inc., the other loan parties thereto, the lenders party thereto,</w:t>
              </w:r>
            </w:hyperlink>
          </w:p>
        </w:tc>
        <w:tc>
          <w:tcPr>
            <w:tcW w:w="1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and Citibank, N.A., as administrative agent, Citibank, N.A. and PNC Capital Markets LLC, as joint lead arrangers and joint bookrunners, and</w:t>
              </w:r>
            </w:hyperlink>
          </w:p>
        </w:tc>
        <w:tc>
          <w:tcPr>
            <w:tcW w:w="12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JPMorgan Chase Bank, N.A., as syndication agent (incorporated by reference to Exhibit 10.37 to the Company’s Annual Report on Form 10-K</w:t>
              </w:r>
            </w:hyperlink>
          </w:p>
        </w:tc>
      </w:tr>
      <w:tr>
        <w:trPr>
          <w:trHeight w:val="196"/>
        </w:trPr>
        <w:tc>
          <w:tcPr>
            <w:tcW w:w="10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(File No. 1-33089) filed on February 27, 2018).</w:t>
              </w:r>
            </w:hyperlink>
          </w:p>
        </w:tc>
        <w:tc>
          <w:tcPr>
            <w:tcW w:w="6840" w:type="dxa"/>
            <w:vAlign w:val="bottom"/>
            <w:tcBorders>
              <w:top w:val="single" w:sz="8" w:color="0000FF"/>
            </w:tcBorders>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0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w:anchor="page127">
              <w:r>
                <w:rPr>
                  <w:rFonts w:ascii="Times New Roman" w:cs="Times New Roman" w:eastAsia="Times New Roman" w:hAnsi="Times New Roman"/>
                  <w:sz w:val="18"/>
                  <w:szCs w:val="18"/>
                  <w:color w:val="0000FF"/>
                  <w:w w:val="99"/>
                </w:rPr>
                <w:t>First Amendment to Credit Agreement, dated as of July 2, 2018, by and among the Company and the other loan parties thereto, the lenders</w:t>
              </w:r>
            </w:hyperlink>
          </w:p>
        </w:tc>
        <w:tc>
          <w:tcPr>
            <w:tcW w:w="32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FF"/>
              </w:rPr>
            </w:pPr>
            <w:hyperlink w:anchor="page127">
              <w:r>
                <w:rPr>
                  <w:rFonts w:ascii="Times New Roman" w:cs="Times New Roman" w:eastAsia="Times New Roman" w:hAnsi="Times New Roman"/>
                  <w:sz w:val="18"/>
                  <w:szCs w:val="18"/>
                  <w:color w:val="0000FF"/>
                </w:rPr>
                <w:t>party thereto, and Citibank, N.A., as administrative agent.</w:t>
              </w:r>
            </w:hyperlink>
          </w:p>
        </w:tc>
      </w:tr>
      <w:tr>
        <w:trPr>
          <w:trHeight w:val="20"/>
        </w:trPr>
        <w:tc>
          <w:tcPr>
            <w:tcW w:w="102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320" w:type="dxa"/>
            <w:vAlign w:val="bottom"/>
            <w:gridSpan w:val="29"/>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Second Amendment to Credit Agreement, dated as of October 1, 2018, by and among the Company and the other loan parties thereto, the</w:t>
              </w:r>
            </w:hyperlink>
          </w:p>
        </w:tc>
      </w:tr>
      <w:tr>
        <w:trPr>
          <w:trHeight w:val="20"/>
        </w:trPr>
        <w:tc>
          <w:tcPr>
            <w:tcW w:w="102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lenders party thereto, and Citibank, N.A., as administrative agent (incorporated by reference to Exhibit 10.2 to the Company’s Current Report</w:t>
              </w:r>
            </w:hyperlink>
          </w:p>
        </w:tc>
      </w:tr>
      <w:tr>
        <w:trPr>
          <w:trHeight w:val="196"/>
        </w:trPr>
        <w:tc>
          <w:tcPr>
            <w:tcW w:w="102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on Form 8-K (File No. 1-33089) filed on October 4, 2018).</w:t>
              </w:r>
            </w:hyperlink>
          </w:p>
        </w:tc>
        <w:tc>
          <w:tcPr>
            <w:tcW w:w="5940" w:type="dxa"/>
            <w:vAlign w:val="bottom"/>
            <w:tcBorders>
              <w:top w:val="single" w:sz="8" w:color="0000FF"/>
            </w:tcBorders>
            <w:gridSpan w:val="19"/>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320" w:type="dxa"/>
            <w:vAlign w:val="bottom"/>
            <w:gridSpan w:val="29"/>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Investment Agreement, dated as of October 1, 2018, by and between the Company and Orogen Echo LLC (incorporated by reference to</w:t>
              </w:r>
            </w:hyperlink>
          </w:p>
        </w:tc>
      </w:tr>
      <w:tr>
        <w:trPr>
          <w:trHeight w:val="196"/>
        </w:trPr>
        <w:tc>
          <w:tcPr>
            <w:tcW w:w="1020" w:type="dxa"/>
            <w:vAlign w:val="bottom"/>
          </w:tcPr>
          <w:p>
            <w:pPr>
              <w:spacing w:after="0"/>
              <w:rPr>
                <w:sz w:val="17"/>
                <w:szCs w:val="17"/>
                <w:color w:val="auto"/>
              </w:rPr>
            </w:pPr>
          </w:p>
        </w:tc>
        <w:tc>
          <w:tcPr>
            <w:tcW w:w="764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Exhibit 10.1 to the Company’s Current Report on Form 8-K (File No. 1-33089) filed on October 4, 2018).</w:t>
              </w:r>
            </w:hyperlink>
          </w:p>
        </w:tc>
        <w:tc>
          <w:tcPr>
            <w:tcW w:w="2140" w:type="dxa"/>
            <w:vAlign w:val="bottom"/>
            <w:tcBorders>
              <w:top w:val="single" w:sz="8" w:color="0000FF"/>
            </w:tcBorders>
            <w:gridSpan w:val="4"/>
          </w:tcPr>
          <w:p>
            <w:pPr>
              <w:spacing w:after="0"/>
              <w:rPr>
                <w:sz w:val="17"/>
                <w:szCs w:val="17"/>
                <w:color w:val="auto"/>
              </w:rPr>
            </w:pPr>
          </w:p>
        </w:tc>
        <w:tc>
          <w:tcPr>
            <w:tcW w:w="540" w:type="dxa"/>
            <w:vAlign w:val="bottom"/>
            <w:gridSpan w:val="14"/>
          </w:tcPr>
          <w:p>
            <w:pPr>
              <w:spacing w:after="0"/>
              <w:rPr>
                <w:sz w:val="17"/>
                <w:szCs w:val="17"/>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w:anchor="page142">
              <w:r>
                <w:rPr>
                  <w:rFonts w:ascii="Times New Roman" w:cs="Times New Roman" w:eastAsia="Times New Roman" w:hAnsi="Times New Roman"/>
                  <w:sz w:val="18"/>
                  <w:szCs w:val="18"/>
                  <w:color w:val="0000FF"/>
                  <w:w w:val="98"/>
                </w:rPr>
                <w:t>Subsidiaries of the Company.</w:t>
              </w:r>
            </w:hyperlink>
          </w:p>
        </w:tc>
        <w:tc>
          <w:tcPr>
            <w:tcW w:w="8200" w:type="dxa"/>
            <w:vAlign w:val="bottom"/>
            <w:gridSpan w:val="26"/>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1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143">
              <w:r>
                <w:rPr>
                  <w:rFonts w:ascii="Times New Roman" w:cs="Times New Roman" w:eastAsia="Times New Roman" w:hAnsi="Times New Roman"/>
                  <w:sz w:val="18"/>
                  <w:szCs w:val="18"/>
                  <w:color w:val="0000FF"/>
                  <w:w w:val="99"/>
                </w:rPr>
                <w:t>Consent of Deloitte &amp; Touche LLP, Independent Registered Public Accounting Firm.</w:t>
              </w:r>
            </w:hyperlink>
          </w:p>
        </w:tc>
        <w:tc>
          <w:tcPr>
            <w:tcW w:w="4180" w:type="dxa"/>
            <w:vAlign w:val="bottom"/>
            <w:gridSpan w:val="20"/>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320" w:type="dxa"/>
            <w:vAlign w:val="bottom"/>
            <w:gridSpan w:val="29"/>
          </w:tcPr>
          <w:p>
            <w:pPr>
              <w:spacing w:after="0"/>
              <w:rPr>
                <w:rFonts w:ascii="Times New Roman" w:cs="Times New Roman" w:eastAsia="Times New Roman" w:hAnsi="Times New Roman"/>
                <w:sz w:val="18"/>
                <w:szCs w:val="18"/>
                <w:color w:val="0000FF"/>
              </w:rPr>
            </w:pPr>
            <w:hyperlink w:anchor="page144">
              <w:r>
                <w:rPr>
                  <w:rFonts w:ascii="Times New Roman" w:cs="Times New Roman" w:eastAsia="Times New Roman" w:hAnsi="Times New Roman"/>
                  <w:sz w:val="18"/>
                  <w:szCs w:val="18"/>
                  <w:color w:val="0000FF"/>
                </w:rPr>
                <w:t>Consent of Ernst &amp; Young LLP, Independent Registered Public Accounting Firm.</w:t>
              </w:r>
            </w:hyperlink>
          </w:p>
        </w:tc>
      </w:tr>
      <w:tr>
        <w:trPr>
          <w:trHeight w:val="20"/>
        </w:trPr>
        <w:tc>
          <w:tcPr>
            <w:tcW w:w="102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420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20" w:type="dxa"/>
            <w:vAlign w:val="bottom"/>
            <w:gridSpan w:val="29"/>
          </w:tcPr>
          <w:p>
            <w:pPr>
              <w:spacing w:after="0"/>
              <w:rPr>
                <w:rFonts w:ascii="Times New Roman" w:cs="Times New Roman" w:eastAsia="Times New Roman" w:hAnsi="Times New Roman"/>
                <w:sz w:val="18"/>
                <w:szCs w:val="18"/>
                <w:color w:val="0000FF"/>
              </w:rPr>
            </w:pPr>
            <w:hyperlink w:anchor="page145">
              <w:r>
                <w:rPr>
                  <w:rFonts w:ascii="Times New Roman" w:cs="Times New Roman" w:eastAsia="Times New Roman" w:hAnsi="Times New Roman"/>
                  <w:sz w:val="18"/>
                  <w:szCs w:val="18"/>
                  <w:color w:val="0000FF"/>
                </w:rPr>
                <w:t>Certification of the Chief Executive Officer of ExlService Holdings, pursuant to Rule 13a-14(a) of the Exchange Act, as adopted pursuant to</w:t>
              </w:r>
            </w:hyperlink>
          </w:p>
        </w:tc>
      </w:tr>
      <w:tr>
        <w:trPr>
          <w:trHeight w:val="196"/>
        </w:trPr>
        <w:tc>
          <w:tcPr>
            <w:tcW w:w="1020" w:type="dxa"/>
            <w:vAlign w:val="bottom"/>
          </w:tcPr>
          <w:p>
            <w:pPr>
              <w:spacing w:after="0"/>
              <w:rPr>
                <w:sz w:val="17"/>
                <w:szCs w:val="17"/>
                <w:color w:val="auto"/>
              </w:rPr>
            </w:pPr>
          </w:p>
        </w:tc>
        <w:tc>
          <w:tcPr>
            <w:tcW w:w="1012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w:anchor="page145">
              <w:r>
                <w:rPr>
                  <w:rFonts w:ascii="Times New Roman" w:cs="Times New Roman" w:eastAsia="Times New Roman" w:hAnsi="Times New Roman"/>
                  <w:sz w:val="18"/>
                  <w:szCs w:val="18"/>
                  <w:color w:val="0000FF"/>
                </w:rPr>
                <w:t>Section 302 of the Sarbanes-Oxley Act of 2002.</w:t>
              </w:r>
            </w:hyperlink>
          </w:p>
        </w:tc>
        <w:tc>
          <w:tcPr>
            <w:tcW w:w="20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6620" w:type="dxa"/>
            <w:vAlign w:val="bottom"/>
            <w:gridSpan w:val="16"/>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w:anchor="page146">
              <w:r>
                <w:rPr>
                  <w:rFonts w:ascii="Times New Roman" w:cs="Times New Roman" w:eastAsia="Times New Roman" w:hAnsi="Times New Roman"/>
                  <w:sz w:val="18"/>
                  <w:szCs w:val="18"/>
                  <w:color w:val="0000FF"/>
                  <w:w w:val="99"/>
                </w:rPr>
                <w:t>Certification of the Chief Financial Officer of ExlService Holdings, pursuant to Rule 13a-14(a) of the Exchange Act, as adopted pursuant to</w:t>
              </w:r>
            </w:hyperlink>
          </w:p>
        </w:tc>
        <w:tc>
          <w:tcPr>
            <w:tcW w:w="24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FF"/>
              </w:rPr>
            </w:pPr>
            <w:hyperlink w:anchor="page146">
              <w:r>
                <w:rPr>
                  <w:rFonts w:ascii="Times New Roman" w:cs="Times New Roman" w:eastAsia="Times New Roman" w:hAnsi="Times New Roman"/>
                  <w:sz w:val="18"/>
                  <w:szCs w:val="18"/>
                  <w:color w:val="0000FF"/>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333" w:right="279" w:bottom="1440" w:gutter="0" w:footer="0" w:header="0"/>
          <w:type w:val="continuous"/>
        </w:sectPr>
      </w:pP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333" w:right="27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147">
              <w:r>
                <w:rPr>
                  <w:rFonts w:ascii="Times New Roman" w:cs="Times New Roman" w:eastAsia="Times New Roman" w:hAnsi="Times New Roman"/>
                  <w:sz w:val="18"/>
                  <w:szCs w:val="18"/>
                  <w:color w:val="0000FF"/>
                  <w:w w:val="99"/>
                </w:rPr>
                <w:t>Certification of the Chief Executive Officer pursuant to Rule 13a-14(b) of the Exchange Act and 18 U.S.C. Section 1350, as adopted pursuant</w:t>
              </w:r>
            </w:hyperlink>
          </w:p>
        </w:tc>
      </w:tr>
      <w:tr>
        <w:trPr>
          <w:trHeight w:val="196"/>
        </w:trPr>
        <w:tc>
          <w:tcPr>
            <w:tcW w:w="1020" w:type="dxa"/>
            <w:vAlign w:val="bottom"/>
          </w:tcPr>
          <w:p>
            <w:pPr>
              <w:spacing w:after="0"/>
              <w:rPr>
                <w:sz w:val="17"/>
                <w:szCs w:val="17"/>
                <w:color w:val="auto"/>
              </w:rPr>
            </w:pPr>
          </w:p>
        </w:tc>
        <w:tc>
          <w:tcPr>
            <w:tcW w:w="36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147">
              <w:r>
                <w:rPr>
                  <w:rFonts w:ascii="Times New Roman" w:cs="Times New Roman" w:eastAsia="Times New Roman" w:hAnsi="Times New Roman"/>
                  <w:sz w:val="18"/>
                  <w:szCs w:val="18"/>
                  <w:color w:val="0000FF"/>
                  <w:w w:val="99"/>
                </w:rPr>
                <w:t>to Section 906 of the Sarbanes-Oxley Act of 2002.</w:t>
              </w:r>
            </w:hyperlink>
          </w:p>
        </w:tc>
        <w:tc>
          <w:tcPr>
            <w:tcW w:w="6560" w:type="dxa"/>
            <w:vAlign w:val="bottom"/>
            <w:gridSpan w:val="2"/>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148">
              <w:r>
                <w:rPr>
                  <w:rFonts w:ascii="Times New Roman" w:cs="Times New Roman" w:eastAsia="Times New Roman" w:hAnsi="Times New Roman"/>
                  <w:sz w:val="18"/>
                  <w:szCs w:val="18"/>
                  <w:color w:val="0000FF"/>
                  <w:w w:val="99"/>
                </w:rPr>
                <w:t>Certification of the Chief Financial Officer pursuant to Rule 13a-14(b) of the Exchange Act and 18 U.S.C. Section 1350, as adopted pursuant</w:t>
              </w:r>
            </w:hyperlink>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4"/>
          </w:tcPr>
          <w:p>
            <w:pPr>
              <w:spacing w:after="0" w:line="196" w:lineRule="exact"/>
              <w:rPr>
                <w:rFonts w:ascii="Times New Roman" w:cs="Times New Roman" w:eastAsia="Times New Roman" w:hAnsi="Times New Roman"/>
                <w:sz w:val="18"/>
                <w:szCs w:val="18"/>
                <w:color w:val="0000FF"/>
              </w:rPr>
            </w:pPr>
            <w:hyperlink w:anchor="page148">
              <w:r>
                <w:rPr>
                  <w:rFonts w:ascii="Times New Roman" w:cs="Times New Roman" w:eastAsia="Times New Roman" w:hAnsi="Times New Roman"/>
                  <w:sz w:val="18"/>
                  <w:szCs w:val="18"/>
                  <w:color w:val="0000FF"/>
                </w:rPr>
                <w:t>to Section 906 of the Sarbanes-Oxley Act of 2002.</w:t>
              </w:r>
            </w:hyperlink>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580" w:type="dxa"/>
            <w:vAlign w:val="bottom"/>
            <w:gridSpan w:val="3"/>
          </w:tcPr>
          <w:p>
            <w:pPr>
              <w:spacing w:after="0"/>
              <w:rPr>
                <w:sz w:val="24"/>
                <w:szCs w:val="24"/>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Extension Presentation Linkbase**</w:t>
            </w:r>
          </w:p>
        </w:tc>
      </w:tr>
    </w:tbl>
    <w:p>
      <w:pPr>
        <w:spacing w:after="0" w:line="144" w:lineRule="exact"/>
        <w:rPr>
          <w:sz w:val="20"/>
          <w:szCs w:val="20"/>
          <w:color w:val="auto"/>
        </w:rPr>
      </w:pPr>
    </w:p>
    <w:p>
      <w:pPr>
        <w:jc w:val="both"/>
        <w:ind w:left="80" w:hanging="80"/>
        <w:spacing w:after="0" w:line="261" w:lineRule="auto"/>
        <w:rPr>
          <w:sz w:val="20"/>
          <w:szCs w:val="20"/>
          <w:color w:val="auto"/>
        </w:rPr>
      </w:pPr>
      <w:r>
        <w:rPr>
          <w:rFonts w:ascii="Times New Roman" w:cs="Times New Roman" w:eastAsia="Times New Roman" w:hAnsi="Times New Roman"/>
          <w:sz w:val="18"/>
          <w:szCs w:val="18"/>
          <w:color w:val="auto"/>
        </w:rPr>
        <w:t>*Pursuant to Item 601(b)(2) of Regulation S-K promulgated by the SEC, certain schedules to this agreement have been omitted. The Company hereby agrees to furnish supplementally to the SEC, upon its request, any or all of such omitted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5829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jc w:val="both"/>
        <w:ind w:left="80" w:hanging="80"/>
        <w:spacing w:after="0" w:line="250"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contract or compensatory plan required to be filed as an Exhibit.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333"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642"/>
        </w:trPr>
        <w:tc>
          <w:tcPr>
            <w:tcW w:w="9500" w:type="dxa"/>
            <w:vAlign w:val="bottom"/>
            <w:gridSpan w:val="7"/>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Reports of Independent Registered Public Accounting Firms</w:t>
              </w:r>
            </w:hyperlink>
          </w:p>
        </w:tc>
        <w:tc>
          <w:tcPr>
            <w:tcW w:w="1480" w:type="dxa"/>
            <w:vAlign w:val="bottom"/>
          </w:tcPr>
          <w:p>
            <w:pPr>
              <w:jc w:val="center"/>
              <w:spacing w:after="0"/>
              <w:rPr>
                <w:rFonts w:ascii="Times New Roman" w:cs="Times New Roman" w:eastAsia="Times New Roman" w:hAnsi="Times New Roman"/>
                <w:sz w:val="18"/>
                <w:szCs w:val="18"/>
                <w:color w:val="auto"/>
                <w:w w:val="95"/>
              </w:rPr>
            </w:pPr>
            <w:hyperlink w:anchor="page69">
              <w:r>
                <w:rPr>
                  <w:rFonts w:ascii="Times New Roman" w:cs="Times New Roman" w:eastAsia="Times New Roman" w:hAnsi="Times New Roman"/>
                  <w:sz w:val="18"/>
                  <w:szCs w:val="18"/>
                  <w:color w:val="auto"/>
                  <w:w w:val="95"/>
                </w:rPr>
                <w:t>F-2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4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Consolidated Balance Sheets as of December 31, 2018 and 2017</w:t>
              </w:r>
            </w:hyperlink>
          </w:p>
        </w:tc>
        <w:tc>
          <w:tcPr>
            <w:tcW w:w="4840" w:type="dxa"/>
            <w:vAlign w:val="bottom"/>
            <w:gridSpan w:val="4"/>
          </w:tcPr>
          <w:p>
            <w:pPr>
              <w:spacing w:after="0"/>
              <w:rPr>
                <w:sz w:val="24"/>
                <w:szCs w:val="24"/>
                <w:color w:val="auto"/>
              </w:rPr>
            </w:pPr>
          </w:p>
        </w:tc>
        <w:tc>
          <w:tcPr>
            <w:tcW w:w="1480" w:type="dxa"/>
            <w:vAlign w:val="bottom"/>
          </w:tcPr>
          <w:p>
            <w:pPr>
              <w:jc w:val="center"/>
              <w:spacing w:after="0"/>
              <w:rPr>
                <w:rFonts w:ascii="Times New Roman" w:cs="Times New Roman" w:eastAsia="Times New Roman" w:hAnsi="Times New Roman"/>
                <w:sz w:val="18"/>
                <w:szCs w:val="18"/>
                <w:color w:val="auto"/>
                <w:w w:val="95"/>
              </w:rPr>
            </w:pPr>
            <w:hyperlink w:anchor="page72">
              <w:r>
                <w:rPr>
                  <w:rFonts w:ascii="Times New Roman" w:cs="Times New Roman" w:eastAsia="Times New Roman" w:hAnsi="Times New Roman"/>
                  <w:sz w:val="18"/>
                  <w:szCs w:val="18"/>
                  <w:color w:val="auto"/>
                  <w:w w:val="95"/>
                </w:rPr>
                <w:t>F-5</w:t>
              </w:r>
            </w:hyperlink>
          </w:p>
        </w:tc>
      </w:tr>
      <w:tr>
        <w:trPr>
          <w:trHeight w:val="372"/>
        </w:trPr>
        <w:tc>
          <w:tcPr>
            <w:tcW w:w="9500" w:type="dxa"/>
            <w:vAlign w:val="bottom"/>
            <w:gridSpan w:val="7"/>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Consolidated Statements of Income for the years ended December 31, 2018, 2017 and 2016</w:t>
              </w:r>
            </w:hyperlink>
          </w:p>
        </w:tc>
        <w:tc>
          <w:tcPr>
            <w:tcW w:w="1480" w:type="dxa"/>
            <w:vAlign w:val="bottom"/>
          </w:tcPr>
          <w:p>
            <w:pPr>
              <w:jc w:val="center"/>
              <w:spacing w:after="0"/>
              <w:rPr>
                <w:rFonts w:ascii="Times New Roman" w:cs="Times New Roman" w:eastAsia="Times New Roman" w:hAnsi="Times New Roman"/>
                <w:sz w:val="18"/>
                <w:szCs w:val="18"/>
                <w:color w:val="auto"/>
                <w:w w:val="95"/>
              </w:rPr>
            </w:pPr>
            <w:hyperlink w:anchor="page73">
              <w:r>
                <w:rPr>
                  <w:rFonts w:ascii="Times New Roman" w:cs="Times New Roman" w:eastAsia="Times New Roman" w:hAnsi="Times New Roman"/>
                  <w:sz w:val="18"/>
                  <w:szCs w:val="18"/>
                  <w:color w:val="auto"/>
                  <w:w w:val="95"/>
                </w:rPr>
                <w:t>F-6</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9500" w:type="dxa"/>
            <w:vAlign w:val="bottom"/>
            <w:gridSpan w:val="7"/>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Statements of Comprehensive Income for the years ended December 31, 2018, 2017 and 2016</w:t>
              </w:r>
            </w:hyperlink>
          </w:p>
        </w:tc>
        <w:tc>
          <w:tcPr>
            <w:tcW w:w="1480" w:type="dxa"/>
            <w:vAlign w:val="bottom"/>
          </w:tcPr>
          <w:p>
            <w:pPr>
              <w:jc w:val="center"/>
              <w:spacing w:after="0"/>
              <w:rPr>
                <w:rFonts w:ascii="Times New Roman" w:cs="Times New Roman" w:eastAsia="Times New Roman" w:hAnsi="Times New Roman"/>
                <w:sz w:val="18"/>
                <w:szCs w:val="18"/>
                <w:color w:val="auto"/>
                <w:w w:val="95"/>
              </w:rPr>
            </w:pPr>
            <w:hyperlink w:anchor="page74">
              <w:r>
                <w:rPr>
                  <w:rFonts w:ascii="Times New Roman" w:cs="Times New Roman" w:eastAsia="Times New Roman" w:hAnsi="Times New Roman"/>
                  <w:sz w:val="18"/>
                  <w:szCs w:val="18"/>
                  <w:color w:val="auto"/>
                  <w:w w:val="95"/>
                </w:rPr>
                <w:t>F-7</w:t>
              </w:r>
            </w:hyperlink>
          </w:p>
        </w:tc>
      </w:tr>
      <w:tr>
        <w:trPr>
          <w:trHeight w:val="372"/>
        </w:trPr>
        <w:tc>
          <w:tcPr>
            <w:tcW w:w="77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Equity for the years ended December 31, 2018, 2017 and 2016</w:t>
              </w:r>
            </w:hyperlink>
          </w:p>
        </w:tc>
        <w:tc>
          <w:tcPr>
            <w:tcW w:w="1720" w:type="dxa"/>
            <w:vAlign w:val="bottom"/>
          </w:tcPr>
          <w:p>
            <w:pPr>
              <w:spacing w:after="0"/>
              <w:rPr>
                <w:sz w:val="24"/>
                <w:szCs w:val="24"/>
                <w:color w:val="auto"/>
              </w:rPr>
            </w:pPr>
          </w:p>
        </w:tc>
        <w:tc>
          <w:tcPr>
            <w:tcW w:w="1480" w:type="dxa"/>
            <w:vAlign w:val="bottom"/>
          </w:tcPr>
          <w:p>
            <w:pPr>
              <w:jc w:val="center"/>
              <w:spacing w:after="0"/>
              <w:rPr>
                <w:rFonts w:ascii="Times New Roman" w:cs="Times New Roman" w:eastAsia="Times New Roman" w:hAnsi="Times New Roman"/>
                <w:sz w:val="18"/>
                <w:szCs w:val="18"/>
                <w:color w:val="auto"/>
                <w:w w:val="95"/>
              </w:rPr>
            </w:pPr>
            <w:hyperlink w:anchor="page75">
              <w:r>
                <w:rPr>
                  <w:rFonts w:ascii="Times New Roman" w:cs="Times New Roman" w:eastAsia="Times New Roman" w:hAnsi="Times New Roman"/>
                  <w:sz w:val="18"/>
                  <w:szCs w:val="18"/>
                  <w:color w:val="auto"/>
                  <w:w w:val="95"/>
                </w:rPr>
                <w:t>F-8</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6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Consolidated Statements of Cash Flows for the years ended December 31, 2018, 2017 and 2016</w:t>
              </w:r>
            </w:hyperlink>
          </w:p>
        </w:tc>
        <w:tc>
          <w:tcPr>
            <w:tcW w:w="2580" w:type="dxa"/>
            <w:vAlign w:val="bottom"/>
            <w:gridSpan w:val="2"/>
          </w:tcPr>
          <w:p>
            <w:pPr>
              <w:spacing w:after="0"/>
              <w:rPr>
                <w:sz w:val="24"/>
                <w:szCs w:val="24"/>
                <w:color w:val="auto"/>
              </w:rPr>
            </w:pPr>
          </w:p>
        </w:tc>
        <w:tc>
          <w:tcPr>
            <w:tcW w:w="1480" w:type="dxa"/>
            <w:vAlign w:val="bottom"/>
          </w:tcPr>
          <w:p>
            <w:pPr>
              <w:jc w:val="center"/>
              <w:spacing w:after="0"/>
              <w:rPr>
                <w:rFonts w:ascii="Times New Roman" w:cs="Times New Roman" w:eastAsia="Times New Roman" w:hAnsi="Times New Roman"/>
                <w:sz w:val="18"/>
                <w:szCs w:val="18"/>
                <w:color w:val="auto"/>
                <w:w w:val="95"/>
              </w:rPr>
            </w:pPr>
            <w:hyperlink w:anchor="page76">
              <w:r>
                <w:rPr>
                  <w:rFonts w:ascii="Times New Roman" w:cs="Times New Roman" w:eastAsia="Times New Roman" w:hAnsi="Times New Roman"/>
                  <w:sz w:val="18"/>
                  <w:szCs w:val="18"/>
                  <w:color w:val="auto"/>
                  <w:w w:val="95"/>
                </w:rPr>
                <w:t>F-9</w:t>
              </w:r>
            </w:hyperlink>
          </w:p>
        </w:tc>
      </w:tr>
      <w:tr>
        <w:trPr>
          <w:trHeight w:val="372"/>
        </w:trPr>
        <w:tc>
          <w:tcPr>
            <w:tcW w:w="316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Notes to Consolidated Financial Statements</w:t>
              </w:r>
            </w:hyperlink>
          </w:p>
        </w:tc>
        <w:tc>
          <w:tcPr>
            <w:tcW w:w="6340" w:type="dxa"/>
            <w:vAlign w:val="bottom"/>
            <w:gridSpan w:val="6"/>
          </w:tcPr>
          <w:p>
            <w:pPr>
              <w:spacing w:after="0"/>
              <w:rPr>
                <w:sz w:val="24"/>
                <w:szCs w:val="24"/>
                <w:color w:val="auto"/>
              </w:rPr>
            </w:pPr>
          </w:p>
        </w:tc>
        <w:tc>
          <w:tcPr>
            <w:tcW w:w="1480" w:type="dxa"/>
            <w:vAlign w:val="bottom"/>
          </w:tcPr>
          <w:p>
            <w:pPr>
              <w:jc w:val="center"/>
              <w:spacing w:after="0"/>
              <w:rPr>
                <w:rFonts w:ascii="Times New Roman" w:cs="Times New Roman" w:eastAsia="Times New Roman" w:hAnsi="Times New Roman"/>
                <w:sz w:val="18"/>
                <w:szCs w:val="18"/>
                <w:color w:val="auto"/>
                <w:w w:val="99"/>
              </w:rPr>
            </w:pPr>
            <w:hyperlink w:anchor="page78">
              <w:r>
                <w:rPr>
                  <w:rFonts w:ascii="Times New Roman" w:cs="Times New Roman" w:eastAsia="Times New Roman" w:hAnsi="Times New Roman"/>
                  <w:sz w:val="18"/>
                  <w:szCs w:val="18"/>
                  <w:color w:val="auto"/>
                  <w:w w:val="99"/>
                </w:rPr>
                <w:t>F-10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360"/>
          </w:cols>
          <w:pgMar w:left="240" w:top="333" w:right="2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ExlService Holdings,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ExlService Holdings, Inc. (the "Company") as of December 31, 2018, the related consolidated statements of income, comprehensive income, equity, and cash flows, for the year ended December 31, 2018, and the related notes (collectively referred to as the "financial statements"). In our opinion, the financial statements present fairly, in all material respects, the financial position of the Company as of December 31, 2018, and the results of its operations and its cash flows for the year ended December 31, 2018, in conformity with accounting principles generally accepted in the United States of America.</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2019,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333"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ExlService Holdings,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31" w:lineRule="exact"/>
        <w:rPr>
          <w:sz w:val="20"/>
          <w:szCs w:val="20"/>
          <w:color w:val="auto"/>
        </w:rPr>
      </w:pPr>
    </w:p>
    <w:p>
      <w:pPr>
        <w:jc w:val="both"/>
        <w:ind w:firstLine="405"/>
        <w:spacing w:after="0" w:line="27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ExlService Holdings, Inc. (the “Company”) as of December 31, 2018,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28, 2019, expressed an unqualified opinion on those financial statements.</w:t>
      </w:r>
    </w:p>
    <w:p>
      <w:pPr>
        <w:spacing w:after="0" w:line="16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described in Management’s Annual Report on Internal Control over Financial Reporting, management excluded from its assessment the internal control over financial reporting at SCIOinspire Holdings, Inc., which was acquired on July 1, 2018 and whose financial statements constitute 24.2% of total assets and 4.5% of revenues of the consolidated financial statement amounts as of and for the year ended December 31, 2018. Accordingly, our audit did not include the internal control over financial reporting at SCIOinspire Holdings,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333"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ExlService Holdings,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ExlService Holdings, Inc. (the Company) as of December 31, 2017, the related consolidated statements of income, comprehensive income, equity and cash flows for each of the two years in the period ended December 31, 2017, and the related notes (collectively referred to as the “financial statements”). In our opinion, the financial statements present fairly, in all material respects, the consolidated financial position of the Company at December 31, 2017, and the consolidated results of its operations and its cash flows for each of the two years in the period ended December 31, 2017, in conformity with U.S. generally accepted accounting principles.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2002 to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 except for Note 27, as to which the date is 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333"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Pr>
          <w:p>
            <w:pPr>
              <w:spacing w:after="0"/>
              <w:rPr>
                <w:sz w:val="18"/>
                <w:szCs w:val="18"/>
                <w:color w:val="auto"/>
              </w:rPr>
            </w:pPr>
          </w:p>
        </w:tc>
      </w:tr>
      <w:tr>
        <w:trPr>
          <w:trHeight w:val="33"/>
        </w:trPr>
        <w:tc>
          <w:tcPr>
            <w:tcW w:w="7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60"/>
        </w:trPr>
        <w:tc>
          <w:tcPr>
            <w:tcW w:w="74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7"/>
        </w:trPr>
        <w:tc>
          <w:tcPr>
            <w:tcW w:w="7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86,795</w:t>
            </w:r>
          </w:p>
        </w:tc>
      </w:tr>
      <w:tr>
        <w:trPr>
          <w:trHeight w:val="237"/>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184,489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178,479</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3,674</w:t>
            </w:r>
          </w:p>
        </w:tc>
      </w:tr>
      <w:tr>
        <w:trPr>
          <w:trHeight w:val="237"/>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164,752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135,705</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9,781</w:t>
            </w:r>
          </w:p>
        </w:tc>
      </w:tr>
      <w:tr>
        <w:trPr>
          <w:trHeight w:val="237"/>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8,801</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29,582</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499,935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452,817</w:t>
            </w:r>
          </w:p>
        </w:tc>
      </w:tr>
      <w:tr>
        <w:trPr>
          <w:trHeight w:val="33"/>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73,510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66,757</w:t>
            </w: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3,808</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9,280</w:t>
            </w: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95,495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48,958</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204,481</w:t>
            </w: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36,369</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equity affiliate</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3,000</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1,061,936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825,470</w:t>
            </w:r>
          </w:p>
        </w:tc>
      </w:tr>
      <w:tr>
        <w:trPr>
          <w:trHeight w:val="73"/>
        </w:trPr>
        <w:tc>
          <w:tcPr>
            <w:tcW w:w="74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r>
      <w:tr>
        <w:trPr>
          <w:trHeight w:val="177"/>
        </w:trPr>
        <w:tc>
          <w:tcPr>
            <w:tcW w:w="7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74"/>
        </w:trPr>
        <w:tc>
          <w:tcPr>
            <w:tcW w:w="7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7"/>
        </w:trPr>
        <w:tc>
          <w:tcPr>
            <w:tcW w:w="7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5,918</w:t>
            </w:r>
          </w:p>
        </w:tc>
      </w:tr>
      <w:tr>
        <w:trPr>
          <w:trHeight w:val="237"/>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10,318</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10,716</w:t>
            </w:r>
          </w:p>
        </w:tc>
      </w:tr>
      <w:tr>
        <w:trPr>
          <w:trHeight w:val="237"/>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employee costs</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55,664</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61,366</w:t>
            </w:r>
          </w:p>
        </w:tc>
      </w:tr>
      <w:tr>
        <w:trPr>
          <w:trHeight w:val="237"/>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capital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155,095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144,249</w:t>
            </w:r>
          </w:p>
        </w:tc>
      </w:tr>
      <w:tr>
        <w:trPr>
          <w:trHeight w:val="33"/>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50,391</w:t>
            </w: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lease obligations, less current portion</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13,557</w:t>
            </w: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16,202</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443,617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225,425</w:t>
            </w:r>
          </w:p>
        </w:tc>
      </w:tr>
      <w:tr>
        <w:trPr>
          <w:trHeight w:val="33"/>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(Refer to Note 26)</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20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37,850,544 shares issued and</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34,222,476 shares outstanding as of December 31, 2018 and 36,790,751 shares issued and 33,888,733</w:t>
            </w: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0"/>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outstanding as of December 31, 2017</w:t>
            </w:r>
          </w:p>
        </w:tc>
        <w:tc>
          <w:tcPr>
            <w:tcW w:w="20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322,246</w:t>
            </w:r>
          </w:p>
        </w:tc>
      </w:tr>
      <w:tr>
        <w:trPr>
          <w:trHeight w:val="237"/>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484,244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427,064</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(45,710)</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764,994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703,637</w:t>
            </w:r>
          </w:p>
        </w:tc>
      </w:tr>
      <w:tr>
        <w:trPr>
          <w:trHeight w:val="33"/>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3,628,068 shares as of December 31, 2018 and 2,902,018 shares as of December 31, 2017, held in</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4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at cost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(103,816)</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618,069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599,821</w:t>
            </w:r>
          </w:p>
        </w:tc>
      </w:tr>
      <w:tr>
        <w:trPr>
          <w:trHeight w:val="3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618,319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600,045</w:t>
            </w:r>
          </w:p>
        </w:tc>
      </w:tr>
      <w:tr>
        <w:trPr>
          <w:trHeight w:val="33"/>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1,061,936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825,470</w:t>
            </w: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80"/>
          </w:cols>
          <w:pgMar w:left="240" w:top="333" w:right="279" w:bottom="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2017</w:t>
            </w:r>
            <w:r>
              <w:rPr>
                <w:rFonts w:ascii="Times New Roman" w:cs="Times New Roman" w:eastAsia="Times New Roman" w:hAnsi="Times New Roman"/>
                <w:sz w:val="21"/>
                <w:szCs w:val="21"/>
                <w:b w:val="1"/>
                <w:bCs w:val="1"/>
                <w:color w:val="auto"/>
                <w:vertAlign w:val="superscript"/>
              </w:rPr>
              <w:t>(2)</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2016</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883,112</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762,310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685,988</w:t>
            </w:r>
          </w:p>
        </w:tc>
        <w:tc>
          <w:tcPr>
            <w:tcW w:w="0" w:type="dxa"/>
            <w:vAlign w:val="bottom"/>
          </w:tcPr>
          <w:p>
            <w:pPr>
              <w:spacing w:after="0"/>
              <w:rPr>
                <w:sz w:val="1"/>
                <w:szCs w:val="1"/>
                <w:color w:val="auto"/>
              </w:rPr>
            </w:pPr>
          </w:p>
        </w:tc>
      </w:tr>
      <w:tr>
        <w:trPr>
          <w:trHeight w:val="270"/>
        </w:trPr>
        <w:tc>
          <w:tcPr>
            <w:tcW w:w="728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(1)(2)</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584,855</w:t>
            </w: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495,142</w:t>
            </w:r>
          </w:p>
        </w:tc>
        <w:tc>
          <w:tcPr>
            <w:tcW w:w="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447,718</w:t>
            </w:r>
          </w:p>
        </w:tc>
        <w:tc>
          <w:tcPr>
            <w:tcW w:w="0" w:type="dxa"/>
            <w:vAlign w:val="bottom"/>
          </w:tcPr>
          <w:p>
            <w:pPr>
              <w:spacing w:after="0"/>
              <w:rPr>
                <w:sz w:val="1"/>
                <w:szCs w:val="1"/>
                <w:color w:val="auto"/>
              </w:rPr>
            </w:pPr>
          </w:p>
        </w:tc>
      </w:tr>
      <w:tr>
        <w:trPr>
          <w:trHeight w:val="264"/>
        </w:trPr>
        <w:tc>
          <w:tcPr>
            <w:tcW w:w="728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5"/>
                <w:szCs w:val="25"/>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298,257</w:t>
            </w: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267,168</w:t>
            </w:r>
          </w:p>
        </w:tc>
        <w:tc>
          <w:tcPr>
            <w:tcW w:w="1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238,270</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28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102,515</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88,616</w:t>
            </w:r>
          </w:p>
        </w:tc>
        <w:tc>
          <w:tcPr>
            <w:tcW w:w="0" w:type="dxa"/>
            <w:vAlign w:val="bottom"/>
          </w:tcPr>
          <w:p>
            <w:pPr>
              <w:spacing w:after="0"/>
              <w:rPr>
                <w:sz w:val="1"/>
                <w:szCs w:val="1"/>
                <w:color w:val="auto"/>
              </w:rPr>
            </w:pPr>
          </w:p>
        </w:tc>
      </w:tr>
      <w:tr>
        <w:trPr>
          <w:trHeight w:val="270"/>
        </w:trPr>
        <w:tc>
          <w:tcPr>
            <w:tcW w:w="728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Selling and marketing expenses</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53,379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50,579</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38,549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34,580</w:t>
            </w: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8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 operating expenses</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248,436</w:t>
            </w: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194,443</w:t>
            </w:r>
          </w:p>
        </w:tc>
        <w:tc>
          <w:tcPr>
            <w:tcW w:w="1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173,775</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72,725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64,495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5,597</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8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11,359</w:t>
            </w: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15,135</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85,034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83,884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36,146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22,151</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56,726</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48,888</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61,733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 attributable to</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ExlService Holdings Inc. 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34,451,008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33,897,916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33,566,367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35,030,984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35,110,210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34,563,319</w:t>
            </w:r>
          </w:p>
        </w:tc>
        <w:tc>
          <w:tcPr>
            <w:tcW w:w="0" w:type="dxa"/>
            <w:vAlign w:val="bottom"/>
          </w:tcPr>
          <w:p>
            <w:pPr>
              <w:spacing w:after="0"/>
              <w:rPr>
                <w:sz w:val="1"/>
                <w:szCs w:val="1"/>
                <w:color w:val="auto"/>
              </w:rPr>
            </w:pPr>
          </w:p>
        </w:tc>
      </w:tr>
      <w:tr>
        <w:trPr>
          <w:trHeight w:val="27"/>
        </w:trPr>
        <w:tc>
          <w:tcPr>
            <w:tcW w:w="7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Exclusive of depreciation and amortization.</w:t>
      </w:r>
    </w:p>
    <w:p>
      <w:pPr>
        <w:spacing w:after="0" w:line="117" w:lineRule="exact"/>
        <w:rPr>
          <w:rFonts w:ascii="Times New Roman" w:cs="Times New Roman" w:eastAsia="Times New Roman" w:hAnsi="Times New Roman"/>
          <w:sz w:val="18"/>
          <w:szCs w:val="18"/>
          <w:i w:val="1"/>
          <w:iCs w:val="1"/>
          <w:color w:val="auto"/>
        </w:rPr>
      </w:pPr>
    </w:p>
    <w:p>
      <w:pPr>
        <w:ind w:left="260" w:hanging="252"/>
        <w:spacing w:after="0" w:line="284" w:lineRule="auto"/>
        <w:tabs>
          <w:tab w:leader="none" w:pos="28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pursuant to adoption of ASU No. 2017-07, Improving the Presentation of Net Periodic Pension Cost and Net Periodic Post-retirement Benefit Cost. Refer to Note 21 and Note 27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333"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6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gridSpan w:val="5"/>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56,726</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61,733</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6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(loss)/gain on effective cash flow hedges, net of taxes ($3,888), $5,821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6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$1,734,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3,395</w:t>
            </w:r>
          </w:p>
        </w:tc>
      </w:tr>
      <w:tr>
        <w:trPr>
          <w:trHeight w:val="243"/>
        </w:trPr>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 (loss)/gain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Retirement benefits, net of taxes $44, $164 and ($204),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6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(Gain)/loss on cash flow hedges, net of taxes ($915), ($2,110) and ($1,190),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1"/>
        </w:trPr>
        <w:tc>
          <w:tcPr>
            <w:tcW w:w="6960" w:type="dxa"/>
            <w:vAlign w:val="bottom"/>
            <w:shd w:val="clear" w:color="auto" w:fill="CCEEFF"/>
          </w:tcPr>
          <w:p>
            <w:pPr>
              <w:ind w:left="480"/>
              <w:spacing w:after="0" w:line="262" w:lineRule="exact"/>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70"/>
        </w:trPr>
        <w:tc>
          <w:tcPr>
            <w:tcW w:w="6960" w:type="dxa"/>
            <w:vAlign w:val="bottom"/>
            <w:tcBorders>
              <w:bottom w:val="single" w:sz="8" w:color="CCEEFF"/>
            </w:tcBorders>
          </w:tcPr>
          <w:p>
            <w:pPr>
              <w:ind w:left="480"/>
              <w:spacing w:after="0" w:line="270" w:lineRule="exact"/>
              <w:rPr>
                <w:sz w:val="20"/>
                <w:szCs w:val="20"/>
                <w:color w:val="auto"/>
              </w:rPr>
            </w:pPr>
            <w:r>
              <w:rPr>
                <w:rFonts w:ascii="Times New Roman" w:cs="Times New Roman" w:eastAsia="Times New Roman" w:hAnsi="Times New Roman"/>
                <w:sz w:val="18"/>
                <w:szCs w:val="18"/>
                <w:color w:val="auto"/>
              </w:rPr>
              <w:t>Retirement benefits, net of taxes ($23), $104 and $63, respectively</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6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(37,757)</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18,969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78,235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54,001</w:t>
            </w:r>
          </w:p>
        </w:tc>
      </w:tr>
      <w:tr>
        <w:trPr>
          <w:trHeight w:val="27"/>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540" w:right="20" w:hanging="532"/>
        <w:spacing w:after="0" w:line="283" w:lineRule="auto"/>
        <w:tabs>
          <w:tab w:leader="none" w:pos="540" w:val="left"/>
        </w:tabs>
        <w:numPr>
          <w:ilvl w:val="0"/>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either in cost of revenue or operating expenses, as applicable in the consolidated statements of income. Refer to Note 18 to the consolidated financial statements.</w:t>
      </w:r>
    </w:p>
    <w:p>
      <w:pPr>
        <w:spacing w:after="0" w:line="52" w:lineRule="exact"/>
        <w:rPr>
          <w:rFonts w:ascii="Times New Roman" w:cs="Times New Roman" w:eastAsia="Times New Roman" w:hAnsi="Times New Roman"/>
          <w:sz w:val="16"/>
          <w:szCs w:val="16"/>
          <w:i w:val="1"/>
          <w:iCs w:val="1"/>
          <w:color w:val="auto"/>
        </w:rPr>
      </w:pPr>
    </w:p>
    <w:p>
      <w:pPr>
        <w:ind w:left="540" w:hanging="532"/>
        <w:spacing w:after="0" w:line="283" w:lineRule="auto"/>
        <w:tabs>
          <w:tab w:leader="none" w:pos="540" w:val="left"/>
        </w:tabs>
        <w:numPr>
          <w:ilvl w:val="0"/>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consolidated statements of income. Refer to Note 21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333"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2016</w:t>
      </w:r>
    </w:p>
    <w:p>
      <w:pPr>
        <w:spacing w:after="0" w:line="44" w:lineRule="exact"/>
        <w:rPr>
          <w:sz w:val="20"/>
          <w:szCs w:val="20"/>
          <w:color w:val="auto"/>
        </w:rPr>
      </w:pPr>
    </w:p>
    <w:p>
      <w:pPr>
        <w:ind w:left="40" w:right="740"/>
        <w:spacing w:after="0" w:line="261" w:lineRule="auto"/>
        <w:rPr>
          <w:sz w:val="20"/>
          <w:szCs w:val="20"/>
          <w:color w:val="auto"/>
        </w:rPr>
      </w:pPr>
      <w:r>
        <w:rPr>
          <w:rFonts w:ascii="Times New Roman" w:cs="Times New Roman" w:eastAsia="Times New Roman" w:hAnsi="Times New Roman"/>
          <w:sz w:val="14"/>
          <w:szCs w:val="14"/>
          <w:color w:val="auto"/>
        </w:rPr>
        <w:t>Stock issued, stock-based compensation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ind w:left="40" w:right="160"/>
        <w:spacing w:after="0" w:line="261" w:lineRule="auto"/>
        <w:rPr>
          <w:sz w:val="20"/>
          <w:szCs w:val="20"/>
          <w:color w:val="auto"/>
        </w:rPr>
      </w:pPr>
      <w:r>
        <w:rPr>
          <w:rFonts w:ascii="Times New Roman" w:cs="Times New Roman" w:eastAsia="Times New Roman" w:hAnsi="Times New Roman"/>
          <w:sz w:val="14"/>
          <w:szCs w:val="14"/>
          <w:color w:val="auto"/>
        </w:rPr>
        <w:t>Excess tax benefit from stock based compensation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2016</w:t>
      </w:r>
    </w:p>
    <w:p>
      <w:pPr>
        <w:spacing w:after="0" w:line="111" w:lineRule="exact"/>
        <w:rPr>
          <w:sz w:val="20"/>
          <w:szCs w:val="20"/>
          <w:color w:val="auto"/>
        </w:rPr>
      </w:pPr>
    </w:p>
    <w:p>
      <w:pPr>
        <w:ind w:left="40"/>
        <w:spacing w:after="0" w:line="260" w:lineRule="auto"/>
        <w:rPr>
          <w:sz w:val="20"/>
          <w:szCs w:val="20"/>
          <w:color w:val="auto"/>
        </w:rPr>
      </w:pPr>
      <w:r>
        <w:rPr>
          <w:rFonts w:ascii="Times New Roman" w:cs="Times New Roman" w:eastAsia="Times New Roman" w:hAnsi="Times New Roman"/>
          <w:sz w:val="14"/>
          <w:szCs w:val="14"/>
          <w:color w:val="auto"/>
        </w:rPr>
        <w:t>Impact on adoption of ASU No. 2016-09*</w:t>
      </w: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2017</w:t>
      </w:r>
    </w:p>
    <w:p>
      <w:pPr>
        <w:spacing w:after="0" w:line="111" w:lineRule="exact"/>
        <w:rPr>
          <w:sz w:val="20"/>
          <w:szCs w:val="20"/>
          <w:color w:val="auto"/>
        </w:rPr>
      </w:pPr>
    </w:p>
    <w:p>
      <w:pPr>
        <w:ind w:left="40" w:right="740"/>
        <w:spacing w:after="0" w:line="261" w:lineRule="auto"/>
        <w:rPr>
          <w:sz w:val="20"/>
          <w:szCs w:val="20"/>
          <w:color w:val="auto"/>
        </w:rPr>
      </w:pPr>
      <w:r>
        <w:rPr>
          <w:rFonts w:ascii="Times New Roman" w:cs="Times New Roman" w:eastAsia="Times New Roman" w:hAnsi="Times New Roman"/>
          <w:sz w:val="14"/>
          <w:szCs w:val="14"/>
          <w:color w:val="auto"/>
        </w:rPr>
        <w:t>Stock issued, stock-based compensation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2017</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Impact of adoption of Topic 606**</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2018</w:t>
      </w:r>
    </w:p>
    <w:p>
      <w:pPr>
        <w:spacing w:after="0" w:line="44" w:lineRule="exact"/>
        <w:rPr>
          <w:sz w:val="20"/>
          <w:szCs w:val="20"/>
          <w:color w:val="auto"/>
        </w:rPr>
      </w:pPr>
    </w:p>
    <w:p>
      <w:pPr>
        <w:ind w:left="40" w:right="740"/>
        <w:spacing w:after="0" w:line="261" w:lineRule="auto"/>
        <w:rPr>
          <w:sz w:val="20"/>
          <w:szCs w:val="20"/>
          <w:color w:val="auto"/>
        </w:rPr>
      </w:pPr>
      <w:r>
        <w:rPr>
          <w:rFonts w:ascii="Times New Roman" w:cs="Times New Roman" w:eastAsia="Times New Roman" w:hAnsi="Times New Roman"/>
          <w:sz w:val="14"/>
          <w:szCs w:val="14"/>
          <w:color w:val="auto"/>
        </w:rPr>
        <w:t>Stock issued, stock-based compensation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 issued, business acquisition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109" w:lineRule="exact"/>
        <w:rPr>
          <w:sz w:val="20"/>
          <w:szCs w:val="20"/>
          <w:color w:val="auto"/>
        </w:rPr>
      </w:pPr>
    </w:p>
    <w:p>
      <w:pPr>
        <w:ind w:left="40" w:right="20"/>
        <w:spacing w:after="0" w:line="241" w:lineRule="auto"/>
        <w:rPr>
          <w:sz w:val="20"/>
          <w:szCs w:val="20"/>
          <w:color w:val="auto"/>
        </w:rPr>
      </w:pPr>
      <w:r>
        <w:rPr>
          <w:rFonts w:ascii="Times New Roman" w:cs="Times New Roman" w:eastAsia="Times New Roman" w:hAnsi="Times New Roman"/>
          <w:sz w:val="14"/>
          <w:szCs w:val="14"/>
          <w:color w:val="auto"/>
        </w:rPr>
        <w:t>Allocation of equity component related to the convertible senior notes, net of tax and issuance costs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2018</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gridSpan w:val="5"/>
          </w:tcPr>
          <w:p>
            <w:pPr>
              <w:ind w:left="4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900" w:type="dxa"/>
            <w:vAlign w:val="bottom"/>
            <w:gridSpan w:val="5"/>
          </w:tcPr>
          <w:p>
            <w:pPr>
              <w:ind w:left="44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Non -</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4"/>
                <w:szCs w:val="4"/>
                <w:color w:val="auto"/>
              </w:rPr>
            </w:pPr>
          </w:p>
        </w:tc>
        <w:tc>
          <w:tcPr>
            <w:tcW w:w="800" w:type="dxa"/>
            <w:vAlign w:val="bottom"/>
            <w:gridSpan w:val="2"/>
            <w:vMerge w:val="restart"/>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4"/>
                <w:szCs w:val="4"/>
                <w:color w:val="auto"/>
              </w:rPr>
            </w:pPr>
          </w:p>
        </w:tc>
        <w:tc>
          <w:tcPr>
            <w:tcW w:w="640" w:type="dxa"/>
            <w:vAlign w:val="bottom"/>
            <w:vMerge w:val="restart"/>
          </w:tcPr>
          <w:p>
            <w:pPr>
              <w:jc w:val="right"/>
              <w:ind w:right="168"/>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9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34,781,201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254,052</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320,989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(67,325)</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(1,689,978)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(42,159)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465,771</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918,618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6,499</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19,770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19,770</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4,326</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(18,203)</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(7,732)</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(7,732)</w:t>
            </w:r>
          </w:p>
        </w:tc>
        <w:tc>
          <w:tcPr>
            <w:tcW w:w="0" w:type="dxa"/>
            <w:vAlign w:val="bottom"/>
          </w:tcPr>
          <w:p>
            <w:pPr>
              <w:spacing w:after="0"/>
              <w:rPr>
                <w:sz w:val="1"/>
                <w:szCs w:val="1"/>
                <w:color w:val="auto"/>
              </w:rPr>
            </w:pPr>
          </w:p>
        </w:tc>
      </w:tr>
      <w:tr>
        <w:trPr>
          <w:trHeight w:val="275"/>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61,733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61,733</w:t>
            </w:r>
          </w:p>
        </w:tc>
        <w:tc>
          <w:tcPr>
            <w:tcW w:w="0" w:type="dxa"/>
            <w:vAlign w:val="bottom"/>
          </w:tcPr>
          <w:p>
            <w:pPr>
              <w:spacing w:after="0"/>
              <w:rPr>
                <w:sz w:val="1"/>
                <w:szCs w:val="1"/>
                <w:color w:val="auto"/>
              </w:rPr>
            </w:pPr>
          </w:p>
        </w:tc>
      </w:tr>
      <w:tr>
        <w:trPr>
          <w:trHeight w:val="245"/>
        </w:trPr>
        <w:tc>
          <w:tcPr>
            <w:tcW w:w="9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35,699,819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284,646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382,722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(75,057)</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(2,071,710)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(60,362)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193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532,178</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1,453</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35,699,819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290,645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378,176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(75,057)</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(2,071,710)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(60,362)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533,631</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1,090,932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8,561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23,041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(43,454)</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29,347</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29,347</w:t>
            </w:r>
          </w:p>
        </w:tc>
        <w:tc>
          <w:tcPr>
            <w:tcW w:w="0" w:type="dxa"/>
            <w:vAlign w:val="bottom"/>
          </w:tcPr>
          <w:p>
            <w:pPr>
              <w:spacing w:after="0"/>
              <w:rPr>
                <w:sz w:val="1"/>
                <w:szCs w:val="1"/>
                <w:color w:val="auto"/>
              </w:rPr>
            </w:pPr>
          </w:p>
        </w:tc>
      </w:tr>
      <w:tr>
        <w:trPr>
          <w:trHeight w:val="275"/>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48,888</w:t>
            </w:r>
          </w:p>
        </w:tc>
        <w:tc>
          <w:tcPr>
            <w:tcW w:w="0" w:type="dxa"/>
            <w:vAlign w:val="bottom"/>
          </w:tcPr>
          <w:p>
            <w:pPr>
              <w:spacing w:after="0"/>
              <w:rPr>
                <w:sz w:val="1"/>
                <w:szCs w:val="1"/>
                <w:color w:val="auto"/>
              </w:rPr>
            </w:pPr>
          </w:p>
        </w:tc>
      </w:tr>
      <w:tr>
        <w:trPr>
          <w:trHeight w:val="245"/>
        </w:trPr>
        <w:tc>
          <w:tcPr>
            <w:tcW w:w="9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427,064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(103,816)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600,045</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427,518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(103,816)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600,499</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990,334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69,459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4,080</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23,901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(43,109)</w:t>
            </w:r>
          </w:p>
        </w:tc>
        <w:tc>
          <w:tcPr>
            <w:tcW w:w="0" w:type="dxa"/>
            <w:vAlign w:val="bottom"/>
          </w:tcPr>
          <w:p>
            <w:pPr>
              <w:spacing w:after="0"/>
              <w:rPr>
                <w:sz w:val="1"/>
                <w:szCs w:val="1"/>
                <w:color w:val="auto"/>
              </w:rPr>
            </w:pPr>
          </w:p>
        </w:tc>
      </w:tr>
      <w:tr>
        <w:trPr>
          <w:trHeight w:val="50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12,555</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(37,757)</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(37,757)</w:t>
            </w:r>
          </w:p>
        </w:tc>
        <w:tc>
          <w:tcPr>
            <w:tcW w:w="0" w:type="dxa"/>
            <w:vAlign w:val="bottom"/>
          </w:tcPr>
          <w:p>
            <w:pPr>
              <w:spacing w:after="0"/>
              <w:rPr>
                <w:sz w:val="1"/>
                <w:szCs w:val="1"/>
                <w:color w:val="auto"/>
              </w:rPr>
            </w:pPr>
          </w:p>
        </w:tc>
      </w:tr>
      <w:tr>
        <w:trPr>
          <w:trHeight w:val="275"/>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56,726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56,726</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37,850,544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364,179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484,244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(83,467)</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(3,628,068)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(146,925)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250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618,319</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-5393690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-4999355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-4604385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-4261485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-3918585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-3524250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-3129280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-2786380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-2443480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-2100580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-1757680</wp:posOffset>
            </wp:positionV>
            <wp:extent cx="724662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-1362710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-1019810</wp:posOffset>
            </wp:positionV>
            <wp:extent cx="7246620"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-530860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-187960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260" w:space="40"/>
            <w:col w:w="9120"/>
          </w:cols>
          <w:pgMar w:left="240" w:top="333" w:right="239" w:bottom="1440" w:gutter="0" w:footer="0" w:header="0"/>
          <w:type w:val="continuous"/>
        </w:sectPr>
      </w:pPr>
    </w:p>
    <w:p>
      <w:pPr>
        <w:ind w:right="6160" w:firstLine="8"/>
        <w:spacing w:after="0" w:line="448" w:lineRule="auto"/>
        <w:tabs>
          <w:tab w:leader="none" w:pos="135"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Refer to Note 2(p) to the consolidated financial statements for details. ** Refer to Note 2(d) to the consolidated financial statements for details.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333" w:right="2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340"/>
          </w:cols>
          <w:pgMar w:left="240" w:top="33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-104140</wp:posOffset>
            </wp:positionV>
            <wp:extent cx="71437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Unrealized gain on short 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Unrealized foreign exchange (gain)/loss, net</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Deferred income tax (benefit)/expense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Impairment charges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Change in fair value of earn-out consideration</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Allowance for doubtful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Loss from equity-method investment</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Others,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Change in operating assets and liabilities, net of effects of acquisitions: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Accrued employee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Accrued expenses and other liabilities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Advance income tax,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Other assets</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Purchase of property and equipment</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 in equity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Business acquisition (net of cash acquired)</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Purchase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Proceeds from redemption of investments</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Principal payments on capital lease obligations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Proceeds from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Repayments of borrowings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Proceeds from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Payment of debt issuance costs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71437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Proceeds from exercise of stock options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4872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8"/>
                <w:szCs w:val="8"/>
                <w:b w:val="1"/>
                <w:bCs w:val="1"/>
                <w:color w:val="auto"/>
              </w:rPr>
              <w:t>(1)</w:t>
            </w:r>
          </w:p>
        </w:tc>
      </w:tr>
      <w:tr>
        <w:trPr>
          <w:trHeight w:val="515"/>
        </w:trPr>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56,726</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48,888</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61,733</w:t>
            </w:r>
          </w:p>
        </w:tc>
      </w:tr>
      <w:tr>
        <w:trPr>
          <w:trHeight w:val="540"/>
        </w:trPr>
        <w:tc>
          <w:tcPr>
            <w:tcW w:w="30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34,580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19,770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(3,384)</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540"/>
        </w:trPr>
        <w:tc>
          <w:tcPr>
            <w:tcW w:w="3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(10,046)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(18,062)</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5,726</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5,304</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9,080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437</w:t>
            </w:r>
          </w:p>
        </w:tc>
      </w:tr>
      <w:tr>
        <w:trPr>
          <w:trHeight w:val="275"/>
        </w:trPr>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(6,800)</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4,754</w:t>
            </w:r>
          </w:p>
        </w:tc>
      </w:tr>
      <w:tr>
        <w:trPr>
          <w:trHeight w:val="250"/>
        </w:trPr>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92,435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113,159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102,395</w:t>
            </w:r>
          </w:p>
        </w:tc>
      </w:tr>
      <w:tr>
        <w:trPr>
          <w:trHeight w:val="785"/>
        </w:trPr>
        <w:tc>
          <w:tcPr>
            <w:tcW w:w="3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(40,437)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(25,850)</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(231,829)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(28,666)</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(133,434)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(182,471)</w:t>
            </w:r>
          </w:p>
        </w:tc>
      </w:tr>
      <w:tr>
        <w:trPr>
          <w:trHeight w:val="275"/>
        </w:trPr>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128,208</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241,439</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182,320</w:t>
            </w:r>
          </w:p>
        </w:tc>
      </w:tr>
      <w:tr>
        <w:trPr>
          <w:trHeight w:val="250"/>
        </w:trPr>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(277,492)</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(222,736)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(54,667)</w:t>
            </w:r>
          </w:p>
        </w:tc>
      </w:tr>
      <w:tr>
        <w:trPr>
          <w:trHeight w:val="785"/>
        </w:trPr>
        <w:tc>
          <w:tcPr>
            <w:tcW w:w="3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246,614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60,574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(155,209)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(18,203)</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6,499</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4,326</w:t>
            </w:r>
          </w:p>
        </w:tc>
      </w:tr>
    </w:tbl>
    <w:p>
      <w:pPr>
        <w:spacing w:after="0" w:line="1" w:lineRule="exact"/>
        <w:rPr>
          <w:sz w:val="20"/>
          <w:szCs w:val="20"/>
          <w:color w:val="auto"/>
        </w:rPr>
      </w:pPr>
    </w:p>
    <w:p>
      <w:pPr>
        <w:sectPr>
          <w:pgSz w:w="11900" w:h="16838" w:orient="portrait"/>
          <w:cols w:equalWidth="0" w:num="2">
            <w:col w:w="6700" w:space="720"/>
            <w:col w:w="3920"/>
          </w:cols>
          <w:pgMar w:left="240" w:top="333" w:right="319" w:bottom="0" w:gutter="0" w:footer="0" w:header="0"/>
          <w:type w:val="continuous"/>
        </w:sectPr>
      </w:pPr>
    </w:p>
    <w:tbl>
      <w:tblPr>
        <w:tblLayout w:type="fixed"/>
        <w:tblInd w:w="80" w:type="dxa"/>
        <w:tblCellMar>
          <w:top w:w="0" w:type="dxa"/>
          <w:left w:w="0" w:type="dxa"/>
          <w:bottom w:w="0" w:type="dxa"/>
          <w:right w:w="0" w:type="dxa"/>
        </w:tblCellMar>
      </w:tblPr>
      <w:tr>
        <w:trPr>
          <w:trHeight w:val="260"/>
        </w:trPr>
        <w:tc>
          <w:tcPr>
            <w:tcW w:w="7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by/(used for) financing activities</w:t>
            </w: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197,779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(32,726)</w:t>
            </w:r>
          </w:p>
        </w:tc>
        <w:tc>
          <w:tcPr>
            <w:tcW w:w="0" w:type="dxa"/>
            <w:vAlign w:val="bottom"/>
          </w:tcPr>
          <w:p>
            <w:pPr>
              <w:spacing w:after="0"/>
              <w:rPr>
                <w:sz w:val="1"/>
                <w:szCs w:val="1"/>
                <w:color w:val="auto"/>
              </w:rPr>
            </w:pPr>
          </w:p>
        </w:tc>
      </w:tr>
      <w:tr>
        <w:trPr>
          <w:trHeight w:val="173"/>
        </w:trPr>
        <w:tc>
          <w:tcPr>
            <w:tcW w:w="7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r>
              <w:rPr>
                <w:rFonts w:ascii="Times New Roman" w:cs="Times New Roman" w:eastAsia="Times New Roman" w:hAnsi="Times New Roman"/>
                <w:sz w:val="8"/>
                <w:szCs w:val="8"/>
                <w:b w:val="1"/>
                <w:bCs w:val="1"/>
                <w:color w:val="auto"/>
              </w:rPr>
              <w:t>(1)</w:t>
            </w: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(2,868)</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3,935</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(5,122)</w:t>
            </w:r>
          </w:p>
        </w:tc>
        <w:tc>
          <w:tcPr>
            <w:tcW w:w="0" w:type="dxa"/>
            <w:vAlign w:val="bottom"/>
          </w:tcPr>
          <w:p>
            <w:pPr>
              <w:spacing w:after="0"/>
              <w:rPr>
                <w:sz w:val="1"/>
                <w:szCs w:val="1"/>
                <w:color w:val="auto"/>
              </w:rPr>
            </w:pPr>
          </w:p>
        </w:tc>
      </w:tr>
      <w:tr>
        <w:trPr>
          <w:trHeight w:val="73"/>
        </w:trPr>
        <w:tc>
          <w:tcPr>
            <w:tcW w:w="73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increase/(decrease) in cash, cash equivalents and restricted cash</w:t>
            </w:r>
            <w:r>
              <w:rPr>
                <w:rFonts w:ascii="Times New Roman" w:cs="Times New Roman" w:eastAsia="Times New Roman" w:hAnsi="Times New Roman"/>
                <w:sz w:val="8"/>
                <w:szCs w:val="8"/>
                <w:b w:val="1"/>
                <w:bCs w:val="1"/>
                <w:color w:val="auto"/>
              </w:rPr>
              <w:t>(1)</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9,854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9,880</w:t>
            </w:r>
          </w:p>
        </w:tc>
        <w:tc>
          <w:tcPr>
            <w:tcW w:w="0" w:type="dxa"/>
            <w:vAlign w:val="bottom"/>
          </w:tcPr>
          <w:p>
            <w:pPr>
              <w:spacing w:after="0"/>
              <w:rPr>
                <w:sz w:val="1"/>
                <w:szCs w:val="1"/>
                <w:color w:val="auto"/>
              </w:rPr>
            </w:pPr>
          </w:p>
        </w:tc>
      </w:tr>
      <w:tr>
        <w:trPr>
          <w:trHeight w:val="78"/>
        </w:trPr>
        <w:tc>
          <w:tcPr>
            <w:tcW w:w="73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7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r>
              <w:rPr>
                <w:rFonts w:ascii="Times New Roman" w:cs="Times New Roman" w:eastAsia="Times New Roman" w:hAnsi="Times New Roman"/>
                <w:sz w:val="8"/>
                <w:szCs w:val="8"/>
                <w:b w:val="1"/>
                <w:bCs w:val="1"/>
                <w:color w:val="auto"/>
              </w:rPr>
              <w:t>(1)</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94,277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220,394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210,514</w:t>
            </w:r>
          </w:p>
        </w:tc>
        <w:tc>
          <w:tcPr>
            <w:tcW w:w="0" w:type="dxa"/>
            <w:vAlign w:val="bottom"/>
          </w:tcPr>
          <w:p>
            <w:pPr>
              <w:spacing w:after="0"/>
              <w:rPr>
                <w:sz w:val="1"/>
                <w:szCs w:val="1"/>
                <w:color w:val="auto"/>
              </w:rPr>
            </w:pPr>
          </w:p>
        </w:tc>
      </w:tr>
      <w:tr>
        <w:trPr>
          <w:trHeight w:val="178"/>
        </w:trPr>
        <w:tc>
          <w:tcPr>
            <w:tcW w:w="7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r>
              <w:rPr>
                <w:rFonts w:ascii="Times New Roman" w:cs="Times New Roman" w:eastAsia="Times New Roman" w:hAnsi="Times New Roman"/>
                <w:sz w:val="8"/>
                <w:szCs w:val="8"/>
                <w:b w:val="1"/>
                <w:bCs w:val="1"/>
                <w:color w:val="auto"/>
              </w:rPr>
              <w:t>(1)</w:t>
            </w: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104,131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94,277</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220,394</w:t>
            </w:r>
          </w:p>
        </w:tc>
        <w:tc>
          <w:tcPr>
            <w:tcW w:w="0" w:type="dxa"/>
            <w:vAlign w:val="bottom"/>
          </w:tcPr>
          <w:p>
            <w:pPr>
              <w:spacing w:after="0"/>
              <w:rPr>
                <w:sz w:val="1"/>
                <w:szCs w:val="1"/>
                <w:color w:val="auto"/>
              </w:rPr>
            </w:pPr>
          </w:p>
        </w:tc>
      </w:tr>
      <w:tr>
        <w:trPr>
          <w:trHeight w:val="59"/>
        </w:trPr>
        <w:tc>
          <w:tcPr>
            <w:tcW w:w="734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3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7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common stock issued for business acquisition</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4,080</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interest</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4,725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265"/>
        </w:trPr>
        <w:tc>
          <w:tcPr>
            <w:tcW w:w="7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paid for taxes, net of refund</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18,508</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19,128</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15,667</w:t>
            </w:r>
          </w:p>
        </w:tc>
        <w:tc>
          <w:tcPr>
            <w:tcW w:w="0" w:type="dxa"/>
            <w:vAlign w:val="bottom"/>
          </w:tcPr>
          <w:p>
            <w:pPr>
              <w:spacing w:after="0"/>
              <w:rPr>
                <w:sz w:val="1"/>
                <w:szCs w:val="1"/>
                <w:color w:val="auto"/>
              </w:rPr>
            </w:pPr>
          </w:p>
        </w:tc>
      </w:tr>
      <w:tr>
        <w:trPr>
          <w:trHeight w:val="275"/>
        </w:trPr>
        <w:tc>
          <w:tcPr>
            <w:tcW w:w="7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 acquired under capital lease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bl>
    <w:p>
      <w:pPr>
        <w:sectPr>
          <w:pgSz w:w="11900" w:h="16838" w:orient="portrait"/>
          <w:cols w:equalWidth="0" w:num="1">
            <w:col w:w="11340"/>
          </w:cols>
          <w:pgMar w:left="240" w:top="333" w:right="319" w:bottom="0" w:gutter="0" w:footer="0" w:header="0"/>
          <w:type w:val="continuous"/>
        </w:sectPr>
      </w:pPr>
    </w:p>
    <w:bookmarkStart w:id="76" w:name="page77"/>
    <w:bookmarkEnd w:id="76"/>
    <w:p>
      <w:pPr>
        <w:ind w:left="-8" w:firstLine="8"/>
        <w:spacing w:after="0" w:line="284" w:lineRule="auto"/>
        <w:tabs>
          <w:tab w:leader="none" w:pos="247"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pursuant to adoption of ASU 2016-18, Statements of Cash Flows, Restricted Cash. Refer to Note 8 and Note 27 to the consolidated financial statements.</w:t>
      </w:r>
    </w:p>
    <w:p>
      <w:pPr>
        <w:spacing w:after="0" w:line="158"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52"/>
          </w:cols>
          <w:pgMar w:left="248" w:top="119" w:right="5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 businesses enhance revenue growth and improve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United States of America (“U.S.”) and the United Kingdom (“U.K.”).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United States generally accepted accounting principles (“US GAAP”). The accompanying financial statements have been prepared on a consolidated basis and reflect the financial statements of ExlService Holdings and all of its subsidiaries and includes the Company's share in the results of its associates.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standalone financial statements of subsidiaries are fully consolidated on a line-by-line basis. Intra-group balances and transactions, and income and expenses arising from intra-group transactions, are eliminated while preparing those financial statements.</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consolidated statements of income.</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 is the equity in a subsidiary not attributable, directly or indirectly, to the parent and it represents the minority partner’s interest in the operations of ExlService Colombia S.A.S. Non-controlling interest consists of the amount of such interest at the date of obtaining control over the subsidiary, and the non-controlling interest's share of changes in equity since that date. The non-controlling interests in the operations for the years ended December 31, 2018, 2017 and 2016 were insignificant and is included under general and administrative expenses in the consolidated statements of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Although these estimates are based on management’s best assessment of the current business environment, actual results may be different from those estimates. The significant estimates and assumptions that affect the consolidated financial statements include, but are not limited to, allowance for doubtful receivables, expected recoverability from customers with contingent fee arrangements,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estimated costs to complete fixed price contracts.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333"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Foreign Currency Translation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of the subsidiary at historical exchange rates. All transaction foreign exchange gains and losses are recorded in the accompanying consolidated statements of income.</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Resulting translation adjustments are included in accumulated other comprehensive loss in the consolidated balance sheet.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Revenue Recognition</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recognized when services are provided to our customers, in an amount that reflects the consideration we expect to be entitled to in exchange for our services.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6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Adoption of Financial Accounting Standards Board Accounting Standards Update (“ASU”) No. 2014-09 Topic 606, Revenue from Contracts with Customers (“Topic 606”)</w:t>
      </w:r>
    </w:p>
    <w:p>
      <w:pPr>
        <w:spacing w:after="0" w:line="16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January 1, 2018, the date of initial application, the Company adopted Topic 606 using the modified retrospective method by recognizing the cumulative effect of initially applying Topic 606 as an adjustment to the opening balance of retained earnings, resulting in an increase of $454, primarily due to new contract acquisition costs. The initial application scopes in those contracts which were not completed as of January 1, 2018. Results for reporting periods beginning January 1, 2018 are presented under Topic 606. The prior period consolidated financial statement have not been retrospectively adjusted and continue to be reported under the accounting standards in effect for those periods. The key area impacted upon adoption of Topic 606 relates to the accounting for sales commissions costs. Specifically, under Topic 606 a portion of sales commission costs have been recorded as an asset and recognized as an operating expense on a straight-line basis over the expected period of benefit. Prior to adoption, the Company was expensing sales commission costs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services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 The Company provides BPM or “operations management” services, which typically involve transfer to the Company of business operations of a client, after which it administers and manages those operations for its client on an ongoing basis. The Company also provides industry-specific digital transformational services related to operations management services, and analytics services that focus on driving improved business outcomes for clients by generating data-driven insights across all parts of their business. The Company also provides care optimization and reimbursement optimization services, for its clients through its healthcare analytics solutions and services. The Company offers integrated solutions to help its clients with cost containment by leveraging technology platforms, customizable and configurable analytics and expertise in healthcare reimbursements to help clients enhance their claims payment accuracy.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117"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separate contract is generally drafted for each type of service sold, even if to the same customer. The typical length of a contract is 3 to 5 years for our operations management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 of Contracts</w:t>
      </w:r>
    </w:p>
    <w:p>
      <w:pPr>
        <w:spacing w:after="0" w:line="227" w:lineRule="exact"/>
        <w:rPr>
          <w:sz w:val="20"/>
          <w:szCs w:val="20"/>
          <w:color w:val="auto"/>
        </w:rPr>
      </w:pPr>
    </w:p>
    <w:p>
      <w:pPr>
        <w:ind w:left="1460" w:hanging="1128"/>
        <w:spacing w:after="0" w:line="261" w:lineRule="auto"/>
        <w:tabs>
          <w:tab w:leader="none" w:pos="7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80" w:lineRule="exact"/>
        <w:rPr>
          <w:rFonts w:ascii="Times New Roman" w:cs="Times New Roman" w:eastAsia="Times New Roman" w:hAnsi="Times New Roman"/>
          <w:sz w:val="18"/>
          <w:szCs w:val="18"/>
          <w:color w:val="auto"/>
        </w:rPr>
      </w:pPr>
    </w:p>
    <w:p>
      <w:pPr>
        <w:ind w:left="740" w:hanging="3"/>
        <w:spacing w:after="0" w:line="282" w:lineRule="auto"/>
        <w:tabs>
          <w:tab w:leader="none" w:pos="9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arrangements involving subcontracting, in part or whole of the assigned work, the Company evaluates revenues to be recognized based on guidance on “Principal versus agent considerations” in Topic 606.</w:t>
      </w:r>
    </w:p>
    <w:p>
      <w:pPr>
        <w:spacing w:after="0" w:line="161" w:lineRule="exact"/>
        <w:rPr>
          <w:rFonts w:ascii="Times New Roman" w:cs="Times New Roman" w:eastAsia="Times New Roman" w:hAnsi="Times New Roman"/>
          <w:sz w:val="18"/>
          <w:szCs w:val="18"/>
          <w:color w:val="auto"/>
        </w:rPr>
      </w:pPr>
    </w:p>
    <w:p>
      <w:pPr>
        <w:ind w:left="1140" w:hanging="808"/>
        <w:spacing w:after="0" w:line="258" w:lineRule="auto"/>
        <w:tabs>
          <w:tab w:leader="none" w:pos="7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Company’s fixed-price contracts are recognized using the time-elapsed output method because the Company transfers control evenly during execution of its projects. Determining a measure of progress requires management to make judgments that affect the timing of revenue recognized. The Company regularly monitors its estimates for progress on completion of a project and records changes in the period in which a change in an estimate is determined. If a change in an estimate results in a projected loss on a project, such loss is recognized in the period in which it is identified.</w:t>
      </w:r>
    </w:p>
    <w:p>
      <w:pPr>
        <w:spacing w:after="0" w:line="183" w:lineRule="exact"/>
        <w:rPr>
          <w:rFonts w:ascii="Times New Roman" w:cs="Times New Roman" w:eastAsia="Times New Roman" w:hAnsi="Times New Roman"/>
          <w:sz w:val="18"/>
          <w:szCs w:val="18"/>
          <w:color w:val="auto"/>
        </w:rPr>
      </w:pPr>
    </w:p>
    <w:p>
      <w:pPr>
        <w:ind w:left="1140" w:right="20" w:hanging="808"/>
        <w:spacing w:after="0" w:line="266" w:lineRule="auto"/>
        <w:tabs>
          <w:tab w:leader="none" w:pos="7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Company's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w:t>
      </w:r>
    </w:p>
    <w:p>
      <w:pPr>
        <w:spacing w:after="0" w:line="176" w:lineRule="exact"/>
        <w:rPr>
          <w:rFonts w:ascii="Times New Roman" w:cs="Times New Roman" w:eastAsia="Times New Roman" w:hAnsi="Times New Roman"/>
          <w:sz w:val="18"/>
          <w:szCs w:val="18"/>
          <w:color w:val="auto"/>
        </w:rPr>
      </w:pPr>
    </w:p>
    <w:p>
      <w:pPr>
        <w:ind w:left="1140" w:hanging="808"/>
        <w:spacing w:after="0" w:line="256" w:lineRule="auto"/>
        <w:tabs>
          <w:tab w:leader="none" w:pos="7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reimbursement optimization services having contingent fee arrangements are recognized by the Company at the point in time when a performance obligation is satisfied, which is when it identifies an overpayment claim and the overpaid amount is acknowledged by its customers. In such contracts, the Company’s consideration is contingent upon the actual collections made by its customers and subsequent potential retractions from providers. Based on guidance on “variable consideration” in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changes are identified.</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receivables represent revenues recognized for services rendered between the last billing date and the balance sheet date. Unbilled receivables also include revenues recognized from reimbursement optimization services when the Company identifies an overpayment claim and the same is acknowledged by its customers, however not invoiced at the balance sheet date. Accordingly, amounts for services that the Company has performed and for which an invoice has not yet been issued to the customers are presented as a part of contract assets as accounts receivable.</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recognizes billings in excess of revenues recognized as deferred revenues until revenue recognition criteria as per ASC 606 is met. Client prepayments (even if nonrefundable) are deferred and recognized over future periods as services are delivered or performed. The company also has deferred revenue attributable to certain process transition activities, with respect to its customers where such activities do not represent separate performance obligations. Revenues related to such transition activities are contract liabilities classified under “Deferred Revenue” and “Other Non-current liabilities”, based on their expected recognition, in the Company's consolidated balance sheets and subsequently recognized ratably over the period in which the related services are performed. Costs related to transition activities are contract fulfillment costs, and thereby classified under “Other Current Assets” and “Other Assets” in the consolidated balance sheets, and are recognized ratably over the estimated expected period of benefit, under Cost of Revenues in the consolidated statements of income.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117"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incremental and direct costs incurred for acquiring contracts, such as sales commissions are contract acquisition costs and thereby classified under “Other Current Assets” and “Other Assets” in the consolidated balance sheets. Such costs are amortized over the expected period of benefit and recorded under Selling and marketing expenses in the consolidated statements of income.</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Any upfront payments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Reimbursements of out-of-pocket expenses received from clients are included as part of revenues. Reimbursements of out-of-pocket expenses included in revenues were $20,796, $17,982 and $21,812 for the years ended December 31, 2018, 2017 and 2016,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 At times, the Company enters into fixed price contracts and software licenses involving significant implementation wherein the milestones are defined such that the Company can recover the costs with a reasonable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cost of living adjustments, and pre-payment and volume discounts.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performance obligations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 and Restricted Cash</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Restricted cash represents amounts on deposit with banks against bank guarantees issued through banks in favor of relevant statutory authorities for equipment imports, deposits for obtaining indirect tax registration and for demands against pending income tax assessments (refer Note 8 to the consolidated financial statements for details). These deposits with banks have maturity dates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117"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December 31, 2019. Restricted cash presented under current assets represents funds held on behalf of clients in dedicated bank accounts.</w:t>
      </w:r>
    </w:p>
    <w:p>
      <w:pPr>
        <w:spacing w:after="0" w:line="22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ASU No. 2016-18, </w:t>
      </w:r>
      <w:r>
        <w:rPr>
          <w:rFonts w:ascii="Times New Roman" w:cs="Times New Roman" w:eastAsia="Times New Roman" w:hAnsi="Times New Roman"/>
          <w:sz w:val="18"/>
          <w:szCs w:val="18"/>
          <w:i w:val="1"/>
          <w:iCs w:val="1"/>
          <w:color w:val="auto"/>
        </w:rPr>
        <w:t>Statements of Cash Flows</w:t>
      </w:r>
      <w:r>
        <w:rPr>
          <w:rFonts w:ascii="Times New Roman" w:cs="Times New Roman" w:eastAsia="Times New Roman" w:hAnsi="Times New Roman"/>
          <w:sz w:val="18"/>
          <w:szCs w:val="18"/>
          <w:color w:val="auto"/>
        </w:rPr>
        <w:t xml:space="preserve"> ("Topic 230"),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Pursuant to this adoption, for purposes of the statements of cash flows, the Company includes in its cash and cash-equivalent balances those amounts that have been classified as restricted cash and restricted cash equivalents for each period presented.</w:t>
      </w:r>
    </w:p>
    <w:p>
      <w:pPr>
        <w:spacing w:after="0" w:line="2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Investments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Company's mutual fund investments are in debt and money market funds which invest in instruments of various maturities in India. These investments are accounted for in accordance with the fair value option under Financial Accounting Standard Board 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(“Topic 825”) and change in fair value is included in interest and other income. The fair value is represented by original cost on the acquisition date and the net asset value (“NAV”) as quoted, at each reporting period. Gain or loss on the disposal of these investments is calculated using the weighted average cost of the investments sold or disposed and is included in interest and other income.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Accounts Receivable</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net of allowances for doubtful accounts. Allowances for doubtful accounts are established through the evaluation of the accounts receivable aging and prior collection experience, current market conditions, clients’ financial condition and the amounts of receivables in dispute to ascertain the ultimate collectability of these receivables. As of December 31, 2018 and 2017, the Company had $956 and $2,923, respectively, of allowance for doubtful accounts.</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Accounts receivable include unbilled accounts receivable which represent revenues on contracts to be billed, in subsequent periods, as per the terms of the related contracts. As of December 31, 2018 and 2017, the Company had $63,952 and $49,125, respectively, of unbilled accounts receivable.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Equipment held under capital leases are capitalized at the commencement of the lease at the lower of present value of minimum lease payments at the inception of the leases or its fair value. Advances paid towards acquisition of property and equipment and the cost of property and equipment not yet placed in service before the end of the reporting period are classified as capital work in progress.</w:t>
      </w:r>
    </w:p>
    <w:p>
      <w:pPr>
        <w:spacing w:after="0" w:line="18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117"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related carrying amounts may not be recoverable.</w:t>
      </w:r>
    </w:p>
    <w:p>
      <w:pPr>
        <w:spacing w:after="0" w:line="200" w:lineRule="exact"/>
        <w:rPr>
          <w:sz w:val="20"/>
          <w:szCs w:val="20"/>
          <w:color w:val="auto"/>
        </w:rPr>
      </w:pPr>
    </w:p>
    <w:p>
      <w:pPr>
        <w:spacing w:after="0" w:line="389"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95"/>
        </w:trPr>
        <w:tc>
          <w:tcPr>
            <w:tcW w:w="744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4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7"/>
        </w:trPr>
        <w:tc>
          <w:tcPr>
            <w:tcW w:w="74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Software Development Costs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capitalizes certain costs related to the development or enhancements to existing software products to be sold, </w:t>
      </w:r>
      <w:r>
        <w:rPr>
          <w:rFonts w:ascii="Times New Roman" w:cs="Times New Roman" w:eastAsia="Times New Roman" w:hAnsi="Times New Roman"/>
          <w:sz w:val="16"/>
          <w:szCs w:val="16"/>
          <w:color w:val="auto"/>
        </w:rPr>
        <w:t>leased or otherwise marketed</w:t>
      </w:r>
      <w:r>
        <w:rPr>
          <w:rFonts w:ascii="Times New Roman" w:cs="Times New Roman" w:eastAsia="Times New Roman" w:hAnsi="Times New Roman"/>
          <w:sz w:val="18"/>
          <w:szCs w:val="18"/>
          <w:color w:val="auto"/>
        </w:rPr>
        <w:t xml:space="preserve"> and / or used for internal use. The Company begins to capitalize costs to develop or enhance software when planning stage efforts are successfully completed, management has authorized and committed project funding, and it is probable that the project will be completed and the software will be used as intended. Costs incurred prior to meeting these criteria, together with costs incurred for training and maintenance, are expensed as incurred and recorded within “general and administrative expenses” in the Company’s consolidated statements of income. The Company exercises judgment in determining the point at which various projects may be capitalized, in assessing the ongoing value of the capitalized costs, and in determining the estimated useful lives over which the costs are amortized.</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Annual amortization of internally developed software products is the greater of the amount computed using the ratio that current gross revenues for a product bear to the total of current and anticipated future gross revenues for that product or the straight-line method over the remaining estimated economic life of the software product, generally estimated to be up to 5 years from the date the product became available for use.</w:t>
      </w:r>
    </w:p>
    <w:p>
      <w:pPr>
        <w:spacing w:after="0" w:line="2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Business Combinations, Goodwill and Other Intangible Assets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ASC Topic 805, Business Combinations, requires that the acquisition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Changes in fair value are recognized in earnings. These fair value measurements represent Level 3 measurements as they are based on significant inputs not observable in the market. Under ASC 350 all assets and liabilities of the acquired businesses, including goodwill, are assigned to reporting units. Acquisition related costs are expensed as incurred under general and administrative expenses.</w:t>
      </w:r>
    </w:p>
    <w:p>
      <w:pPr>
        <w:spacing w:after="0" w:line="1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The Company undertakes studies to determine the fair values of assets and liabilities acquired and allocate purchase consideration to assets and liabilities, including property and equipment, goodwill and other identifiable intangibles. The Company examines the carrying value of the goodwill annually in the fourth quarter, or more frequently, as circumstances warrant, to determine whether there are any impairment losses. The Company tests for goodwill impairment at the reporting unit level, as that term is defined in US GAAP. Refer to Note 10 for discussion of the Company's goodwill impairment testing. As stated in Note 2(x), we adopted ASU No. 2017-04, </w:t>
      </w:r>
      <w:r>
        <w:rPr>
          <w:rFonts w:ascii="Times New Roman" w:cs="Times New Roman" w:eastAsia="Times New Roman" w:hAnsi="Times New Roman"/>
          <w:sz w:val="18"/>
          <w:szCs w:val="18"/>
          <w:i w:val="1"/>
          <w:iCs w:val="1"/>
          <w:color w:val="auto"/>
        </w:rPr>
        <w:t xml:space="preserve">Simplifying the Test for Goodwill Impairment, </w:t>
      </w:r>
      <w:r>
        <w:rPr>
          <w:rFonts w:ascii="Times New Roman" w:cs="Times New Roman" w:eastAsia="Times New Roman" w:hAnsi="Times New Roman"/>
          <w:sz w:val="18"/>
          <w:szCs w:val="18"/>
          <w:color w:val="auto"/>
        </w:rPr>
        <w:t>during 2018 in conjunction with our goodwill impairment assessment.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117"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quantitative goodwill impairment test involves a comparison of the fair value of a reporting unit with its carrying amount. The fair value of the reporting unit is measured using the income approach. Under the income approach, fair value is determined based on the present value of estimated future cash flows, discounted at an appropriate risk-adjusted rate. The Company uses its internal forecasts to estimate future cash flows and include an estimate of long-term future growth rates based on its most recent views of the long-term outlook for each business. Actual results may differ from those assumed in our forecasts. Discount rate assumptions are based on an assessment of the risk inherent in the future cash flows of the respective reporting units. The discount rate is mainly based on judgment of the specific risk inherent within each reporting unit. The variables within the discount rate, many of which are outside of the Company’s control, provide the Company’s best estimate of all assumptions applied within the DCF model.</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Determining fair value requires the exercise of significant judgment, including assumptions about appropriate discount rates, perpetual growth rates and the amount and timing of expected future cash flows. There can be no assurance that operations will achieve the future cash flows reflected in the projections. If the carrying amount of the reporting unit exceeds its fair value, an impairment loss shall be recognized, if any, in an amount equal to that excess, limited to the total amount of goodwill allocated to that reporting unit. Goodwill of a reporting unit is tested for impairment annually or more frequently if an event occurs or circumstances change that would more likely than not reduce the fair value of the reporting unit below its carrying amount.</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definite lived intangible assets are amortized over their estimated useful lives as listed below using a straight-line method: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years</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benefits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years</w:t>
            </w:r>
          </w:p>
        </w:tc>
      </w:tr>
      <w:tr>
        <w:trPr>
          <w:trHeight w:val="27"/>
        </w:trPr>
        <w:tc>
          <w:tcPr>
            <w:tcW w:w="466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years</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7"/>
        </w:trPr>
        <w:tc>
          <w:tcPr>
            <w:tcW w:w="466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43"/>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7"/>
        </w:trPr>
        <w:tc>
          <w:tcPr>
            <w:tcW w:w="46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Investment in Equity Affiliate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Investments in equity affiliate are initially recorded at cost and any excess cost over proportionate share of the fair value of the net assets of the investee at the acquisition date is recognized as goodwill. The proportionate share of net income or loss of the investee is recognized in the consolidated statements of income. The Company periodically reviews the carrying value of its investment to determine if there has been any other than temporary decline in carrying value. The investment balance for an investee is increased or decreased for cash contribution and distributions to or from, respectively.</w:t>
      </w:r>
    </w:p>
    <w:p>
      <w:pPr>
        <w:spacing w:after="0" w:line="2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Impairment of Long-lived Assets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In turn, measurement of an impairment loss requires a determination of fair value, which is based on the best information available. The Company derives the required undiscounted cash flow estimates from its historical experience and its internal business plans. To determine fair value, the Company uses its internal cash flow estimates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117"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discounted at an appropriate discount rate and independent appraisals, as appropriate. The impairment amount to be recognized is measured as the amount by which the carrying value of the assets exceeds their fair value. The Company determines fair value by using a discounted cash flow approach.</w:t>
      </w:r>
    </w:p>
    <w:p>
      <w:pPr>
        <w:spacing w:after="0" w:line="293" w:lineRule="exact"/>
        <w:rPr>
          <w:sz w:val="20"/>
          <w:szCs w:val="20"/>
          <w:color w:val="auto"/>
        </w:rPr>
      </w:pPr>
    </w:p>
    <w:p>
      <w:pPr>
        <w:ind w:left="600" w:hanging="592"/>
        <w:spacing w:after="0"/>
        <w:tabs>
          <w:tab w:leader="none" w:pos="60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uses derivative instruments for the purpose of mitigating the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contracts are purchased within the Company’s policy and are with counterparties that are highly rated financial institutions.</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hedges forecasted transactions that are subject to foreign exchange exposure with foreign currency exchange contracts that qualify as cash flow hedges. Changes in the fair value of these cash flow hedges are recorded as a component of accumulated other comprehensive income/(loss), net of tax, until the hedged transactions occurs. The Company early adopted ASU No. 2017-12, </w:t>
      </w:r>
      <w:r>
        <w:rPr>
          <w:rFonts w:ascii="Times New Roman" w:cs="Times New Roman" w:eastAsia="Times New Roman" w:hAnsi="Times New Roman"/>
          <w:sz w:val="18"/>
          <w:szCs w:val="18"/>
          <w:i w:val="1"/>
          <w:iCs w:val="1"/>
          <w:color w:val="auto"/>
        </w:rPr>
        <w:t>Derivative and Hedging</w:t>
      </w:r>
      <w:r>
        <w:rPr>
          <w:rFonts w:ascii="Times New Roman" w:cs="Times New Roman" w:eastAsia="Times New Roman" w:hAnsi="Times New Roman"/>
          <w:sz w:val="18"/>
          <w:szCs w:val="18"/>
          <w:color w:val="auto"/>
        </w:rPr>
        <w:t xml:space="preserve"> ("Topic 815"), Targeted Improvements to Accounting for Hedging Activities. Pursuant to this adoption, effective January 1, 2017, the resultant foreign exchange gain/(loss) upon settlement of cash flow hedges are recorded in the consolidated statements of income along with the underlying hedged item in the same line as either part of “Cost of revenue”, “General and administrative expenses”, “Selling and marketing expenses”, “Depreciation and amortization”, as applicable.</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Prior to January 1, 2017, the resultant foreign exchange gain/(loss) on settlement of cash flow hedges and changes in the fair value of cash flow hedges deemed ineffective have been recorded in “Foreign exchange gain, net” in the consolidated statements of income.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also uses derivatives instruments consisting of foreign currency exchange contracts to economically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Borrowings</w:t>
      </w:r>
    </w:p>
    <w:p>
      <w:pPr>
        <w:spacing w:after="0" w:line="11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convertible notes in accordance with the guidelines established by the ASC 470-20, </w:t>
      </w:r>
      <w:r>
        <w:rPr>
          <w:rFonts w:ascii="Times New Roman" w:cs="Times New Roman" w:eastAsia="Times New Roman" w:hAnsi="Times New Roman"/>
          <w:sz w:val="18"/>
          <w:szCs w:val="18"/>
          <w:i w:val="1"/>
          <w:iCs w:val="1"/>
          <w:color w:val="auto"/>
        </w:rPr>
        <w:t>Debt with Conversion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Company separates the Notes into liability and equity components. The Beneficial Conversion Feature ("BCF") of a convertible note,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component and recorded as additional paid-in capital, is normally characterized as the convertible portion or feature of certain notes payable that provide a rate of conversion that is below market value or in-the-money when issued. The Company records a BCF related to the issuance of a convertible note when issued.</w:t>
      </w:r>
    </w:p>
    <w:p>
      <w:pPr>
        <w:spacing w:after="0" w:line="7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If a convertible note is within the scope of the Cash Conversion Subsections and contains embedded features other than the embedded conversion option, the guidance in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(ASC 815-15), is applied to determine if any of those features must be separately accounted for as a derivative instrument.</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estimated fair value of the liability component at issuance is determined using a discounted cash flow technique, which considers debt issuances with similar features of the Company’s convertible notes, excluding the conversion feature. The excess of the gross proceeds received over the estimated fair value of the liability component is allocated to the BCF, which is credited to additional paid-in-capital, with a corresponding offset recognized as a discount to reduce the net carrying value of the convertible notes. The discount is amortized to interest expense over the expected term of the convertible notes using the effective interest method.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Employee Benefits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117"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method. Prior service cost, if any, resulting from an amendment to a plan is recognized and amortized over the remaining period of service of the covered employees.</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its liabilities for compensated absences depending on whether the obligation is attributable to employee services already rendered, relates to rights that vest or accumulate and payment is probable and estimable.</w:t>
      </w:r>
    </w:p>
    <w:p>
      <w:pPr>
        <w:spacing w:after="0" w:line="5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ASU No. 2017-07,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xml:space="preserve"> ("Topic 715"), </w:t>
      </w:r>
      <w:r>
        <w:rPr>
          <w:rFonts w:ascii="Times New Roman" w:cs="Times New Roman" w:eastAsia="Times New Roman" w:hAnsi="Times New Roman"/>
          <w:sz w:val="18"/>
          <w:szCs w:val="18"/>
          <w:i w:val="1"/>
          <w:iCs w:val="1"/>
          <w:color w:val="auto"/>
        </w:rPr>
        <w:t>Improving the 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Periodic Pension Cost and Net Periodic Post Retirement Benefit Cost. </w:t>
      </w:r>
      <w:r>
        <w:rPr>
          <w:rFonts w:ascii="Times New Roman" w:cs="Times New Roman" w:eastAsia="Times New Roman" w:hAnsi="Times New Roman"/>
          <w:sz w:val="18"/>
          <w:szCs w:val="18"/>
          <w:color w:val="auto"/>
        </w:rPr>
        <w:t>Pursuant to this, the Company retrospectively included only the service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the net periodic benefit cost in the same line item or items on the 2017 and 2016 consolidated statements of income as other compensation costs arising from services rendered by the respective employees during the period. The interest cost, expected return on plan assets and amortization of actuarial gains/loss, have been reclassified from “Cost of revenues”, “General and administrative expenses” and “Selling and marketing expenses” to “Other income, net”. Refer to Note 21 and Note 27 to the consolidated financial statements for details.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Stock-Based Compensation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in the consolidated financial statements for awards of equity instruments to employees and non-employee directors based on the grant-date fair value of those awards. The Company recognizes these compensation costs over the requisite service period of the award. Forfeitures are accounted when the actual forfeitures occur.</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which was adopted by the Company's stockholders on June 15, 2018, which replaces and supersedes the 2015 Amendment and Restatement of the Company’s 2006 Omnibus Award Plan (the “ Prior Plan”) and is effective upon the date approved by the Company’s stockholders, the Company grants performance-based restricted stock units (“PRSUs”) to executive officers and other specified employees. 50% of the PRSUs cliff vest based on a revenue target (“PU”) at the end of a three-year period. The remaining 50% vest based on a market condition (“MUs”) that is contingent on meeting or exceeding the Company's total shareholder return relative to a group of peer companies specified under the program, measured over a three-year performance period. The award recipient may earn up to two hundred percent (200%) of the PRSUs granted based on the actual achievement of both targets.</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each PU was determined based on the market price of one common share of the Company on the day prior to the date of grant, and the associated compensation expense was calculated on the basis that performance targets to receive 100% of the PUs are probable of being achieved. The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 The expense related to the unvested PUs as of December 31, 2018 was based on the Company's assessment of performance criteria for these grants that would most likely be met during the respective years of vesting against the targeted performance level.</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MUs was determined using a Monte Carlo simulation model and the related compensation expense is expensed on a straight-line basis over the vesting period. All compensation expense related to the MUs will be recognized if the requisite performance period is fulfilled, even if the market condition is not achieved.</w:t>
      </w:r>
    </w:p>
    <w:p>
      <w:pPr>
        <w:spacing w:after="0" w:line="6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March 2016, FASB issued ASU No.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Statements of Cash Flows. The amendments are effective for all entities for fiscal years, and interim periods within those fiscal years, beginning after December 15, 2016. The Company adopted this ASU effective January 1, 2017. The following summarizes the effects of the adoption on the Company's consolidated financial statements:</w:t>
      </w:r>
    </w:p>
    <w:p>
      <w:pPr>
        <w:spacing w:after="0" w:line="7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Upon adoption of this standard, all excess tax benefits and tax deficiencies are recognized as income tax expense or benefit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income. The tax effects of exercised or vested awards are treated as discrete items in the reporting period in which they occur. The Company also recognizes excess tax benefits regardless of whether the benefit reduces taxes payable in the current period. As a result, the Company recognized discrete adjustments to income tax expense for the years ended December 31, 2018 and 2017 in the amounts of $7,227 and $9,797, respectively, related to excess tax benefits. No adjustment is recorded for any windfall benefits previously recorded in Additional Paid-In Capital.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117"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 Prior to adoption, stock-based compensation expense was recognized on a straight line basis, net of estimated forfeitures, such that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recognized only for stock-based awards that are expected to vest. A forfeiture rate was estimated annually and revised, if necessary, in subsequent periods if actual forfeitures differed from initial estimates. Upon adoption, the Company will no longer apply a forfeiture rate and instead will account for forfeitures as they occur. The Company has applied the modified retrospective adoption approach as of January 1, 2017 and has recognized a cumulative-effect adjustment to reduce additional paid-in-capital of $5,999 and retained earnings of $4,546 (net of deferred tax effect of $1,453).</w:t>
      </w:r>
    </w:p>
    <w:p>
      <w:pPr>
        <w:spacing w:after="0" w:line="18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The Company historically accounted for excess tax benefits on the statements of cash flows as a financing activity.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this standard, excess tax benefits are classified along with other income tax cash flows as an operating activity. The Company has elected to adopt this portion of the standard on a prospective basis beginning in 2017 and accordingly prior periods have not been adjusted.</w:t>
      </w:r>
    </w:p>
    <w:p>
      <w:pPr>
        <w:spacing w:after="0" w:line="9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Company uses the treasury stock method to compute diluted earnings per share, unless the effect would be anti-dilutive.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excluded the excess tax benefits from the assumed proceeds available to repurchase shares in the computation of diluted earnings per share. Effective January 1, 2018, the Company adopted ASU No. 2017-09, </w:t>
      </w:r>
      <w:r>
        <w:rPr>
          <w:rFonts w:ascii="Times New Roman" w:cs="Times New Roman" w:eastAsia="Times New Roman" w:hAnsi="Times New Roman"/>
          <w:sz w:val="18"/>
          <w:szCs w:val="18"/>
          <w:i w:val="1"/>
          <w:iCs w:val="1"/>
          <w:color w:val="auto"/>
        </w:rPr>
        <w:t>Scope of Modification Accounting</w:t>
      </w:r>
      <w:r>
        <w:rPr>
          <w:rFonts w:ascii="Times New Roman" w:cs="Times New Roman" w:eastAsia="Times New Roman" w:hAnsi="Times New Roman"/>
          <w:sz w:val="18"/>
          <w:szCs w:val="18"/>
          <w:color w:val="auto"/>
        </w:rPr>
        <w:t>. Pursuant to this, the Company applied modification accounting upon changes to the terms or conditions of share-based payment awards. Modification accounting is required only if the fair value, the vesting conditions, or the classification of the award changes as a result of the change in terms or conditions. The adoption does not have any material effect on the Company’s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Income Taxes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Financial Instruments and Concentration of Credit Risk</w:t>
      </w:r>
    </w:p>
    <w:p>
      <w:pPr>
        <w:spacing w:after="0" w:line="11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For certain financial instruments, including cash and cash equivalents, short-term investments, accounts receivable,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accrued expenses, and other current liabilities, recorded amounts approximate fair value due to the relatively short maturity periods of such instruments.</w:t>
      </w:r>
    </w:p>
    <w:p>
      <w:pPr>
        <w:spacing w:after="0" w:line="17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Financial instruments that potentially subject the Company to concentrations of credit risk consist principally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time deposits, mutual fund investments,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To mitigate this risk the Company evaluates the creditworthiness of its clients in conjunction with its revenue recognition processes as well as through its ongoing collectability assessment processes for accounts receivable. The Company does not enter into or trade financial instruments, including derivative financial instruments, for speculative purposes.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117"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Lease Obligations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Leases under which the Company assumes substantially all risks and rewards of the ownership are classified as capital lease. When acquired, such assets are capitalized at fair value or present value of minimum committed lease payments at the inception of the lease, whichever is lower.</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leases its office facilities under non-cancellable operating lease agreements. Office facilities subject to an operating lease and the related lease payments are not recorded on the Company’s balance sheet. Lease payments under operating lease are recognized as an expense on a straight line basis in the consolidated statements of income over the lease term.</w:t>
      </w:r>
    </w:p>
    <w:p>
      <w:pPr>
        <w:spacing w:after="0" w:line="2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Government Grants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Government grants related to income are recognized as a reduction of expenses in the consolidated statements of income when there is a reasonable assurance that the entity will comply with the conditions attached to the grant and that the grants will be received.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Earnings per share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For the purposes of calculating diluted earnings per share, the treasury stock method is used for stock-based awards except where the results would be anti-dilutive.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Commitments and contingencies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of the assessment and/or remediation can be reasonably estimated. Legal costs incurred in connection with such liabilities are expensed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Recent Accounting Pronouncements</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requires the identification of arrangements that should be accounted for as leases. In general, lease arrangements exceeding a twelve month term should be recognized as assets with corresponding liabilities on the balance sheet of the lessee. Most prominent among the changes in the ASU is the recognition of right-of-use (“ROU”) assets and lease liabilities by lessees for those leases classified as operating leases under current U.S. GAAP, while accounting for finance leases remains substantially unchanged. Under the ASU, disclosures are required to meet the objective of enabling users of financial statements to assess the amount, timing, and uncertainty of cash flows arising from leases. We will be required to recognize and measure leases existing at, or entered into after, the beginning of the earliest comparative period presented using a modified retrospective approach, with certain practical expedients available. The ASU will have a material impact on our consolidated balance sheets, but will not have a material impact on our consolidated statements of income and consolidated statements of cash flows. The new guidance is effective for fiscal years beginning after December 15, 2018, including interim periods within those fiscal years.</w:t>
      </w:r>
    </w:p>
    <w:p>
      <w:pPr>
        <w:spacing w:after="0" w:line="18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July 2018, FASB issued ASU No.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provide entities with an additional (and optional) transition method to adopt the new leasing standard. Under this new transition method, an entity initially applies the new leasing standard at the adoption date and recognizes a cumulative-effect adjustment to the opening balance of retained earnings in the period of adoption. Consequently, an entity’s reporting for the comparative periods presented in the financial statements in which it adopts the new leasing standard will continue to be in accordance with current GAAP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is availing the relief provided in the ASU by changing the date of initial application to the beginning of the period of adoption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elected not to recast its comparative periods presented in the financial statements in which it adopts the new leasing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117"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standard and will continue to be in accordance with current GAAP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new guidance is effective for fiscal years beginning after December 15, 2018, including interim periods within those fiscal years.</w:t>
      </w:r>
    </w:p>
    <w:p>
      <w:pPr>
        <w:spacing w:after="0" w:line="16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Adoption of the ASU will result in the recognition of additional ROU assets and lease liabilities for operating leases of approximately $81,000 and $90,000, respectively as of January 1, 2019.</w:t>
      </w:r>
    </w:p>
    <w:p>
      <w:pPr>
        <w:spacing w:after="0" w:line="16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June 2016, FASB issued ASU No.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requires a financial asset (or a group of financial assets) measured at amortized cost basis to be presented at the net amount expected to be collected. The allowance for credit losses is a valuation account that is to be deducted from the amortized cost of the financial asset(s) so as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Company is currently evaluating the impact that the adoption of this guidance will have on its consolidated financial statements.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June 2018, FASB issued ASU No. 2018-07,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 Improvements to Non-employee Share-Based Payment Accounting. This ASU involves several aspects of the accounting for non-employee share-based payment transactions resulting from expanding the scope of Topic 718, Compensation-Stock Compensation, to include share-based payment transactions for acquiring goods and services from non-employees. The amendments in this ASU affect all entities that enter into share-based payment transactions for acquiring goods and services from non-employees. This ASU is effective for public business entities for fiscal years beginning after December 15, 2018, including interim periods within that fiscal year. Early adoption is permitted, but no earlier than an entity’s adoption date of Topic 606. The adoption of this ASU is not expected to have any material effect on the Company’s consolidated financial statements.</w:t>
      </w:r>
    </w:p>
    <w:p>
      <w:pPr>
        <w:spacing w:after="0" w:line="183"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2018, FASB issued ASU No.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Changes to the Disclosure Requirements for Fair Value Measurement. The amendments in this ASU modify the disclosure requirements on fair value measurements in Topic 820, based on the concepts in the Concepts Statement, including the consideration of costs and benefits. The amendments in this ASU are effective for fiscal years beginning after December 15, 2019, including interim periods within those fiscal years. An entity is permitted to early adopt either the entire standard or only the provisions that eliminate or modify requirements. The adoption of this ASU is not expected to have any material effect on the Company’s consolidated financial statements.</w:t>
      </w:r>
    </w:p>
    <w:p>
      <w:pPr>
        <w:spacing w:after="0" w:line="18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2018, FASB issued ASU No. 2018-14, </w:t>
      </w:r>
      <w:r>
        <w:rPr>
          <w:rFonts w:ascii="Times New Roman" w:cs="Times New Roman" w:eastAsia="Times New Roman" w:hAnsi="Times New Roman"/>
          <w:sz w:val="18"/>
          <w:szCs w:val="18"/>
          <w:i w:val="1"/>
          <w:iCs w:val="1"/>
          <w:color w:val="auto"/>
        </w:rPr>
        <w:t>Compensation-Retirement Benefits-Defined Benefit Plans-General</w:t>
      </w:r>
      <w:r>
        <w:rPr>
          <w:rFonts w:ascii="Times New Roman" w:cs="Times New Roman" w:eastAsia="Times New Roman" w:hAnsi="Times New Roman"/>
          <w:sz w:val="18"/>
          <w:szCs w:val="18"/>
          <w:color w:val="auto"/>
        </w:rPr>
        <w:t xml:space="preserve"> ("Subtopic 715-20"): Changes to the Disclosure Requirements for Defined Benefit Plans. The amendments in this Update remove disclosures that no longer are considered cost beneficial, clarify the specific requirements of disclosures, and add disclosure requirements identified as relevant. The amendments in this ASU are effective for fiscal years beginning after December 15, 2020. An entity is permitted to early adopt this Update. The adoption of this ASU is not expected to have any material effect on the Company’s consolidated financial statements.</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August 2018, FASB issued ASU No. 2018-15,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("ASC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ASC Subtopic 350-40 on internal-use software to determine which implementation costs to capitalize as an asset related to the service contract and which costs to expense. The ASU No. 2018-15 also provides guidance on amortization and impairment of any costs capitalized, along with new presentation and disclosure requirements. The new guidance is effective for fiscal years beginning after December 15, 2019. Early adoption is permitted and both prospective and retrospective transition methods are allowed. The Company is currently evaluating the impact that the adoption of this guidance will have on its consolidated financial statements.</w:t>
      </w:r>
    </w:p>
    <w:p>
      <w:pPr>
        <w:spacing w:after="0" w:line="18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October 2018, FASB issued ASU No. 2018-17,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 </w:t>
      </w:r>
      <w:r>
        <w:rPr>
          <w:rFonts w:ascii="Times New Roman" w:cs="Times New Roman" w:eastAsia="Times New Roman" w:hAnsi="Times New Roman"/>
          <w:sz w:val="18"/>
          <w:szCs w:val="18"/>
          <w:i w:val="1"/>
          <w:iCs w:val="1"/>
          <w:color w:val="auto"/>
        </w:rPr>
        <w:t>Targeted Improvements to Related Party Guidance for 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This ASU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1F497D"/>
        </w:rPr>
        <w:t>i</w:t>
      </w:r>
      <w:r>
        <w:rPr>
          <w:rFonts w:ascii="Times New Roman" w:cs="Times New Roman" w:eastAsia="Times New Roman" w:hAnsi="Times New Roman"/>
          <w:sz w:val="18"/>
          <w:szCs w:val="18"/>
          <w:color w:val="auto"/>
        </w:rPr>
        <w:t>ndirect interests held through related parties in common control arrangements should be considered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proportional basis for determining whether fees paid to decision makers and service providers are variable interests. Accordingly, </w:t>
      </w:r>
      <w:r>
        <w:rPr>
          <w:rFonts w:ascii="Times New Roman" w:cs="Times New Roman" w:eastAsia="Times New Roman" w:hAnsi="Times New Roman"/>
          <w:sz w:val="18"/>
          <w:szCs w:val="18"/>
          <w:color w:val="1F497D"/>
        </w:rPr>
        <w:t>t</w:t>
      </w:r>
      <w:r>
        <w:rPr>
          <w:rFonts w:ascii="Times New Roman" w:cs="Times New Roman" w:eastAsia="Times New Roman" w:hAnsi="Times New Roman"/>
          <w:sz w:val="18"/>
          <w:szCs w:val="18"/>
          <w:color w:val="auto"/>
        </w:rPr>
        <w:t>he amendments in this ASU for determining whether a decision-making fee is a variable interest require reporting entities to consider indirect interests held through related parties under common control on a proportional basis rather than as the equivalent of a direct interest in its entirety (as currently required in GAAP).The new</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117"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guidance is effective for fiscal years beginning after December 15, 2019. Early adoption is permitted and the amendment should be applied through a retrospective approach. The Company is currently evaluating the impact that the adoption of this guidance will have on its consolidated financial statements.</w:t>
      </w:r>
    </w:p>
    <w:p>
      <w:pPr>
        <w:spacing w:after="0" w:line="13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9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May 2014, FASB issued ASU No. 2014-09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supersedes the revenue recognition requirements in ASC No.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("Topic 605"), and requires entities to recognize revenue when control of the promised goods or services is transferred to customers at an amount that reflects the consideration to which the entity expects to be entitled to in exchange for those goods or services. The Company adopted Topic 606 as of January 1, 2018 using the modified retrospective transition method. Refer to Note 5 to the consolidated financial statements for details.</w:t>
      </w:r>
    </w:p>
    <w:p>
      <w:pPr>
        <w:spacing w:after="0" w:line="18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August 2016, FASB issued ASU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The amendments apply to all entities that are required to present a statements of cash flows under Topic 230. The amendments are an improvement to US GAAP because they provide guidance for each of the eight issues, thereby reducing the current and potential future diversity in practice. The amendments are effective for fiscal years beginning after December 15, 2017 and interim periods within those annual periods and should be applied using a retrospective transition method to each period presented. The Company has adopted the guidance retrospectively to each period presented. The adoption does not have any material effect on the presentation of its consolidated statements of cash flows.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FASB issued ASU No. 2016-18, </w:t>
      </w:r>
      <w:r>
        <w:rPr>
          <w:rFonts w:ascii="Times New Roman" w:cs="Times New Roman" w:eastAsia="Times New Roman" w:hAnsi="Times New Roman"/>
          <w:sz w:val="18"/>
          <w:szCs w:val="18"/>
          <w:i w:val="1"/>
          <w:iCs w:val="1"/>
          <w:color w:val="auto"/>
        </w:rPr>
        <w:t>Statements of cash flows</w:t>
      </w:r>
      <w:r>
        <w:rPr>
          <w:rFonts w:ascii="Times New Roman" w:cs="Times New Roman" w:eastAsia="Times New Roman" w:hAnsi="Times New Roman"/>
          <w:sz w:val="18"/>
          <w:szCs w:val="18"/>
          <w:color w:val="auto"/>
        </w:rPr>
        <w:t xml:space="preserve"> ("Topic 230") - Restricted cash. The amendments apply to all entities that have restricted cash or restricted cash equivalents and are required to present a statement of cash flows under Topic 230. The amendments in this update require that a statements of cash flows should explain the change during the period in the total of cash, cash equivalents, and amounts generally described as restricted cash or restricted cash equivalents. The amendments are effective for fiscal years beginning after December 15, 2017 and interim periods within those annual periods and should be applied using a retrospective transition method to each period presented. Early adoption is permitted with an adjustment reflected as of the beginning of the fiscal year in which the amendment is adopted. The Company has adopted the guidance retrospectively to each period presented. Refer to Note 8 and Note 27 to the consolidated financial statements for details.</w:t>
      </w:r>
    </w:p>
    <w:p>
      <w:pPr>
        <w:spacing w:after="0" w:line="18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FASB issued ASU No. 2017-04,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("Topic 350") - Simplifying the Test for Goodwill Impairment, which eliminates Step 2 from the goodwill impairment test. A goodwill impairment will now be the amount by which a reporting unit's carrying value exceeds its fair value, however, the loss recognized should not exceed the total amount of goodwill allocated to that reporting unit. The ASU is effective for annual and interim periods in fiscal years beginning after December 15, 2019. Early adoption is permitted for interim or annual goodwill impairment tests performed after January 1, 2017 and should be applied prospectively. Effective January 1, 2018, the Company has adopted the guidance prospectively. The adoption does not have any material effect on its consolidated financial statements.</w:t>
      </w:r>
    </w:p>
    <w:p>
      <w:pPr>
        <w:spacing w:after="0" w:line="18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March, 2017, FASB issued ASU No.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The ASU amends ASC No. 715,</w:t>
      </w:r>
      <w:r>
        <w:rPr>
          <w:rFonts w:ascii="Times New Roman" w:cs="Times New Roman" w:eastAsia="Times New Roman" w:hAnsi="Times New Roman"/>
          <w:sz w:val="18"/>
          <w:szCs w:val="18"/>
          <w:i w:val="1"/>
          <w:iCs w:val="1"/>
          <w:color w:val="auto"/>
        </w:rPr>
        <w:t xml:space="preserve"> Compensation - Retirement Benefits</w:t>
      </w:r>
      <w:r>
        <w:rPr>
          <w:rFonts w:ascii="Times New Roman" w:cs="Times New Roman" w:eastAsia="Times New Roman" w:hAnsi="Times New Roman"/>
          <w:sz w:val="18"/>
          <w:szCs w:val="18"/>
          <w:color w:val="auto"/>
        </w:rPr>
        <w:t>, to require employers that present a measure of operating income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to include only the service cost component of net periodic pension cost and net periodic post-retirement benefit cost in operating expenses (together with other employee compensation costs). The other components of net benefit cost, including amortization of prior service cost/credit, and settlement and curtailment effects, are to be included in non-operating expenses. The update also stipulates that only the service cost component of net benefit cost is eligible for capitalization. The amendments are effective for fiscal years beginning after December 15, 2017 and interim periods within those annual periods and should be applied using a retrospective transition method to each period presented. The Company has adopted the guidance retrospectively to each period presented. Refer to Note 21 and Note 27 to the consolidated financial statements for details.</w:t>
      </w:r>
    </w:p>
    <w:p>
      <w:pPr>
        <w:spacing w:after="0" w:line="18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May 2017, FASB issued ASU No. 2017-09,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w:t>
      </w:r>
      <w:r>
        <w:rPr>
          <w:rFonts w:ascii="Times New Roman" w:cs="Times New Roman" w:eastAsia="Times New Roman" w:hAnsi="Times New Roman"/>
          <w:sz w:val="18"/>
          <w:szCs w:val="18"/>
          <w:i w:val="1"/>
          <w:iCs w:val="1"/>
          <w:color w:val="auto"/>
        </w:rPr>
        <w:t>Scope of Modification Accounting</w:t>
      </w:r>
      <w:r>
        <w:rPr>
          <w:rFonts w:ascii="Times New Roman" w:cs="Times New Roman" w:eastAsia="Times New Roman" w:hAnsi="Times New Roman"/>
          <w:sz w:val="18"/>
          <w:szCs w:val="18"/>
          <w:color w:val="auto"/>
        </w:rPr>
        <w:t>. This ASU provides guidance on the types of changes to the terms or conditions of share-based payment awards to which an entity would be required to apply modification accounting. Modification accounting is required only if the fair value, the vesting conditions, or the classification of the award changes as a result of the change in terms or conditions. The amendments in this ASU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amendments in this ASU should be applied prospectively to</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117"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award modified on or after the adoption date. The Company has adopted the guidance effective January 1, 2018. The adoption does not have any material effect on its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five of which are industry-focused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the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Analytics, which provides services that focus on driving improved business outcomes for clients by generating data-driven insights across all parts of their business.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 (“TT&amp;L”)</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(“F&amp;A”)</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hanging="327"/>
        <w:spacing w:after="0" w:line="261"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the Company's remaining operating segments which are the Banking and Financial Services, Utilities and Consulting operating segments).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July 2018 acquisition of SCIOinspire Holdings Inc. (“SCIO”) is included in the Analytics reportable segment. The December 2017 acquisition of substantially all of the assets, and assumption of certain liabilities related thereto, of Health Integrated, Inc. (“Health Integrated”) is included in the Healthcare reportable segment.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117"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Revenues and cost of revenues for each of the years ended December 31, 2018, 2017 and 2016,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172085</wp:posOffset>
            </wp:positionV>
            <wp:extent cx="5574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258,144</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84,391</w:t>
            </w:r>
          </w:p>
        </w:tc>
        <w:tc>
          <w:tcPr>
            <w:tcW w:w="12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70,237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97,941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285,290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883,112</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174,921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66,768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41,066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59,155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58,341</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184,604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584,855</w:t>
            </w:r>
          </w:p>
        </w:tc>
      </w:tr>
      <w:tr>
        <w:trPr>
          <w:trHeight w:val="304"/>
        </w:trPr>
        <w:tc>
          <w:tcPr>
            <w:tcW w:w="2640" w:type="dxa"/>
            <w:vAlign w:val="bottom"/>
            <w:tcBorders>
              <w:bottom w:val="single" w:sz="8" w:color="CCEEFF"/>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83,223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17,623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29,171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38,786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28,768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100,686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298,257</w:t>
            </w:r>
          </w:p>
        </w:tc>
      </w:tr>
      <w:tr>
        <w:trPr>
          <w:trHeight w:val="231"/>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248,436</w:t>
            </w: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gain, interest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 and other income, net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10,549</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3,397</w:t>
            </w: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equity-method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56,726</w:t>
            </w: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8"/>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17"/>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Year ended December 31, 2017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70,951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86,527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83,082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209,943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762,310</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(1)(2)(3)</w:t>
            </w:r>
          </w:p>
        </w:tc>
        <w:tc>
          <w:tcPr>
            <w:tcW w:w="2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159,433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41,337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51,362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56,638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136,960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495,142</w:t>
            </w:r>
          </w:p>
        </w:tc>
      </w:tr>
      <w:tr>
        <w:trPr>
          <w:trHeight w:val="304"/>
        </w:trPr>
        <w:tc>
          <w:tcPr>
            <w:tcW w:w="26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(1)(2)(3)</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29,614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35,165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72,983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267,168</w:t>
            </w:r>
          </w:p>
        </w:tc>
      </w:tr>
      <w:tr>
        <w:trPr>
          <w:trHeight w:val="251"/>
        </w:trPr>
        <w:tc>
          <w:tcPr>
            <w:tcW w:w="2640" w:type="dxa"/>
            <w:vAlign w:val="bottom"/>
            <w:tcBorders>
              <w:top w:val="single" w:sz="8" w:color="CCEEFF"/>
            </w:tcBorders>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5"/>
                <w:szCs w:val="25"/>
                <w:color w:val="auto"/>
                <w:vertAlign w:val="superscript"/>
              </w:rPr>
              <w:t>(2)(3)</w:t>
            </w:r>
          </w:p>
        </w:tc>
        <w:tc>
          <w:tcPr>
            <w:tcW w:w="2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194,443</w:t>
            </w: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gain,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and other income,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1"/>
        </w:trPr>
        <w:tc>
          <w:tcPr>
            <w:tcW w:w="2640" w:type="dxa"/>
            <w:vAlign w:val="bottom"/>
          </w:tcPr>
          <w:p>
            <w:pPr>
              <w:ind w:left="40"/>
              <w:spacing w:after="0" w:line="261" w:lineRule="exact"/>
              <w:rPr>
                <w:sz w:val="20"/>
                <w:szCs w:val="20"/>
                <w:color w:val="auto"/>
              </w:rPr>
            </w:pPr>
            <w:r>
              <w:rPr>
                <w:rFonts w:ascii="Times New Roman" w:cs="Times New Roman" w:eastAsia="Times New Roman" w:hAnsi="Times New Roman"/>
                <w:sz w:val="30"/>
                <w:szCs w:val="30"/>
                <w:color w:val="auto"/>
                <w:vertAlign w:val="subscript"/>
              </w:rPr>
              <w:t>net</w:t>
            </w:r>
            <w:r>
              <w:rPr>
                <w:rFonts w:ascii="Times New Roman" w:cs="Times New Roman" w:eastAsia="Times New Roman" w:hAnsi="Times New Roman"/>
                <w:sz w:val="12"/>
                <w:szCs w:val="12"/>
                <w:color w:val="auto"/>
              </w:rPr>
              <w:t>(2)(3)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12,309</w:t>
            </w: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36,146</w:t>
            </w: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48,888</w:t>
            </w: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8"/>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17"/>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 December 31, 2016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206,327</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68,656</w:t>
            </w:r>
          </w:p>
        </w:tc>
        <w:tc>
          <w:tcPr>
            <w:tcW w:w="12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69,366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79,416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165,734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685,988</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(1)(3)</w:t>
            </w:r>
          </w:p>
        </w:tc>
        <w:tc>
          <w:tcPr>
            <w:tcW w:w="2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146,151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44,060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41,923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48,258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61,019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106,307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447,718</w:t>
            </w:r>
          </w:p>
        </w:tc>
      </w:tr>
      <w:tr>
        <w:trPr>
          <w:trHeight w:val="304"/>
        </w:trPr>
        <w:tc>
          <w:tcPr>
            <w:tcW w:w="2640" w:type="dxa"/>
            <w:vAlign w:val="bottom"/>
            <w:tcBorders>
              <w:bottom w:val="single" w:sz="8" w:color="CCEEFF"/>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60,176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24,596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27,443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31,158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35,470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59,427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238,270</w:t>
            </w:r>
          </w:p>
        </w:tc>
      </w:tr>
      <w:tr>
        <w:trPr>
          <w:trHeight w:val="251"/>
        </w:trPr>
        <w:tc>
          <w:tcPr>
            <w:tcW w:w="2640" w:type="dxa"/>
            <w:vAlign w:val="bottom"/>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173,775</w:t>
            </w: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gain, interest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1"/>
        </w:trPr>
        <w:tc>
          <w:tcPr>
            <w:tcW w:w="264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expense and other income, net</w:t>
            </w:r>
            <w:r>
              <w:rPr>
                <w:rFonts w:ascii="Times New Roman" w:cs="Times New Roman" w:eastAsia="Times New Roman" w:hAnsi="Times New Roman"/>
                <w:sz w:val="25"/>
                <w:szCs w:val="25"/>
                <w:color w:val="auto"/>
                <w:vertAlign w:val="superscript"/>
              </w:rPr>
              <w:t>(3)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19,389</w:t>
            </w: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22,151</w:t>
            </w: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61,733</w:t>
            </w: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Exclusive of depreciation and amortization.</w:t>
      </w:r>
    </w:p>
    <w:p>
      <w:pPr>
        <w:spacing w:after="0" w:line="98" w:lineRule="exact"/>
        <w:rPr>
          <w:rFonts w:ascii="Times New Roman" w:cs="Times New Roman" w:eastAsia="Times New Roman" w:hAnsi="Times New Roman"/>
          <w:sz w:val="24"/>
          <w:szCs w:val="24"/>
          <w:color w:val="auto"/>
          <w:vertAlign w:val="superscript"/>
        </w:rPr>
      </w:pPr>
    </w:p>
    <w:p>
      <w:pPr>
        <w:jc w:val="both"/>
        <w:ind w:left="180" w:hanging="172"/>
        <w:spacing w:after="0" w:line="230" w:lineRule="auto"/>
        <w:tabs>
          <w:tab w:leader="none" w:pos="21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 xml:space="preserve">The Company early adopted ASU No. 2017-12, </w:t>
      </w:r>
      <w:r>
        <w:rPr>
          <w:rFonts w:ascii="Times New Roman" w:cs="Times New Roman" w:eastAsia="Times New Roman" w:hAnsi="Times New Roman"/>
          <w:sz w:val="18"/>
          <w:szCs w:val="18"/>
          <w:i w:val="1"/>
          <w:iCs w:val="1"/>
          <w:color w:val="auto"/>
        </w:rPr>
        <w:t>Derivative and Hedging</w:t>
      </w:r>
      <w:r>
        <w:rPr>
          <w:rFonts w:ascii="Times New Roman" w:cs="Times New Roman" w:eastAsia="Times New Roman" w:hAnsi="Times New Roman"/>
          <w:sz w:val="18"/>
          <w:szCs w:val="18"/>
          <w:color w:val="auto"/>
        </w:rPr>
        <w:t xml:space="preserve"> ("Topic 815"), </w:t>
      </w:r>
      <w:r>
        <w:rPr>
          <w:rFonts w:ascii="Times New Roman" w:cs="Times New Roman" w:eastAsia="Times New Roman" w:hAnsi="Times New Roman"/>
          <w:sz w:val="18"/>
          <w:szCs w:val="18"/>
          <w:i w:val="1"/>
          <w:iCs w:val="1"/>
          <w:color w:val="auto"/>
        </w:rPr>
        <w:t>Targeted Improvements to Accounting for Hedging Activities</w:t>
      </w:r>
      <w:r>
        <w:rPr>
          <w:rFonts w:ascii="Times New Roman" w:cs="Times New Roman" w:eastAsia="Times New Roman" w:hAnsi="Times New Roman"/>
          <w:sz w:val="18"/>
          <w:szCs w:val="18"/>
          <w:color w:val="auto"/>
        </w:rPr>
        <w:t>. Pursuant to this adoption, effective January 1, 2017, the resultant foreign exchange gain/(loss) upon settlement of cash flow hedges are recorded along with the underlying hedged item in the same line as either part of “Cost of revenues”, “General and administrative expenses”, “Selling and marketing expenses”, and "Depreciation and amortization”, as applicable. Refer to Note 18 to the consolidated financial statements for details.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117"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0" w:lineRule="exact"/>
        <w:rPr>
          <w:sz w:val="20"/>
          <w:szCs w:val="20"/>
          <w:color w:val="auto"/>
        </w:rPr>
      </w:pPr>
    </w:p>
    <w:p>
      <w:pPr>
        <w:jc w:val="both"/>
        <w:ind w:firstLine="413"/>
        <w:spacing w:after="0" w:line="257" w:lineRule="auto"/>
        <w:tabs>
          <w:tab w:leader="none" w:pos="59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Effective January 1, 2018, the Company adopted ASU No. 2017-07, </w:t>
      </w:r>
      <w:r>
        <w:rPr>
          <w:rFonts w:ascii="Times New Roman" w:cs="Times New Roman" w:eastAsia="Times New Roman" w:hAnsi="Times New Roman"/>
          <w:sz w:val="17"/>
          <w:szCs w:val="17"/>
          <w:i w:val="1"/>
          <w:iCs w:val="1"/>
          <w:color w:val="auto"/>
        </w:rPr>
        <w:t>Improving the Presentation of Net Periodic Pension Cost and Net Periodic Post-retirement Benefit Cost</w:t>
      </w:r>
      <w:r>
        <w:rPr>
          <w:rFonts w:ascii="Times New Roman" w:cs="Times New Roman" w:eastAsia="Times New Roman" w:hAnsi="Times New Roman"/>
          <w:sz w:val="17"/>
          <w:szCs w:val="17"/>
          <w:color w:val="auto"/>
        </w:rPr>
        <w:t>. Pursuant to this, the Company retrospectively included only the service cost component of the net periodic benefit cost in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line item or items on the 2017 and 2016 consolidated statements of income as other compensation costs arising from services rendered by the respective employees during the period. The interest cost, expected return on plan assets and amortization of actuarial (gain)/loss, have been reclassified from “Cost of revenues”, “General and administrative expenses” and “Selling and marketing expenses” to “Other income, net”. Refer to Note 21 and Note 27 to the consolidated financial statements for details.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net of the Company by service type, were as follows:</w:t>
      </w:r>
    </w:p>
    <w:p>
      <w:pPr>
        <w:spacing w:after="0" w:line="295"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BPM and related services</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597,822</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552,367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520,254</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 services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209,943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165,734</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883,112</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762,310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685,988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13"/>
        <w:spacing w:after="0" w:line="218" w:lineRule="auto"/>
        <w:tabs>
          <w:tab w:leader="none" w:pos="615"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BPM and related services include revenues of the Company's five industry-focused operating segments, one capability operating segment and the consulting operating segment, which provides services related to operations management services. Refer to segment disclosure above.</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174"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gridSpan w:val="8"/>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732,589</w:t>
            </w: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626,336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554,945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108,640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109,905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54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Non-United States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150,523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135,974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131,043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883,112</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762,310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685,988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by geographic area, were as follows:</w:t>
            </w: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8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60" w:type="dxa"/>
            <w:vAlign w:val="bottom"/>
          </w:tcPr>
          <w:p>
            <w:pPr>
              <w:spacing w:after="0"/>
              <w:rPr>
                <w:sz w:val="20"/>
                <w:szCs w:val="20"/>
                <w:color w:val="auto"/>
              </w:rPr>
            </w:pPr>
          </w:p>
        </w:tc>
        <w:tc>
          <w:tcPr>
            <w:tcW w:w="1500" w:type="dxa"/>
            <w:vAlign w:val="bottom"/>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7"/>
              </w:rPr>
              <w:t>December 31,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5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 w:type="dxa"/>
            <w:vAlign w:val="bottom"/>
            <w:tcBorders>
              <w:right w:val="single" w:sz="8" w:color="CCEEFF"/>
            </w:tcBorders>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right w:val="single" w:sz="8" w:color="CCEEFF"/>
            </w:tcBorders>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 w:type="dxa"/>
            <w:vAlign w:val="bottom"/>
            <w:tcBorders>
              <w:right w:val="single" w:sz="8" w:color="CCEEFF"/>
            </w:tcBorders>
          </w:tcPr>
          <w:p>
            <w:pPr>
              <w:spacing w:after="0"/>
              <w:rPr>
                <w:sz w:val="22"/>
                <w:szCs w:val="22"/>
                <w:color w:val="auto"/>
              </w:rPr>
            </w:pPr>
          </w:p>
        </w:tc>
        <w:tc>
          <w:tcPr>
            <w:tcW w:w="5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117"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Quarterly Financial Data (Unaudited)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quarterly results for the years ended December 31, 2018 and 2017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2018</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3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20"/>
                <w:szCs w:val="20"/>
                <w:color w:val="auto"/>
              </w:rPr>
            </w:pPr>
          </w:p>
        </w:tc>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 net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206,973</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210,112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231,124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234,903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883,112</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68,872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70,463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78,967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298,257</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23,158</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56,726</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0.67</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number of shares used in computing</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per share: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34,446,265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34,511,777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34,458,520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34,388,025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34,451,008</w:t>
            </w:r>
          </w:p>
        </w:tc>
      </w:tr>
      <w:tr>
        <w:trPr>
          <w:trHeight w:val="237"/>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35,302,926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35,142,388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35,207,991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34,921,388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35,030,984</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5,074</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23,901</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20,377</w:t>
            </w:r>
          </w:p>
        </w:tc>
      </w:tr>
      <w:tr>
        <w:trPr>
          <w:trHeight w:val="480"/>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2017</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3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20"/>
                <w:szCs w:val="20"/>
                <w:color w:val="auto"/>
              </w:rPr>
            </w:pPr>
          </w:p>
        </w:tc>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 net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183,033</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189,057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192,345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197,875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762,310</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(1)(2)(3)</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63,961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65,323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69,268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267,168</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income/(loss)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16,788</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48,888</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1"/>
                <w:szCs w:val="21"/>
                <w:color w:val="auto"/>
                <w:vertAlign w:val="superscript"/>
              </w:rPr>
              <w:t>(4)</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14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r>
      <w:tr>
        <w:trPr>
          <w:trHeight w:val="270"/>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(4)</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0.48</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number of shares used in computing</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per share: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33,845,560</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33,819,320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33,838,374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34,086,711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33,897,916</w:t>
            </w:r>
          </w:p>
        </w:tc>
      </w:tr>
      <w:tr>
        <w:trPr>
          <w:trHeight w:val="270"/>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(4)</w:t>
            </w:r>
          </w:p>
        </w:tc>
        <w:tc>
          <w:tcPr>
            <w:tcW w:w="2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35,108,882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34,993,226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35,043,987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34,086,711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35,110,210</w:t>
            </w:r>
          </w:p>
        </w:tc>
      </w:tr>
      <w:tr>
        <w:trPr>
          <w:trHeight w:val="270"/>
        </w:trPr>
        <w:tc>
          <w:tcPr>
            <w:tcW w:w="4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5,956</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23,041</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13,975</w:t>
            </w:r>
          </w:p>
        </w:tc>
      </w:tr>
      <w:tr>
        <w:trPr>
          <w:trHeight w:val="33"/>
        </w:trPr>
        <w:tc>
          <w:tcPr>
            <w:tcW w:w="4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Exclusive of depreciation and amortization.</w:t>
      </w:r>
    </w:p>
    <w:p>
      <w:pPr>
        <w:spacing w:after="0" w:line="142" w:lineRule="exact"/>
        <w:rPr>
          <w:rFonts w:ascii="Times New Roman" w:cs="Times New Roman" w:eastAsia="Times New Roman" w:hAnsi="Times New Roman"/>
          <w:sz w:val="13"/>
          <w:szCs w:val="13"/>
          <w:color w:val="auto"/>
        </w:rPr>
      </w:pPr>
    </w:p>
    <w:p>
      <w:pPr>
        <w:jc w:val="both"/>
        <w:ind w:left="180" w:hanging="172"/>
        <w:spacing w:after="0" w:line="221" w:lineRule="auto"/>
        <w:tabs>
          <w:tab w:leader="none" w:pos="25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 xml:space="preserve">During the quarter ended December 31, 2017, the Company early adopted ASU No. 2017-12, </w:t>
      </w:r>
      <w:r>
        <w:rPr>
          <w:rFonts w:ascii="Times New Roman" w:cs="Times New Roman" w:eastAsia="Times New Roman" w:hAnsi="Times New Roman"/>
          <w:sz w:val="18"/>
          <w:szCs w:val="18"/>
          <w:i w:val="1"/>
          <w:iCs w:val="1"/>
          <w:color w:val="auto"/>
        </w:rPr>
        <w:t>Derivative and Hedging</w:t>
      </w:r>
      <w:r>
        <w:rPr>
          <w:rFonts w:ascii="Times New Roman" w:cs="Times New Roman" w:eastAsia="Times New Roman" w:hAnsi="Times New Roman"/>
          <w:sz w:val="18"/>
          <w:szCs w:val="18"/>
          <w:color w:val="auto"/>
        </w:rPr>
        <w:t xml:space="preserve"> ("Topic 815"), </w:t>
      </w:r>
      <w:r>
        <w:rPr>
          <w:rFonts w:ascii="Times New Roman" w:cs="Times New Roman" w:eastAsia="Times New Roman" w:hAnsi="Times New Roman"/>
          <w:sz w:val="18"/>
          <w:szCs w:val="18"/>
          <w:i w:val="1"/>
          <w:iCs w:val="1"/>
          <w:color w:val="auto"/>
        </w:rPr>
        <w:t>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Accounting for Hedging Activities</w:t>
      </w:r>
      <w:r>
        <w:rPr>
          <w:rFonts w:ascii="Times New Roman" w:cs="Times New Roman" w:eastAsia="Times New Roman" w:hAnsi="Times New Roman"/>
          <w:sz w:val="18"/>
          <w:szCs w:val="18"/>
          <w:color w:val="auto"/>
        </w:rPr>
        <w:t>. Pursuant to this adoption effective January 1, 2017, the Company recorded settlement gain/(loss)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 hedges in cost of revenues and operating expenses, as applicable, in the consolidated statements of income for each of the quarters of 2017. Refer Note 18 for further details.</w:t>
      </w:r>
    </w:p>
    <w:p>
      <w:pPr>
        <w:spacing w:after="0" w:line="115" w:lineRule="exact"/>
        <w:rPr>
          <w:rFonts w:ascii="Times New Roman" w:cs="Times New Roman" w:eastAsia="Times New Roman" w:hAnsi="Times New Roman"/>
          <w:sz w:val="13"/>
          <w:szCs w:val="13"/>
          <w:color w:val="auto"/>
        </w:rPr>
      </w:pPr>
    </w:p>
    <w:p>
      <w:pPr>
        <w:jc w:val="both"/>
        <w:ind w:left="180" w:hanging="172"/>
        <w:spacing w:after="0" w:line="217" w:lineRule="auto"/>
        <w:tabs>
          <w:tab w:leader="none" w:pos="22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 xml:space="preserve">Effective January 1, 2018, the Company adopted ASU No.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 Cost</w:t>
      </w:r>
      <w:r>
        <w:rPr>
          <w:rFonts w:ascii="Times New Roman" w:cs="Times New Roman" w:eastAsia="Times New Roman" w:hAnsi="Times New Roman"/>
          <w:sz w:val="18"/>
          <w:szCs w:val="18"/>
          <w:color w:val="auto"/>
        </w:rPr>
        <w:t>. Pursuant to this, the Company retrospectively included only the service cost component of the net periodic benefit cost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item or items on the 2017 and 2016 consolidated statements of income as other compensation costs arising from services rendered by the respective employees during the period. The interest cost, expected return on plan assets and amortization of actuarial gains/loss, have been reclassified from “Cost of revenues”, “General and administrative expenses” and “Selling and marketing expenses” to “Other income, net”.</w:t>
      </w:r>
    </w:p>
    <w:p>
      <w:pPr>
        <w:spacing w:after="0" w:line="119" w:lineRule="exact"/>
        <w:rPr>
          <w:rFonts w:ascii="Times New Roman" w:cs="Times New Roman" w:eastAsia="Times New Roman" w:hAnsi="Times New Roman"/>
          <w:sz w:val="13"/>
          <w:szCs w:val="13"/>
          <w:color w:val="auto"/>
        </w:rPr>
      </w:pPr>
    </w:p>
    <w:p>
      <w:pPr>
        <w:jc w:val="both"/>
        <w:ind w:left="260" w:right="20" w:hanging="252"/>
        <w:spacing w:after="0" w:line="226" w:lineRule="auto"/>
        <w:tabs>
          <w:tab w:leader="none" w:pos="21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Total of quarterly basic and diluted earnings per share and weighted average number of shares used in computing earnings per share will not be equal to year end basic and diluted earnings per share and weighted average number of shares used in computing earnings per share, respectively. For the quarter ended December 31, 2017, nil weighted average common shares were considered anti-dilutive and not included in computing diluted earnings per share.</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1420"/>
          </w:cols>
          <w:pgMar w:left="240" w:top="117" w:right="239" w:bottom="1440" w:gutter="0" w:footer="0" w:header="0"/>
          <w:type w:val="continuous"/>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Revenues, net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ASU No. 2014-09 Topic 606, “Revenue from Contracts with Customers”</w:t>
      </w:r>
    </w:p>
    <w:p>
      <w:pPr>
        <w:spacing w:after="0" w:line="1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January 1, 2018, the Company adopted Topic 606 using the modified retrospective method and applied its guidance to those contracts which were not completed as of January 1, 2018. Results for reporting periods beginning after January 1, 2018 are presented under Topic 606, while prior period amounts are not adjusted and continue to be reported in accordance with our historical accounting under Topic 605. The Company recorded a net addition to opening retained earnings of $454 as of January 1, 2018 due to the cumulative impact of adopting Topic 606, primarily due to contract acquisition costs.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adoption of Topic 606 did not have a significant impact on the measurement or recognition of revenues during year ended December 31, 2018.</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Note 3 to the consolidated financial statements for revenues disaggregated by reportable segments and geography.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187"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80" w:type="dxa"/>
            <w:vAlign w:val="bottom"/>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60"/>
        </w:trPr>
        <w:tc>
          <w:tcPr>
            <w:tcW w:w="6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135,705</w:t>
            </w: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2,643</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(advance payments portion)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9,311</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Consideration received from customer for transitions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1,601</w:t>
            </w:r>
          </w:p>
        </w:tc>
      </w:tr>
      <w:tr>
        <w:trPr>
          <w:trHeight w:val="27"/>
        </w:trPr>
        <w:tc>
          <w:tcPr>
            <w:tcW w:w="6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Accounts receivable includes $63,952 and $49,125 as of December 31, 2018 and December 31, 2017, respectively, representing amounts not billed to customers. The Company has accrued the unbilled receivables for work performed in accordance with the terms of contracts with customers and considers no significant performance risk associated with its unbilled receivables.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assets represents upfront payments made to customers.</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Contract liabilities represents that portion of deferred revenue for which payments have been received in advance from customers including revenues attributable to certain process transition activities for which costs have been capitalized by the Company as contract fulfillment costs. The contract liabilities are included within deferred revenues in the consolidated balance sheet and are recognized as revenue as (or when) the performance obligation is fulfilled under the contract.</w:t>
      </w:r>
    </w:p>
    <w:p>
      <w:pPr>
        <w:spacing w:after="0" w:line="72" w:lineRule="exact"/>
        <w:rPr>
          <w:sz w:val="20"/>
          <w:szCs w:val="20"/>
          <w:color w:val="auto"/>
        </w:rPr>
      </w:pPr>
    </w:p>
    <w:p>
      <w:pPr>
        <w:ind w:right="440" w:firstLine="405"/>
        <w:spacing w:after="0" w:line="399" w:lineRule="auto"/>
        <w:rPr>
          <w:sz w:val="20"/>
          <w:szCs w:val="20"/>
          <w:color w:val="auto"/>
        </w:rPr>
      </w:pPr>
      <w:r>
        <w:rPr>
          <w:rFonts w:ascii="Times New Roman" w:cs="Times New Roman" w:eastAsia="Times New Roman" w:hAnsi="Times New Roman"/>
          <w:sz w:val="18"/>
          <w:szCs w:val="18"/>
          <w:color w:val="auto"/>
        </w:rPr>
        <w:t xml:space="preserve">Revenue recognized from the carrying value of contract liabilities as of December 31, 2017 during the year ended December 31, 2018 was $9,147. </w:t>
      </w:r>
      <w:r>
        <w:rPr>
          <w:rFonts w:ascii="Times New Roman" w:cs="Times New Roman" w:eastAsia="Times New Roman" w:hAnsi="Times New Roman"/>
          <w:sz w:val="18"/>
          <w:szCs w:val="18"/>
          <w:u w:val="single" w:color="auto"/>
          <w:color w:val="auto"/>
        </w:rPr>
        <w:t>Contract acquisition costs</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had contract acquisition costs of $713 as of December 31, 2018. As of January 1, 2018, the Company capitalized $454 as contract acquisition costs related to contracts that were not completed. Further, the Company capitalized an additional $567 during the year ended December 31, 2018, and amortized $308 during the year ended December 31, 2018. There was no impairment loss in relation to costs capitalized. The capitalized costs are being amortized on a straight-line basis over the life of contract.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117"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fulfillment costs</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had deferred contract fulfillment costs relating to transition activities of $4,051 and $2,769 as of December 31, 2018 and December 31, 2017, respectively. The Company capitalized an additional $2,216 during the year ended December 31, 2018, and amortized $934 during the year ended December 31, 2018. There was no impairment loss in relation to costs capitalized. The capitalized costs are being amortized on a straight line basis over the life of contract.</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Consideration received from customers, if any, relating to such transition activities are classified under Contract Liabilities and are recognized ratably over the period in which the related performance obligations are fulfilled.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Income,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18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41" w:lineRule="exact"/>
        <w:rPr>
          <w:sz w:val="20"/>
          <w:szCs w:val="20"/>
          <w:color w:val="auto"/>
        </w:rPr>
      </w:pPr>
    </w:p>
    <w:tbl>
      <w:tblPr>
        <w:tblLayout w:type="fixed"/>
        <w:tblInd w:w="420" w:type="dxa"/>
        <w:tblCellMar>
          <w:top w:w="0" w:type="dxa"/>
          <w:left w:w="0" w:type="dxa"/>
          <w:bottom w:w="0" w:type="dxa"/>
          <w:right w:w="0" w:type="dxa"/>
        </w:tblCellMar>
      </w:tblPr>
      <w:tr>
        <w:trPr>
          <w:trHeight w:val="284"/>
        </w:trPr>
        <w:tc>
          <w:tcPr>
            <w:tcW w:w="624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1,673</w:t>
            </w: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8,087</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consideration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4,060</w:t>
            </w: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1,315</w:t>
            </w: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12,989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15,135</w:t>
            </w:r>
          </w:p>
        </w:tc>
      </w:tr>
      <w:tr>
        <w:trPr>
          <w:trHeight w:val="20"/>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ASU No.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 Cost</w:t>
      </w:r>
      <w:r>
        <w:rPr>
          <w:rFonts w:ascii="Times New Roman" w:cs="Times New Roman" w:eastAsia="Times New Roman" w:hAnsi="Times New Roman"/>
          <w:sz w:val="18"/>
          <w:szCs w:val="18"/>
          <w:color w:val="auto"/>
        </w:rPr>
        <w:t>. Pursuant to this, the Company retrospectively included only the service cost component of the net periodic benefit cost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item or items on the 2017 and 2016 consolidated statements of income as other compensation costs arising from services rendered by the respective employees during the period. The interest cost, expected return on plan assets and amortization of actuarial (gain)/loss, have been reclassified from “Cost of revenues”, “General and administrative expenses” and “Selling and marketing expenses” to “Other income, net”. Refer to Note 21 and Note 27 to the consolidated financial statements for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Stock options, restricted stock and restricted stock units that are anti-dilutive are excluded from the computation of weighted average shares outstanding.</w:t>
      </w:r>
    </w:p>
    <w:p>
      <w:pPr>
        <w:spacing w:after="0" w:line="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56,726</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48,888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61,733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34,451,008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33,897,916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33,566,367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effect of share based awards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579,976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1,212,294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996,952</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35,030,984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35,110,210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34,563,319</w:t>
            </w: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r>
      <w:tr>
        <w:trPr>
          <w:trHeight w:val="225"/>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potentially dilutive shares considered anti-dilutive and not included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computing diluted earnings per share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92,538</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1420"/>
          </w:cols>
          <w:pgMar w:left="240" w:top="117" w:right="2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Cash, Cash Equivalents and Restricted Cash</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purpose of statements of cash flows, cash, cash equivalents and restricted cash comprise of the following:</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264"/>
        </w:trPr>
        <w:tc>
          <w:tcPr>
            <w:tcW w:w="4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22"/>
                <w:szCs w:val="22"/>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80" w:type="dxa"/>
            <w:vAlign w:val="bottom"/>
          </w:tcPr>
          <w:p>
            <w:pPr>
              <w:spacing w:after="0"/>
              <w:rPr>
                <w:sz w:val="22"/>
                <w:szCs w:val="22"/>
                <w:color w:val="auto"/>
              </w:rPr>
            </w:pP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213,155</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(current)</w:t>
            </w:r>
          </w:p>
        </w:tc>
        <w:tc>
          <w:tcPr>
            <w:tcW w:w="2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3,846</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3,393</w:t>
            </w:r>
          </w:p>
        </w:tc>
      </w:tr>
      <w:tr>
        <w:trPr>
          <w:trHeight w:val="237"/>
        </w:trPr>
        <w:tc>
          <w:tcPr>
            <w:tcW w:w="42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104,131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220,394</w:t>
            </w:r>
          </w:p>
        </w:tc>
      </w:tr>
      <w:tr>
        <w:trPr>
          <w:trHeight w:val="27"/>
        </w:trPr>
        <w:tc>
          <w:tcPr>
            <w:tcW w:w="4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ASU 2016-18, </w:t>
      </w:r>
      <w:r>
        <w:rPr>
          <w:rFonts w:ascii="Times New Roman" w:cs="Times New Roman" w:eastAsia="Times New Roman" w:hAnsi="Times New Roman"/>
          <w:sz w:val="18"/>
          <w:szCs w:val="18"/>
          <w:i w:val="1"/>
          <w:iCs w:val="1"/>
          <w:color w:val="auto"/>
        </w:rPr>
        <w:t>Statements of Cash Flows (Topic 230), Restricted Cash</w:t>
      </w:r>
      <w:r>
        <w:rPr>
          <w:rFonts w:ascii="Times New Roman" w:cs="Times New Roman" w:eastAsia="Times New Roman" w:hAnsi="Times New Roman"/>
          <w:sz w:val="18"/>
          <w:szCs w:val="18"/>
          <w:color w:val="auto"/>
        </w:rPr>
        <w:t>. Accordingly, for 2017 and 2016, restricted cash and restricted cash equivalents is included with cash and cash equivalents when reconciling the beginning-of-period and end-of-period total amounts shown in the consolidated statements of cash flows. Refer to Note 27 to the consolidated financial statements.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95"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3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00" w:type="dxa"/>
            <w:vAlign w:val="bottom"/>
          </w:tcPr>
          <w:p>
            <w:pPr>
              <w:spacing w:after="0"/>
              <w:rPr>
                <w:sz w:val="18"/>
                <w:szCs w:val="18"/>
                <w:color w:val="auto"/>
              </w:rPr>
            </w:pP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77,587</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Software</w:t>
            </w:r>
          </w:p>
        </w:tc>
        <w:tc>
          <w:tcPr>
            <w:tcW w:w="16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59,325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38,857</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19,667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Motor vehicles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Buildings</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Land</w:t>
            </w:r>
          </w:p>
        </w:tc>
        <w:tc>
          <w:tcPr>
            <w:tcW w:w="172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work in progress</w:t>
            </w:r>
          </w:p>
        </w:tc>
        <w:tc>
          <w:tcPr>
            <w:tcW w:w="17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9,184</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207,318</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(141,059)</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66,259</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 under capital leases: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Motor vehicles</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73,510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66,757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Capital work in progress represents advances paid towards acquisition of property and equipment and cost incurred to develop software not yet ready to be placed in service.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117"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consolidated statements of income was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22,707</w:t>
            </w:r>
          </w:p>
        </w:tc>
      </w:tr>
      <w:tr>
        <w:trPr>
          <w:trHeight w:val="20"/>
        </w:trPr>
        <w:tc>
          <w:tcPr>
            <w:tcW w:w="4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Effective January 1, 2017, the depreciation and amortization expenses set forth above includes the effect of foreign exchange gain/(loss) upon settlement of cash flow hedges, amounting to $153 and $435 for the years ended December 31, 2018 and 2017, respectively (refer Note 18 to the consolidated financial statements for further details).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Internally developed software costs, included under Software, was as follows:</w:t>
      </w:r>
    </w:p>
    <w:p>
      <w:pPr>
        <w:spacing w:after="0" w:line="241"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00" w:type="dxa"/>
            <w:vAlign w:val="bottom"/>
          </w:tcPr>
          <w:p>
            <w:pPr>
              <w:spacing w:after="0"/>
              <w:rPr>
                <w:sz w:val="20"/>
                <w:szCs w:val="20"/>
                <w:color w:val="auto"/>
              </w:rPr>
            </w:pPr>
          </w:p>
        </w:tc>
        <w:tc>
          <w:tcPr>
            <w:tcW w:w="1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year ended December 31, 2018, there were no changes in estimated useful lives of property and equipment.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consolidated statements of income was as follows:</w:t>
      </w:r>
    </w:p>
    <w:p>
      <w:pPr>
        <w:spacing w:after="0" w:line="241"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4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336</w:t>
            </w:r>
          </w:p>
        </w:tc>
      </w:tr>
      <w:tr>
        <w:trPr>
          <w:trHeight w:val="20"/>
        </w:trPr>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6880" w:firstLine="8"/>
        <w:spacing w:after="0" w:line="440" w:lineRule="auto"/>
        <w:tabs>
          <w:tab w:leader="none" w:pos="27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Goodwill and Intangible Assets SCIOinspire Holdings Inc.</w:t>
      </w:r>
    </w:p>
    <w:p>
      <w:pPr>
        <w:spacing w:after="0" w:line="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July 1, 2018, the Company, through its wholly owned subsidiary ExlService.com, LLC (“Buyer”) and Buyer’s wholly owned subsidiary, ExlService Cayman Merger Sub, completed the acquisition of SCIO pursuant to an Agreement of Merger dated April 28, 2018 (the "Merger Agreement"). ExlService Cayman Merger Sub, merged with and into SCIO, with SCIO surviving the merger as a wholly-owned subsidiary of the Buyer.</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SCIO is a health analytics solution and services company serving healthcare organizations including providers, health plans, pharmacy benefit managers, employers, health services and global life sciences companies. The acquisition is expected to significantly strengthen the Company’s capability in the high growth cost optimization and care optimization markets. The acquisition of SCIO is included in the Analytics reportable segment.</w:t>
      </w:r>
    </w:p>
    <w:p>
      <w:pPr>
        <w:spacing w:after="0" w:line="6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aggregate purchase consideration was $245,044, including cash and cash equivalents acquired and post-closing adjustments. The aggregate base purchase consideration payable at closing of the merger was $236,500 based on completion of diligence, which was adjusted based on, among other things, SCIO’s cash, debt, working capital position and other adjustments as of the Closing as set forth in the Merger Agreement. To finance the acquisition at Closing, the Company utilized its revolving credit facility in the amount of $233,000, issued 69,459 shares of restricted common stock of the Company in the amount of $4,080 and paid the balance with available cash on hand.</w:t>
      </w:r>
    </w:p>
    <w:p>
      <w:pPr>
        <w:spacing w:after="0" w:line="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Company’s business combinations accounting policy, the total purchase consideration for SCIO was allocated to identifiable net tangible and intangible assets based upon their preliminary fair values. The excess of the estimated purchase consideration over fair value of identifiable net tangible and intangible assets was recorded as goodwill. In order to allocate the consideration transferred for SCIO, the fair values of all identifiable assets and liabilities must be established. For accounting and financial reporting purposes, fair value is defined under ASC No. 820, </w:t>
      </w:r>
      <w:r>
        <w:rPr>
          <w:rFonts w:ascii="Times New Roman" w:cs="Times New Roman" w:eastAsia="Times New Roman" w:hAnsi="Times New Roman"/>
          <w:sz w:val="18"/>
          <w:szCs w:val="18"/>
          <w:i w:val="1"/>
          <w:iCs w:val="1"/>
          <w:color w:val="auto"/>
        </w:rPr>
        <w:t>Fair Value Measurement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as the price that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117"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7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preliminary purchase price allocation to net tangible and intangible assets of SCIO is as follows: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78"/>
        </w:trPr>
        <w:tc>
          <w:tcPr>
            <w:tcW w:w="140" w:type="dxa"/>
            <w:vAlign w:val="bottom"/>
          </w:tcPr>
          <w:p>
            <w:pPr>
              <w:spacing w:after="0"/>
              <w:rPr>
                <w:sz w:val="24"/>
                <w:szCs w:val="24"/>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9,842</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2,790</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19,924</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9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47,800</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r>
      <w:tr>
        <w:trPr>
          <w:trHeight w:val="243"/>
        </w:trPr>
        <w:tc>
          <w:tcPr>
            <w:tcW w:w="140" w:type="dxa"/>
            <w:vAlign w:val="bottom"/>
          </w:tcPr>
          <w:p>
            <w:pPr>
              <w:spacing w:after="0"/>
              <w:rPr>
                <w:sz w:val="21"/>
                <w:szCs w:val="21"/>
                <w:color w:val="auto"/>
              </w:rPr>
            </w:pPr>
          </w:p>
        </w:tc>
        <w:tc>
          <w:tcPr>
            <w:tcW w:w="9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7"/>
        </w:trPr>
        <w:tc>
          <w:tcPr>
            <w:tcW w:w="140" w:type="dxa"/>
            <w:vAlign w:val="bottom"/>
          </w:tcPr>
          <w:p>
            <w:pPr>
              <w:spacing w:after="0"/>
              <w:rPr>
                <w:sz w:val="2"/>
                <w:szCs w:val="2"/>
                <w:color w:val="auto"/>
              </w:rPr>
            </w:pPr>
          </w:p>
        </w:tc>
        <w:tc>
          <w:tcPr>
            <w:tcW w:w="9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111,107</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7"/>
        </w:trPr>
        <w:tc>
          <w:tcPr>
            <w:tcW w:w="14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140" w:type="dxa"/>
            <w:vAlign w:val="bottom"/>
          </w:tcPr>
          <w:p>
            <w:pPr>
              <w:spacing w:after="0"/>
              <w:rPr>
                <w:sz w:val="24"/>
                <w:szCs w:val="24"/>
                <w:color w:val="auto"/>
              </w:rPr>
            </w:pPr>
          </w:p>
        </w:tc>
        <w:tc>
          <w:tcPr>
            <w:tcW w:w="9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81,293</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r>
      <w:tr>
        <w:trPr>
          <w:trHeight w:val="257"/>
        </w:trPr>
        <w:tc>
          <w:tcPr>
            <w:tcW w:w="140" w:type="dxa"/>
            <w:vAlign w:val="bottom"/>
          </w:tcPr>
          <w:p>
            <w:pPr>
              <w:spacing w:after="0"/>
              <w:rPr>
                <w:sz w:val="22"/>
                <w:szCs w:val="22"/>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245,044</w:t>
            </w:r>
          </w:p>
        </w:tc>
      </w:tr>
      <w:tr>
        <w:trPr>
          <w:trHeight w:val="20"/>
        </w:trPr>
        <w:tc>
          <w:tcPr>
            <w:tcW w:w="1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assets acquired and liabilities assumed from the acquisition of SCIO is based on a preliminary valuation and, as such, the Company's estimates and assumptions are subject to change within the measurement period. The primary areas of the purchase price that are not yet finalized are related to direct and indirect taxes.</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fair values of the trade names and trademarks intangible assets were determined by using an “income approach”, specifically the relief-from-royalty approach. The basic principle of the relief-from-royalty method is that without ownership of the subject intangible asset, the user of that intangible asset would have to make a stream of payments to the owner of the asset in return for the rights to use that asset. By acquiring the intangible asset, the user avoids these payments. Therefore, a portion of SCIO’s earnings, equal to the after-tax royalty that would have been paid for the use of the asset, can be attributed to the firm’s ownership. The trade names and trademarks are being amortized on a straight-line basis (which approximates the economic pattern of benefits) over the estimated economic life of 3 years.</w:t>
      </w:r>
    </w:p>
    <w:p>
      <w:pPr>
        <w:spacing w:after="0" w:line="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fair values of the developed technology intangible assets were also determined by the relief-from-royalty approach. Similarly, this approach is based on the assumption that in lieu of ownership, a firm would be willing to pay a royalty in order to exploit the related benefits of the technology. Therefore, a portion of SCIO’s earnings, equal to the after-tax royalty that would have been paid for the use of the technology, can be attributed to the firm’s ownership of the technology. The technology assets are being amortized on a straight-line basis (which approximates the economic pattern of benefits) over the estimated economic life of 5 years.</w:t>
      </w:r>
    </w:p>
    <w:p>
      <w:pPr>
        <w:spacing w:after="0" w:line="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fair values of the customer relationships were determined by using an “income approach”, specifically the Multi-Period Excess Earnings Method ("MPEEM"). The MPEEM is a specific application of the discounted cash flow method. The principle behind the MPEEM is that the value of an intangible asset is equal to the present value of the incremental after-tax cash flows attributable only to the subject intangible asset after deducting Contributory Asset Charges ("CAC"). The principle behind a CAC is that an intangible asset ‘rents’ or ‘leases’ from a hypothetical third party all the assets it requires to produce the cash flows resulting from its development, that each project rents only those assets it needs (including elements of goodwill) and not the ones that it does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117"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 need, and that each project pays the owner of the assets a fair return on (and of, when appropriate) the value of the rented assets. The customer relationship assets are being amortized on a straight-line basis (which approximates the economic pattern of benefits) over the estimated economic life of 10 years.</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goodwill recognized is attributable primarily to expected synergies from continuing operations of SCIO and the Company. The amount of goodwill recognized from SCIO's acquisition is not deductible for tax purposes. The goodwill has been assigned to our Analytics reportable segment based upon the Company’s assessment of nature of services rendered by SCIO.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and Unaudited Pro Forma Financial Information</w:t>
      </w:r>
    </w:p>
    <w:p>
      <w:pPr>
        <w:spacing w:after="0" w:line="32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completed the acquisition of SCIO on July 1, 2018 and accordingly SCIO’s operations for the period from July 1, 2018 to December 31, 2018 are included in the Company’s consolidated statements of income. SCIO contributed revenues of $40,038 for the period from the completion of acquisition through December 31, 2018. The Company does not allocate other operating expenses, interest expense or income taxes by legal entity, and therefore the Company has not presented earnings of SCIO for the period from the completion of acquisition through December 31, 2018. The following unaudited pro forma results of operations have been prepared using the acquisition method of accounting to give effect to the SCIO acquisition as though it occurred on January 1, 2017. The pro forma amounts reflect certain adjustments, such as amortization of intangible assets acquired, interest expense related to borrowings not assumed by the Company and stock based compensation expense. The unaudited pro forma financial information is presented for illustrative purposes only, is based on a preliminary purchase price allocation, and is not necessarily indicative of the results of operations that would have actually been reported had the acquisition occurred on January 1, 2017, nor is it necessarily indicative of the future results of operations of the combined company.</w:t>
      </w:r>
    </w:p>
    <w:p>
      <w:pPr>
        <w:spacing w:after="0" w:line="131"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40" w:type="dxa"/>
            <w:vAlign w:val="bottom"/>
          </w:tcPr>
          <w:p>
            <w:pPr>
              <w:spacing w:after="0"/>
              <w:rPr>
                <w:sz w:val="20"/>
                <w:szCs w:val="20"/>
                <w:color w:val="auto"/>
              </w:rPr>
            </w:pPr>
          </w:p>
        </w:tc>
      </w:tr>
      <w:tr>
        <w:trPr>
          <w:trHeight w:val="27"/>
        </w:trPr>
        <w:tc>
          <w:tcPr>
            <w:tcW w:w="7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r>
      <w:tr>
        <w:trPr>
          <w:trHeight w:val="237"/>
        </w:trPr>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2017</w:t>
            </w:r>
          </w:p>
        </w:tc>
      </w:tr>
      <w:tr>
        <w:trPr>
          <w:trHeight w:val="27"/>
        </w:trPr>
        <w:tc>
          <w:tcPr>
            <w:tcW w:w="7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924,172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834,158</w:t>
            </w:r>
          </w:p>
        </w:tc>
      </w:tr>
      <w:tr>
        <w:trPr>
          <w:trHeight w:val="27"/>
        </w:trPr>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45,827</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Integrated, Inc.</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22, 2017, a wholly owned subsidiary of the Company entered into an Asset Purchase Agreement to acquire substantially all the assets and assumed certain liabilities of Health Integrated, Inc. (“Health Integrated”), a company based in Tampa, Florida. The aggregate purchase consideration of $22,811 was paid in cash including post-closing adjustments. The purchase agreement allows sellers the ability to earn up to $5,000 as earn-out, based on the achievement of certain performance goals by the acquired Health Integrated business during the 2018 calendar year, which were not achieved. The earn-out was fair valued at $920 as of December 31, 2017. As of December 31, 2018, fair value of earn-out was $nil.</w:t>
      </w:r>
    </w:p>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portion of the purchase consideration otherwise payable was placed into escrow as security for the post-closing working capital adjustments and the indemnification obligations under the Asset Purchase Agreement.</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Health Integrated provides dedicated care management services on behalf of health plans. Its services include case management, utilization management, disease management, special needs programs, and multichronic care management. Health Integrated serves lives in the Medicaid, Medicare, and dual eligible populations. It is known for its capabilities in improving member health status through behavioral change. Accordingly, the Company paid a premium for the acquisition, which is reflected in the goodwill recognized from the purchase price allocation. The acquisition of Health Integrated is included in the Healthcare reportable segment.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117"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91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EXLSERVICE HOLDINGS, INC.</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9"/>
        </w:trPr>
        <w:tc>
          <w:tcPr>
            <w:tcW w:w="91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STATEMENTS—(continued)</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91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91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Company finalized its purchase price allocation for the acquisition based on their fair values as set forth below:</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2"/>
        </w:trPr>
        <w:tc>
          <w:tcPr>
            <w:tcW w:w="9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9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7"/>
        </w:trPr>
        <w:tc>
          <w:tcPr>
            <w:tcW w:w="9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9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r>
      <w:tr>
        <w:trPr>
          <w:trHeight w:val="243"/>
        </w:trPr>
        <w:tc>
          <w:tcPr>
            <w:tcW w:w="9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7"/>
        </w:trPr>
        <w:tc>
          <w:tcPr>
            <w:tcW w:w="9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r>
      <w:tr>
        <w:trPr>
          <w:trHeight w:val="27"/>
        </w:trPr>
        <w:tc>
          <w:tcPr>
            <w:tcW w:w="9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22,811</w:t>
            </w:r>
          </w:p>
        </w:tc>
      </w:tr>
      <w:tr>
        <w:trPr>
          <w:trHeight w:val="20"/>
        </w:trPr>
        <w:tc>
          <w:tcPr>
            <w:tcW w:w="9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 of goodwill recognized from the Health Integrated acquisition is deductible for tax purposes.</w:t>
      </w:r>
    </w:p>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customer relationships from the Health Integrated acquisition were being amortized prior to impairment testing over the weighted average useful life of 7.0 years and developed technology and trademarks over the useful life of 1.0 year and 2.0 years, respectively.</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goodwill, customer relationship and trademarks from the Health Integrated acquisition were impaired during the fourth quarter of 2018. Refer to the Goodwill and Intangible Assets details below.</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also issued 4,444 shares of restricted stock units with an aggregate fair value of $275 to certain key employees of Health Integrated, each of whom accepted employment positions with the Company upon consummation of the combination. The restricted stock units vest proportionally over four years and the fair value of these grants will be recognized as compensation expense on a straight-line basis over the vesting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and Unaudited Pro Forma Financial Information</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results of operations have been prepared using the acquisition method of accounting to give effect to the Health Integrated acquisition as though it occurred on January 1, 2016. The Company completed its acquisition of Health Integrated on December 22, 2017 and accordingly Health Integrated’s operations for the period from December 22, 2017 to December 31, 2017 are included in the Company’s consolidated statement of income. The pro forma amounts reflect certain adjustments, such as depreciation and amortization on assets acquired, interest expense related to liabilities not assumed by the Company and facility costs for certain facilities not acquired. The unaudited pro forma financial information is presented for illustrative purposes only, is based on purchase price allocation, and is not necessarily indicative of the results of operations that would have actually been reported had the acquisitions occurred on January 1, 2016, nor is it necessarily indicative of the future results of operations of the combined company.</w:t>
      </w:r>
    </w:p>
    <w:p>
      <w:pPr>
        <w:spacing w:after="0" w:line="367"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60" w:type="dxa"/>
            <w:vAlign w:val="bottom"/>
            <w:gridSpan w:val="3"/>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76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60" w:type="dxa"/>
            <w:vAlign w:val="bottom"/>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76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4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2017</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76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801,101</w:t>
            </w:r>
          </w:p>
        </w:tc>
        <w:tc>
          <w:tcPr>
            <w:tcW w:w="100" w:type="dxa"/>
            <w:vAlign w:val="bottom"/>
          </w:tcPr>
          <w:p>
            <w:pPr>
              <w:spacing w:after="0"/>
              <w:rPr>
                <w:sz w:val="20"/>
                <w:szCs w:val="20"/>
                <w:color w:val="auto"/>
              </w:rPr>
            </w:pP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729,938</w:t>
            </w:r>
          </w:p>
        </w:tc>
      </w:tr>
      <w:tr>
        <w:trPr>
          <w:trHeight w:val="27"/>
        </w:trPr>
        <w:tc>
          <w:tcPr>
            <w:tcW w:w="3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8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46,998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58,232</w:t>
            </w: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428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42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702"/>
        </w:trPr>
        <w:tc>
          <w:tcPr>
            <w:tcW w:w="3240" w:type="dxa"/>
            <w:vAlign w:val="bottom"/>
          </w:tcPr>
          <w:p>
            <w:pPr>
              <w:spacing w:after="0"/>
              <w:rPr>
                <w:sz w:val="24"/>
                <w:szCs w:val="24"/>
                <w:color w:val="auto"/>
              </w:rPr>
            </w:pPr>
          </w:p>
        </w:tc>
        <w:tc>
          <w:tcPr>
            <w:tcW w:w="4280" w:type="dxa"/>
            <w:vAlign w:val="bottom"/>
            <w:gridSpan w:val="2"/>
          </w:tcPr>
          <w:p>
            <w:pPr>
              <w:jc w:val="right"/>
              <w:ind w:right="2140"/>
              <w:spacing w:after="0"/>
              <w:rPr>
                <w:sz w:val="20"/>
                <w:szCs w:val="20"/>
                <w:color w:val="auto"/>
              </w:rPr>
            </w:pPr>
            <w:r>
              <w:rPr>
                <w:rFonts w:ascii="Times New Roman" w:cs="Times New Roman" w:eastAsia="Times New Roman" w:hAnsi="Times New Roman"/>
                <w:sz w:val="18"/>
                <w:szCs w:val="18"/>
                <w:color w:val="auto"/>
              </w:rPr>
              <w:t>F-33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Acquisition-related costs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Acquisition-related costs are being expensed as incurred and are included in general and administrative expenses in the consolidated statements of income. The Company recognized acquisition-related costs of $1,315 and $826 during the years ended December 31, 2018 and 2017, respectively, which were incurred by the Company to effect its business combinations for the SCIO and Health Integrated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26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TT&amp;L</w:t>
            </w:r>
          </w:p>
        </w:tc>
        <w:tc>
          <w:tcPr>
            <w:tcW w:w="30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F&amp;A</w:t>
            </w:r>
          </w:p>
        </w:tc>
        <w:tc>
          <w:tcPr>
            <w:tcW w:w="22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6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3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at January 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38,110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19,276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12,983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47,537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63,538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186,770</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15,957</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15,957</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696</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1,754</w:t>
            </w: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at December 31, 2017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38,333</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35,233</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13,679</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48,372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5,326</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63,538</w:t>
            </w: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204,481</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163,751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163,751</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(1,728)</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(1,179)</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(14,229)</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at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38,203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19,276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12,697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47,193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227,289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349,984</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13"/>
        <w:spacing w:after="0" w:line="261" w:lineRule="auto"/>
        <w:tabs>
          <w:tab w:leader="none" w:pos="5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date of acquisition and upon receipt of additional information, adjustments of $1,728 have been made to the Health Integrated amounts of net tangible assets acquired and the earn-out with the corresponding offset to goodwill. These adjustments are within the measurement period and would be accounted for prospectively. These adjustments did not have a significant impact on the Company’s consolidated statements of income, balance sheets or cash flows.</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elected to adopt the simplified goodwill impairment testing method under ASU No. 2017-04, based on which its annual goodwill impairment quantitative assessments, carried out in the fourth quarter of 2018.</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2018, the Company performed its annual impairment test of goodwill for all its reporting units. Based on the results, the fair values of each of the Company’s reporting units exceeded their carrying values except for the Health Integrated reporting unit, within the Healthcare operating segment. The primary factors contributing to a reduction in the fair value of the Health Integrated reporting unit were: (i) revenues and profitability in 2018 were significantly lower than the Company’s budget; and (ii) significant changes to the Company's estimated future cash flows and long-term growth assumptions for the Health Integrated reporting unit driven by loss of customer contracts, cost pressures and the Company’s most recent views of the long-term outlook for the Health Integrated business. As a result of this analysis, the Company recognized a goodwill impairment charge of $14,229 during the fourth quarter to write down the carrying value of Health Integrated’s goodwill to its fair value of $nil as of December 31, 2018. This impairment loss was recorded in the consolidated statements of income under "impairment charges".</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2018, the Company believes no other goodwill impairment exists, apart from the impairment charges discussed above, and that the remaining goodwill is recoverable for all of its reporting units; however, there can be no assurances that additional goodwill will not be impaired in future periods.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117"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187" w:lineRule="exact"/>
        <w:rPr>
          <w:sz w:val="20"/>
          <w:szCs w:val="20"/>
          <w:color w:val="auto"/>
        </w:rPr>
      </w:pPr>
    </w:p>
    <w:tbl>
      <w:tblPr>
        <w:tblLayout w:type="fixed"/>
        <w:tblInd w:w="600"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4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60"/>
        </w:trPr>
        <w:tc>
          <w:tcPr>
            <w:tcW w:w="4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129,790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67,874</w:t>
            </w:r>
          </w:p>
        </w:tc>
      </w:tr>
      <w:tr>
        <w:trPr>
          <w:trHeight w:val="27"/>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w:t>
            </w:r>
          </w:p>
        </w:tc>
      </w:tr>
      <w:tr>
        <w:trPr>
          <w:trHeight w:val="27"/>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7"/>
        </w:trPr>
        <w:tc>
          <w:tcPr>
            <w:tcW w:w="4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w:t>
            </w: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4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182,172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95,495</w:t>
            </w:r>
          </w:p>
        </w:tc>
      </w:tr>
      <w:tr>
        <w:trPr>
          <w:trHeight w:val="27"/>
        </w:trPr>
        <w:tc>
          <w:tcPr>
            <w:tcW w:w="4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1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As of December 31, 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6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0" w:type="dxa"/>
            <w:vAlign w:val="bottom"/>
            <w:tcBorders>
              <w:right w:val="single" w:sz="8" w:color="CCEEFF"/>
            </w:tcBorders>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40" w:type="dxa"/>
            <w:vAlign w:val="bottom"/>
            <w:tcBorders>
              <w:right w:val="single" w:sz="8" w:color="CCEEFF"/>
            </w:tcBorders>
          </w:tcPr>
          <w:p>
            <w:pPr>
              <w:spacing w:after="0"/>
              <w:rPr>
                <w:sz w:val="5"/>
                <w:szCs w:val="5"/>
                <w:color w:val="auto"/>
              </w:rPr>
            </w:pPr>
          </w:p>
        </w:tc>
        <w:tc>
          <w:tcPr>
            <w:tcW w:w="4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82,165</w:t>
            </w:r>
          </w:p>
        </w:tc>
        <w:tc>
          <w:tcPr>
            <w:tcW w:w="620" w:type="dxa"/>
            <w:vAlign w:val="bottom"/>
            <w:gridSpan w:val="2"/>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(43,667)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21"/>
                <w:szCs w:val="21"/>
                <w:color w:val="auto"/>
              </w:rPr>
            </w:pP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15,835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tcPr>
          <w:p>
            <w:pPr>
              <w:spacing w:after="0"/>
              <w:rPr>
                <w:sz w:val="21"/>
                <w:szCs w:val="21"/>
                <w:color w:val="auto"/>
              </w:rPr>
            </w:pP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108,884</w:t>
            </w:r>
          </w:p>
        </w:tc>
        <w:tc>
          <w:tcPr>
            <w:tcW w:w="620" w:type="dxa"/>
            <w:vAlign w:val="bottom"/>
            <w:tcBorders>
              <w:bottom w:val="single" w:sz="8" w:color="CCEEFF"/>
            </w:tcBorders>
            <w:gridSpan w:val="2"/>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4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40" w:type="dxa"/>
            <w:vAlign w:val="bottom"/>
            <w:tcBorders>
              <w:right w:val="single" w:sz="8" w:color="CCEEFF"/>
            </w:tcBorders>
          </w:tcPr>
          <w:p>
            <w:pPr>
              <w:spacing w:after="0"/>
              <w:rPr>
                <w:sz w:val="23"/>
                <w:szCs w:val="23"/>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900</w:t>
            </w:r>
          </w:p>
        </w:tc>
        <w:tc>
          <w:tcPr>
            <w:tcW w:w="620" w:type="dxa"/>
            <w:vAlign w:val="bottom"/>
            <w:tcBorders>
              <w:bottom w:val="single" w:sz="8" w:color="CCEEFF"/>
            </w:tcBorders>
            <w:gridSpan w:val="2"/>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109,784</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(60,826)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48,958</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amortization expense for the year is as follows:</w:t>
            </w: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20,377</w:t>
            </w:r>
          </w:p>
        </w:tc>
        <w:tc>
          <w:tcPr>
            <w:tcW w:w="800" w:type="dxa"/>
            <w:vAlign w:val="bottom"/>
            <w:gridSpan w:val="2"/>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13,975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11,873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fourth quarter of 2018, the Company recognized impairment charges of $5,549 and $278 related to its customer relationships and trademarks intangible assets, respectively, in the Health Integrated reporting unit, within the Healthcare operating segment. The Company tested these intangible assets for recoverability due to indicators warranting the impairment test such as: (i) revenues and profitability in 2018 were significantly lower than the Company’s budget, and (ii) significant changes to the Company's estimated future cash flows and long -term growth assumptions for the Health Integrated reporting unit driven by loss of customer contracts, cost pressures and the Company’s most recent views of the long-term outlook for the Health Integrated business. Based on the results of its testing, the Company determined that the carrying value of the intangible assets was not recoverable, and an impairment charge was recorded to the extent that carrying value exceeded estimated fair value. This impairment charge was recorded in the consolidated statements of income under "impairment charges". Subsequent to the impairment test, Health Integrated reporting unit’s customer relationships and trademarks intangibles assets were reduced to $nil as of December 31, 2018.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117"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remaining weighted average life of intangible assets is as follows:</w:t>
      </w:r>
    </w:p>
    <w:p>
      <w:pPr>
        <w:spacing w:after="0" w:line="295"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33"/>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benefits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(Finite lived)</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59"/>
        </w:trPr>
        <w:tc>
          <w:tcPr>
            <w:tcW w:w="20" w:type="dxa"/>
            <w:vAlign w:val="bottom"/>
          </w:tcPr>
          <w:p>
            <w:pPr>
              <w:spacing w:after="0"/>
              <w:rPr>
                <w:sz w:val="24"/>
                <w:szCs w:val="24"/>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future amortization expense related to intangible assets as of December 31, 2018 is as follows: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76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20" w:type="dxa"/>
            <w:vAlign w:val="bottom"/>
          </w:tcPr>
          <w:p>
            <w:pPr>
              <w:spacing w:after="0"/>
              <w:rPr>
                <w:sz w:val="21"/>
                <w:szCs w:val="2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20" w:type="dxa"/>
            <w:vAlign w:val="bottom"/>
          </w:tcPr>
          <w:p>
            <w:pPr>
              <w:spacing w:after="0"/>
              <w:rPr>
                <w:sz w:val="21"/>
                <w:szCs w:val="21"/>
                <w:color w:val="auto"/>
              </w:rPr>
            </w:pPr>
          </w:p>
        </w:tc>
      </w:tr>
      <w:tr>
        <w:trPr>
          <w:trHeight w:val="27"/>
        </w:trPr>
        <w:tc>
          <w:tcPr>
            <w:tcW w:w="76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20" w:type="dxa"/>
            <w:vAlign w:val="bottom"/>
          </w:tcPr>
          <w:p>
            <w:pPr>
              <w:spacing w:after="0"/>
              <w:rPr>
                <w:sz w:val="21"/>
                <w:szCs w:val="2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20" w:type="dxa"/>
            <w:vAlign w:val="bottom"/>
          </w:tcPr>
          <w:p>
            <w:pPr>
              <w:spacing w:after="0"/>
              <w:rPr>
                <w:sz w:val="21"/>
                <w:szCs w:val="21"/>
                <w:color w:val="auto"/>
              </w:rPr>
            </w:pPr>
          </w:p>
        </w:tc>
      </w:tr>
      <w:tr>
        <w:trPr>
          <w:trHeight w:val="27"/>
        </w:trPr>
        <w:tc>
          <w:tcPr>
            <w:tcW w:w="76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thereafter</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Investment in Equity Affiliate</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December 12, 2017, the Company acquired preferred stock in Corridor Platforms Inc. (“Corridor”), a big data credit risk management platform for $3,000. The Company has determined that based on its ownership interest and other rights, Corridor is an equity method affiliate, whereby the Company holds 26% ownership interest. The Company has the right and option to acquire additional preferred stock from Corridor as per the terms of the agreement. The Company's proportionate share of net loss for the year ended December 31, 2018 was $247 and for the period from December 12, 2017 to December 31, 2017 was $nil.</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Current Assets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940" w:type="dxa"/>
            <w:vAlign w:val="bottom"/>
          </w:tcPr>
          <w:p>
            <w:pPr>
              <w:spacing w:after="0"/>
              <w:rPr>
                <w:sz w:val="18"/>
                <w:szCs w:val="18"/>
                <w:color w:val="auto"/>
              </w:rPr>
            </w:pPr>
          </w:p>
        </w:tc>
      </w:tr>
      <w:tr>
        <w:trPr>
          <w:trHeight w:val="3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1"/>
        </w:trPr>
        <w:tc>
          <w:tcPr>
            <w:tcW w:w="6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00" w:type="dxa"/>
            <w:vAlign w:val="bottom"/>
          </w:tcPr>
          <w:p>
            <w:pPr>
              <w:spacing w:after="0"/>
              <w:rPr>
                <w:sz w:val="20"/>
                <w:szCs w:val="20"/>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2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7"/>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117"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Assets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7"/>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Lease deposits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20" w:type="dxa"/>
            <w:vAlign w:val="bottom"/>
            <w:gridSpan w:val="2"/>
          </w:tcPr>
          <w:p>
            <w:pPr>
              <w:spacing w:after="0"/>
              <w:rPr>
                <w:sz w:val="20"/>
                <w:szCs w:val="20"/>
                <w:color w:val="auto"/>
              </w:rPr>
            </w:pPr>
          </w:p>
        </w:tc>
        <w:tc>
          <w:tcPr>
            <w:tcW w:w="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center"/>
              <w:ind w:left="1171"/>
              <w:spacing w:after="0"/>
              <w:rPr>
                <w:sz w:val="20"/>
                <w:szCs w:val="20"/>
                <w:color w:val="auto"/>
              </w:rPr>
            </w:pPr>
            <w:r>
              <w:rPr>
                <w:rFonts w:ascii="Times New Roman" w:cs="Times New Roman" w:eastAsia="Times New Roman" w:hAnsi="Times New Roman"/>
                <w:sz w:val="18"/>
                <w:szCs w:val="18"/>
                <w:color w:val="auto"/>
                <w:w w:val="98"/>
              </w:rPr>
              <w:t>8,776</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8"/>
              </w:rPr>
              <w:t>7,361</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8"/>
              </w:rPr>
              <w:t>6,492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deposits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8"/>
              </w:rPr>
              <w:t>6,909</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8"/>
              </w:rPr>
              <w:t>2,242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8"/>
              </w:rPr>
              <w:t>2,295</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8"/>
              </w:rPr>
              <w:t>2,294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31,015</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tcBorders>
              <w:left w:val="single" w:sz="8" w:color="CCEEFF"/>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Accrued Expenses and Other Current Liabilities</w:t>
            </w: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7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44,711</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Other Non-current Liabilities</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7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3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4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left="1191"/>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6"/>
              </w:rPr>
              <w:t>892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3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1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80"/>
          </w:cols>
          <w:pgMar w:left="240" w:top="117" w:right="5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("AOCI")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Changes in the fair values of forward contracts are recognized in accumulated other comprehensive loss on the Company's consolidated balance sheet until the settlement of those contracts. The balances as of December 31, 2018 and 2017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00" w:type="dxa"/>
            <w:vAlign w:val="bottom"/>
          </w:tcPr>
          <w:p>
            <w:pPr>
              <w:spacing w:after="0"/>
              <w:rPr>
                <w:sz w:val="20"/>
                <w:szCs w:val="20"/>
                <w:color w:val="auto"/>
              </w:rPr>
            </w:pPr>
          </w:p>
        </w:tc>
        <w:tc>
          <w:tcPr>
            <w:tcW w:w="16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Cumulative foreign currency translation gain/(loss)</w:t>
            </w: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gain/(loss) on cash flow hedges, net of taxes of $115 and $4,918,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11,932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Retirement benefits, net of taxes of ($53) and ($74), respectively</w:t>
            </w:r>
          </w:p>
        </w:tc>
        <w:tc>
          <w:tcPr>
            <w:tcW w:w="2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gain/(loss)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1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7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ASC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68" w:lineRule="exact"/>
        <w:rPr>
          <w:sz w:val="20"/>
          <w:szCs w:val="20"/>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63" w:lineRule="exact"/>
        <w:rPr>
          <w:rFonts w:ascii="Times New Roman" w:cs="Times New Roman" w:eastAsia="Times New Roman" w:hAnsi="Times New Roman"/>
          <w:sz w:val="18"/>
          <w:szCs w:val="18"/>
          <w:color w:val="auto"/>
        </w:rPr>
      </w:pPr>
    </w:p>
    <w:p>
      <w:pPr>
        <w:ind w:left="640" w:hanging="321"/>
        <w:spacing w:after="0" w:line="281"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are unobservable.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117"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accounted for at fair value 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172085</wp:posOffset>
            </wp:positionV>
            <wp:extent cx="38849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275"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5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60"/>
        </w:trPr>
        <w:tc>
          <w:tcPr>
            <w:tcW w:w="35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bl>
    <w:p>
      <w:pPr>
        <w:spacing w:after="0" w:line="9"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142,408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142,408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142,408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148,438</w:t>
            </w:r>
          </w:p>
        </w:tc>
        <w:tc>
          <w:tcPr>
            <w:tcW w:w="0" w:type="dxa"/>
            <w:vAlign w:val="bottom"/>
          </w:tcPr>
          <w:p>
            <w:pPr>
              <w:spacing w:after="0"/>
              <w:rPr>
                <w:sz w:val="1"/>
                <w:szCs w:val="1"/>
                <w:color w:val="auto"/>
              </w:rPr>
            </w:pPr>
          </w:p>
        </w:tc>
      </w:tr>
      <w:tr>
        <w:trPr>
          <w:trHeight w:val="67"/>
        </w:trPr>
        <w:tc>
          <w:tcPr>
            <w:tcW w:w="35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35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Pr>
          <w:p>
            <w:pPr>
              <w:spacing w:after="0"/>
              <w:rPr>
                <w:sz w:val="21"/>
                <w:szCs w:val="21"/>
                <w:color w:val="auto"/>
              </w:rPr>
            </w:pPr>
          </w:p>
        </w:tc>
        <w:tc>
          <w:tcPr>
            <w:tcW w:w="10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162,906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18,298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18,298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181,204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earn-out consideration</w:t>
            </w: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Represents short-term investments carried on fair value option under ASC 825 "Financial Instruments" as of December 31, 2018 and December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w:t>
      </w:r>
    </w:p>
    <w:p>
      <w:pPr>
        <w:spacing w:after="0" w:line="20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Company’s derivative financial instruments consist of foreign currency forward exchange contracts.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derivative financial instruments are based on independent sources including highly rated financial institutions and are classified as Level 2. Refer to Note 18 to the consolidated financial statements for further details.</w:t>
      </w:r>
    </w:p>
    <w:p>
      <w:pPr>
        <w:spacing w:after="0" w:line="17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earn-out consideration: </w:t>
      </w:r>
      <w:r>
        <w:rPr>
          <w:rFonts w:ascii="Times New Roman" w:cs="Times New Roman" w:eastAsia="Times New Roman" w:hAnsi="Times New Roman"/>
          <w:sz w:val="18"/>
          <w:szCs w:val="18"/>
          <w:color w:val="auto"/>
        </w:rPr>
        <w:t>The fair value measurement of earn-out consideration is determined using Level 3 inputs. The Company’s earn-out consideration represents a component of the total purchase consideration for its acquisition of Health Integrated. The measurement was calculated using unobservable inputs based on the Company’s own assessment of achievement of certain performance goals by Health Integrated during the 2018 calendar year which were not achieved. The earn-out was fair valued at $920 as of December 31, 2017. As of December 31, 2018, fair value of earn-out is $nil.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accounts receivable, accounts payable and accrued expenses for which fair values approximate their carrying amounts due to their short-term nature.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Convertible Notes: The total estimated fair value of the Notes as of December 31, 2018 was $130,510. The fair value was determined based on the market yields for similar Notes as of the December 31, 2018. The Company considers the fair value of the Notes to be a Level 2 measurement due to the limited inputs available for its fair valuation.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117"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Derivatives and Hedge Accounting</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$362,435 (including $6,900 of range forward contracts) as of December 31, 2018 and $300,757 as of December 31, 2017.</w:t>
      </w:r>
    </w:p>
    <w:p>
      <w:pPr>
        <w:spacing w:after="0" w:line="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Changes in the fair value of these cash flow hedges are recorded as a component of accumulated other comprehensive income / (loss), net of tax, until the hedged transactions occurs. The Company early adopted ASU No. 2017-12, </w:t>
      </w:r>
      <w:r>
        <w:rPr>
          <w:rFonts w:ascii="Times New Roman" w:cs="Times New Roman" w:eastAsia="Times New Roman" w:hAnsi="Times New Roman"/>
          <w:sz w:val="18"/>
          <w:szCs w:val="18"/>
          <w:i w:val="1"/>
          <w:iCs w:val="1"/>
          <w:color w:val="auto"/>
        </w:rPr>
        <w:t>Derivative and Hedging</w:t>
      </w:r>
      <w:r>
        <w:rPr>
          <w:rFonts w:ascii="Times New Roman" w:cs="Times New Roman" w:eastAsia="Times New Roman" w:hAnsi="Times New Roman"/>
          <w:sz w:val="18"/>
          <w:szCs w:val="18"/>
          <w:color w:val="auto"/>
        </w:rPr>
        <w:t xml:space="preserve"> (Topic 815), </w:t>
      </w:r>
      <w:r>
        <w:rPr>
          <w:rFonts w:ascii="Times New Roman" w:cs="Times New Roman" w:eastAsia="Times New Roman" w:hAnsi="Times New Roman"/>
          <w:sz w:val="18"/>
          <w:szCs w:val="18"/>
          <w:i w:val="1"/>
          <w:iCs w:val="1"/>
          <w:color w:val="auto"/>
        </w:rPr>
        <w:t>Targeted Improvements to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Hedging Activities</w:t>
      </w:r>
      <w:r>
        <w:rPr>
          <w:rFonts w:ascii="Times New Roman" w:cs="Times New Roman" w:eastAsia="Times New Roman" w:hAnsi="Times New Roman"/>
          <w:sz w:val="18"/>
          <w:szCs w:val="18"/>
          <w:color w:val="auto"/>
        </w:rPr>
        <w:t>. Pursuant to this adoption, effective January 1, 2017, the resultant foreign exchange gain/(loss) on settlement of cash flow hedges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along with the underlying hedged item in the same line of consolidated statements of income as either a part of “Cost of revenues”, “General and administrative expenses”, “Selling and marketing expenses” or “Depreciation and amortization”, as applicable.</w:t>
      </w:r>
    </w:p>
    <w:p>
      <w:pPr>
        <w:spacing w:after="0" w:line="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Prior to January 1, 2017, the resultant foreign exchange gain/(loss) on settlement of cash flow hedges and changes in the fair value of cash flow hedges deemed ineffective were recorded in “Foreign exchange gain, net” in the consolidated statements of income.</w:t>
      </w:r>
    </w:p>
    <w:p>
      <w:pPr>
        <w:spacing w:after="0" w:line="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$125,503, GBP 15,616 and EUR 512 as of December 31, 2018 and amounted to $97,949, GBP 17,947 and EUR 848 as of December 31, 2017.</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estimates that approximately $885 of net derivative gains, excluding tax effects, included in AOCI, representing changes in the fair value of cash flow hedges, could be reclassified into earnings within the next twelve months based on exchange rates prevailing as of December 31, 2018. At December 31, 2018, the maximum outstanding term of the cash flow hedges was 45 months.</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the fair value of the foreign currency exchange contracts and their location on the consolidated balance sheets:</w:t>
      </w:r>
    </w:p>
    <w:p>
      <w:pPr>
        <w:sectPr>
          <w:pgSz w:w="11900" w:h="16838" w:orient="portrait"/>
          <w:cols w:equalWidth="0" w:num="1">
            <w:col w:w="11420"/>
          </w:cols>
          <w:pgMar w:left="240" w:top="117" w:right="239" w:bottom="1440" w:gutter="0" w:footer="0" w:header="0"/>
        </w:sectPr>
      </w:pP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w:t>
      </w:r>
    </w:p>
    <w:p>
      <w:pPr>
        <w:spacing w:after="0" w:line="1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47625</wp:posOffset>
            </wp:positionV>
            <wp:extent cx="656018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6"/>
          <w:szCs w:val="16"/>
          <w:b w:val="1"/>
          <w:bCs w:val="1"/>
          <w:color w:val="auto"/>
        </w:rPr>
        <w:t>December 31, 2018</w:t>
      </w:r>
      <w:r>
        <w:rPr>
          <w:sz w:val="20"/>
          <w:szCs w:val="20"/>
          <w:color w:val="auto"/>
        </w:rPr>
        <w:tab/>
      </w:r>
      <w:r>
        <w:rPr>
          <w:rFonts w:ascii="Times New Roman" w:cs="Times New Roman" w:eastAsia="Times New Roman" w:hAnsi="Times New Roman"/>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47625</wp:posOffset>
            </wp:positionV>
            <wp:extent cx="2701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6240" w:space="720"/>
            <w:col w:w="446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34"/>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4,022</w:t>
            </w:r>
          </w:p>
        </w:tc>
        <w:tc>
          <w:tcPr>
            <w:tcW w:w="9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1,971</w:t>
            </w:r>
          </w:p>
        </w:tc>
        <w:tc>
          <w:tcPr>
            <w:tcW w:w="9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2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3,137</w:t>
            </w:r>
          </w:p>
        </w:tc>
        <w:tc>
          <w:tcPr>
            <w:tcW w:w="94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0" w:type="dxa"/>
            <w:vAlign w:val="bottom"/>
            <w:vMerge w:val="restart"/>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3,075</w:t>
            </w:r>
          </w:p>
        </w:tc>
        <w:tc>
          <w:tcPr>
            <w:tcW w:w="94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18"/>
                <w:szCs w:val="18"/>
                <w:color w:val="auto"/>
              </w:rPr>
            </w:pPr>
          </w:p>
        </w:tc>
        <w:tc>
          <w:tcPr>
            <w:tcW w:w="22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205740</wp:posOffset>
            </wp:positionV>
            <wp:extent cx="656018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6560185" cy="17145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p>
      <w:pPr>
        <w:spacing w:after="0" w:line="3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47625</wp:posOffset>
            </wp:positionV>
            <wp:extent cx="2701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6"/>
          <w:szCs w:val="16"/>
          <w:b w:val="1"/>
          <w:bCs w:val="1"/>
          <w:color w:val="auto"/>
        </w:rPr>
        <w:t>December 31, 2018</w:t>
      </w:r>
      <w:r>
        <w:rPr>
          <w:sz w:val="20"/>
          <w:szCs w:val="20"/>
          <w:color w:val="auto"/>
        </w:rPr>
        <w:tab/>
      </w:r>
      <w:r>
        <w:rPr>
          <w:rFonts w:ascii="Times New Roman" w:cs="Times New Roman" w:eastAsia="Times New Roman" w:hAnsi="Times New Roman"/>
          <w:sz w:val="16"/>
          <w:szCs w:val="16"/>
          <w:b w:val="1"/>
          <w:bCs w:val="1"/>
          <w:color w:val="auto"/>
        </w:rPr>
        <w:t>December 31, 2017</w:t>
      </w:r>
    </w:p>
    <w:p>
      <w:pPr>
        <w:spacing w:after="0" w:line="55" w:lineRule="exact"/>
        <w:rPr>
          <w:sz w:val="20"/>
          <w:szCs w:val="20"/>
          <w:color w:val="auto"/>
        </w:rPr>
      </w:pPr>
    </w:p>
    <w:p>
      <w:pPr>
        <w:sectPr>
          <w:pgSz w:w="11900" w:h="16838" w:orient="portrait"/>
          <w:cols w:equalWidth="0" w:num="2">
            <w:col w:w="6240" w:space="720"/>
            <w:col w:w="446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4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860" w:type="dxa"/>
            <w:vAlign w:val="bottom"/>
            <w:gridSpan w:val="3"/>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02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86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140" w:type="dxa"/>
            <w:vAlign w:val="bottom"/>
          </w:tcPr>
          <w:p>
            <w:pPr>
              <w:spacing w:after="0"/>
              <w:rPr>
                <w:sz w:val="24"/>
                <w:szCs w:val="24"/>
                <w:color w:val="auto"/>
              </w:rPr>
            </w:pPr>
          </w:p>
        </w:tc>
        <w:tc>
          <w:tcPr>
            <w:tcW w:w="2860" w:type="dxa"/>
            <w:vAlign w:val="bottom"/>
            <w:gridSpan w:val="3"/>
          </w:tcPr>
          <w:p>
            <w:pPr>
              <w:jc w:val="right"/>
              <w:ind w:right="1570"/>
              <w:spacing w:after="0"/>
              <w:rPr>
                <w:sz w:val="20"/>
                <w:szCs w:val="20"/>
                <w:color w:val="auto"/>
              </w:rPr>
            </w:pPr>
            <w:r>
              <w:rPr>
                <w:rFonts w:ascii="Times New Roman" w:cs="Times New Roman" w:eastAsia="Times New Roman" w:hAnsi="Times New Roman"/>
                <w:sz w:val="18"/>
                <w:szCs w:val="18"/>
                <w:color w:val="auto"/>
              </w:rPr>
              <w:t>F-40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 of foreign currency exchange contracts on the consolidated statements of income and accumulated other comprehensive loss for the years ended December 31, 2018, 2017 and 2016:</w:t>
      </w:r>
    </w:p>
    <w:p>
      <w:pPr>
        <w:spacing w:after="0" w:line="326"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0" w:type="dxa"/>
            <w:vAlign w:val="bottom"/>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80" w:type="dxa"/>
            <w:vAlign w:val="bottom"/>
          </w:tcPr>
          <w:p>
            <w:pPr>
              <w:spacing w:after="0"/>
              <w:rPr>
                <w:sz w:val="18"/>
                <w:szCs w:val="18"/>
                <w:color w:val="auto"/>
              </w:rPr>
            </w:pPr>
          </w:p>
        </w:tc>
      </w:tr>
      <w:tr>
        <w:trPr>
          <w:trHeight w:val="47"/>
        </w:trPr>
        <w:tc>
          <w:tcPr>
            <w:tcW w:w="5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64"/>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Forward exchange contracts :</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17"/>
        </w:trPr>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(Loss)/gain recognized in AOCI</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5,129</w:t>
            </w:r>
          </w:p>
        </w:tc>
      </w:tr>
      <w:tr>
        <w:trPr>
          <w:trHeight w:val="324"/>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(Loss)/gain recognized in consolidated statements of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69" w:lineRule="exact"/>
        <w:rPr>
          <w:sz w:val="20"/>
          <w:szCs w:val="20"/>
          <w:color w:val="auto"/>
        </w:rPr>
      </w:pPr>
    </w:p>
    <w:p>
      <w:pPr>
        <w:ind w:left="40" w:right="20"/>
        <w:spacing w:after="0" w:line="301" w:lineRule="auto"/>
        <w:rPr>
          <w:sz w:val="20"/>
          <w:szCs w:val="20"/>
          <w:color w:val="auto"/>
        </w:rPr>
      </w:pPr>
      <w:r>
        <w:rPr>
          <w:rFonts w:ascii="Times New Roman" w:cs="Times New Roman" w:eastAsia="Times New Roman" w:hAnsi="Times New Roman"/>
          <w:sz w:val="16"/>
          <w:szCs w:val="16"/>
          <w:b w:val="1"/>
          <w:bCs w:val="1"/>
          <w:color w:val="auto"/>
        </w:rPr>
        <w:t>Location and amount of gain/(loss) recognized in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66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420" w:type="dxa"/>
            <w:vAlign w:val="bottom"/>
            <w:tcBorders>
              <w:top w:val="single" w:sz="8" w:color="auto"/>
              <w:bottom w:val="single" w:sz="8" w:color="CCEEFF"/>
            </w:tcBorders>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9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96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per</w:t>
            </w: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Gain/(loss) on</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per</w:t>
            </w:r>
          </w:p>
        </w:tc>
        <w:tc>
          <w:tcPr>
            <w:tcW w:w="10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Gain/(loss) on</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per</w:t>
            </w: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Gain/(loss) on</w:t>
            </w: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foreign</w:t>
            </w: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4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Location in consolidated statements of income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where gain/(loss) was reclassed from AOCI</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584,855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495,142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447,718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102,515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&amp; marketing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63,612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53,379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50,579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38,549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Location in consolidated statements of income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420"/>
          </w:cols>
          <w:pgMar w:left="240" w:top="117"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Borrowings and Credit Arrangements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Credit Agreement</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October 24, 2014, the Company entered into a credit agreement that provided for a $50,000 revolving credit facility (the “Credit Facility”). On February 23, 2015, the Company increased the commitments under the Credit Facility by an additional $50,000. The Credit Facility had a maturity date of October 24, 2019 and was voluntarily pre-payable from time to time without premium or penalty. On November 21, 2017, the Company prepaid all outstanding amounts, including accrued interest and fees, and terminated all commitments, under the Credit Agreement. The Credit Facility carried an effective interest rate of 2.99% per annum during the year ended December 31, 2017.</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November 21, 2017, the Company and each of the Company’s wholly owned material domestic subsidiaries entered into a Credit Agreement with certain lenders, and Citibank, N.A. as Administrative Agent (the “New Credit Agreement”). The New Credit Agreement provides for a $200,000 revolving credit facility (the “New Credit Facility”) with an option to increase the commitments by up to $100,000, subject to certain approvals and conditions as set forth in the New Credit Agreement. The New Credit Agreement also includes a letter of credit sub facility. The New Credit Facility has a maturity date of November 21, 2022 and is voluntarily pre-payable from time to time without premium or penalty. Borrowings under the New Credit Agreement were used to repay amounts outstanding under the Credit Facility and may otherwise be used for working capital and general corporate purposes, including permitted acquisitions. On July 2, 2018, the Company exercised its option under the New Credit Agreement to increase the commitments by $100,000 thereby utilizing the entire revolver under the New Credit Facility of $300,000, to fund the SCIO acquisition. The incremental commitments were made pursuant to (and constitute part of) the existing commitments and are subject to the terms and conditions applicable to the existing commitments as set forth in the New Credit Agreement.</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Depending on the type of borrowing, loans under the New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New Credit Agreement are subject to a commitment fee which is also tied to the Company’s total net leverage ratio, and ranges from 0.15% to 0.30% per annum on the average daily amount by which the aggregate revolving commitments exceed the sum of outstanding revolving loans and letter of credit obligations. The New Credit Facility carried an effective interest rate of 3.4% and 3.0% per annum, respectively, during the years ended December 31, 2018 and 2017.</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Obligations under the New Credit Agreement are guaranteed by the Company’s material domestic subsidiaries and are secured by all or substantially all of the assets of the Company and our material domestic subsidiaries. The New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New Credit Agreement contains a covenant to not permit the interest coverage ratio (the ratio of EBITDA to cash interest expense) or the total net leverage ratio (total funded indebtedness, less unrestricted domestic cash and cash equivalents not to exceed $50,000 to EBITDA) for the four consecutive quarter period ending on the last day of each fiscal quarter, to be less than 3.5 to 1.0 or more than 3.0 to 1.0, respectively. As of December 31, 2018, the Company was in compliance with all financial and non-financial covenants listed under the New Credit Agreement.</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entered into a second amendment (the “Amendment”) to its New Credit Agreement, as amended, among the Company, as borrower, with certain lenders, and Citibank, N.A. as Administrative Agent to, among other things, permit the issuance by the Company of the convertible notes, and settlement upon maturity or conversion thereof, in accordance with the Investment Agreement, the indenture dated as of October 4, 2018 and the other documents entered into in connection therewith.</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had outstanding indebtedness under the new credit facility of $150,000 of which $20,000 is expected to be repaid within the next twelve months and is included under “current portion of long-term borrowings” and of which $130,000 is included under “long-term borrowings” in the consolidated balance sheets. As of December 31, 2017, the Company had outstanding indebtedness under the new credit facility of $60,000, of which $10,000 was included under “current portion of long-term borrowings,” and the balance of $50,000 was included under “long-term borrowings” in the consolidated balance sheets.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117"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incurred certain debt issuance costs, which are deferred and amortized as an adjustment to interest expense over the term of the new credit facility. The unamortized debt issuance costs as of December 31, 2018 and December 31, 2017 was $1,006 and $773, respectively and is included under “other current assets” and “other assets” in the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October 1, 2018, the Company entered into an investment agreement (the “Investment Agreement”) with Orogen Echo LLC (the “Purchaser”), an affiliate of The Orogen Group LLC, relating to the issuance to the Purchaser of $150,000 aggregate principal amount of 3.50% per annum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year ended December 31, 2018, the Company recognized interest expense of $1,313. The Notes are convertible at an initial conversion rate of 13.3333 shares of the common stock per $1,000 principal amount of the Notes (which represents an initial conversion price of approximately $75 per share). With certain exceptions, upon a fundamental change, as defined in the Indenture, the holders of the Notes may require that the Company to repurchase all or part of the principal amount of the Notes at a purchase price equal to the principal amount plus accrued and unpaid interest. The Company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the Company’s exercise of this redemption right (including the trading day immediately prior to the date of the notice of redemption).The Company may elect to settle conversions of the Notes by paying or delivering, as the case may be, cash, shares of the Company’s common stock or a combination of cash and shares of the Company’s common stock. The Company used the proceeds from the issuance of Notes to repay $150,000 of its outstanding borrowings under the New Credit Facility.</w:t>
      </w:r>
    </w:p>
    <w:p>
      <w:pPr>
        <w:spacing w:after="0" w:line="1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net proceeds from the issuance of Notes were approximately $149,000, after deducting debt issuance costs of $1,000 and offering expenses of approximately $325 paid by the Company. These transaction and debt issuance costs were allocated between the liability and equity components based on their relative values. The transaction costs and debt issuance costs allocated to the liability and equity components were $1,176 and $149, respectively. The debt issuance costs allocated to the liability component are deferred and amortized as an adjustment to interest expense over the term of the Notes. The unamortized debt issuance costs is presented as a direct reduction from the Notes in the consolidated balance sheets. The unamortized debt issuance costs as of December 31, 2018 was $1,127.</w:t>
      </w:r>
    </w:p>
    <w:p>
      <w:pPr>
        <w:spacing w:after="0" w:line="1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accounted for the liability and equity components of the Notes separately to reflect its non-convertible debt borrowing rate. The estimated fair value of the liability component at issuance of $133,077 was determined using a discounted cash flow technique, which considered debt issuances with similar features of the Company’s debt, excluding the conversion feature. The resulting effective interest rate for the Notes was 5.75% per annum. The excess of the gross proceeds received over the estimated fair value of the liability component totaling $16,923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 During the year ended December 31, 2018, the Company amortized $600 of the discount to interest expense. At the time of issuance, the Company evaluated the Notes in accordance with ASC 815-15 and determined that the Notes contain a single embedded derivative, being the call option having market interest rates as underlying, which does not require bifurcation as the features clearly and closely related to the host instrument. The Company determined that the value of this embedded derivative was nominal as of the date of issuance.</w:t>
      </w:r>
    </w:p>
    <w:p>
      <w:pPr>
        <w:spacing w:after="0" w:line="1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Borrowings also includes structured payables which are in the nature of debt, amounting to $2,114 and $709 as of December 31, 2018 and December 31, 2017, respectively, of which $1,423 and $318 is included under “current portion of long-term borrowings”, $691 and $391, respectively, under “long-term borrowings”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117"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principal payments/maturities for all of the Company's borrowings as of December 31, 2018 were as follows:</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Structured</w:t>
            </w:r>
          </w:p>
        </w:tc>
        <w:tc>
          <w:tcPr>
            <w:tcW w:w="360" w:type="dxa"/>
            <w:vAlign w:val="bottom"/>
          </w:tcPr>
          <w:p>
            <w:pPr>
              <w:spacing w:after="0"/>
              <w:rPr>
                <w:sz w:val="18"/>
                <w:szCs w:val="18"/>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0"/>
        </w:trPr>
        <w:tc>
          <w:tcPr>
            <w:tcW w:w="4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Revolver Credit</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Payables</w:t>
            </w:r>
          </w:p>
        </w:tc>
        <w:tc>
          <w:tcPr>
            <w:tcW w:w="3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302,114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2017 and 2016, the Company acquired 51,446, 69,154 and 17,676 shares of common stock, respectively, from employees in connection with withholding tax payments related to the vesting of restricted stock for a total consideration of $3,122, $3,267 and $807, respectively. The weighted average purchase price per share of $60.68, $47.24 and $45.65, respectively, was the average of the high and low price of the Company's share of common stock on the Nasdaq Global Select Market on the trading day prior to the vesting date of the shares of restricted stock.</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2017 through 2019 up to an annual amount of $20,000.</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increased the 2017 authorization from $20,000 to $40,000 and authorizes stock repurchases of up to $40,000 in each of 2018 and 2019.</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purchased 674,604 shares of its common stock for an aggregate purchase price of approximately $39,987, including commissions, representing an average purchase price per share of $59.27 under the 2017 Repurchase Program.</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2017, the Company purchased 761,154 shares of its common stock for an aggregate purchase price of approximately $40,187, including commissions, representing an average purchase price per share of $52.80 under the 2014 and 2017 Repurchase Programs.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2016, the Company purchased 364,056 shares of its common stock for an aggregate purchase price of approximately $17,396, including commissions, representing an average purchase price per share of $47.78 under the 2014 Repurchase Programs.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Board of Directors designates that these shares be retired or used for other purposes.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117"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not paid or declared any cash dividends on its common stock during the years ended December 31, 2018, 2017 and 2016. The Company’s line of credit with a bank could restrict, or its terms of the Notes could impair, the Company’s ability to declare or make any dividends or similar distributions.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Employee Benefit Plans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6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benefit obligation has been measured as of December 31, 2018. The following table sets forth the activity and the funded status of the Gratuity Plans and the amounts recognized in the Company’s consolidated financial statements at the end of the relevant periods:</w:t>
      </w:r>
    </w:p>
    <w:p>
      <w:pPr>
        <w:spacing w:after="0" w:line="124" w:lineRule="exact"/>
        <w:rPr>
          <w:sz w:val="20"/>
          <w:szCs w:val="20"/>
          <w:color w:val="auto"/>
        </w:rPr>
      </w:pPr>
    </w:p>
    <w:tbl>
      <w:tblPr>
        <w:tblLayout w:type="fixed"/>
        <w:tblInd w:w="108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5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 as of January 1</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9,711</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acquisition</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Actuarial (gain)/loss</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benefit obligation as of December 31</w:t>
            </w:r>
          </w:p>
        </w:tc>
        <w:tc>
          <w:tcPr>
            <w:tcW w:w="1120" w:type="dxa"/>
            <w:vAlign w:val="bottom"/>
            <w:tcBorders>
              <w:top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10,305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Unfunded amount–non-current</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3,377</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Unfunded amount–current</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accrued liability</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12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7,022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Components of net periodic benefit costs: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1,601</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8"/>
              </w:rPr>
              <w:t>1,782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ASU No.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 Cost</w:t>
      </w:r>
      <w:r>
        <w:rPr>
          <w:rFonts w:ascii="Times New Roman" w:cs="Times New Roman" w:eastAsia="Times New Roman" w:hAnsi="Times New Roman"/>
          <w:sz w:val="18"/>
          <w:szCs w:val="18"/>
          <w:color w:val="auto"/>
        </w:rPr>
        <w:t>. Pursuant to this, the Company retrospectively included only the service cost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117"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component of the net periodic benefit cost in the same line item or items on the 2017 and 2016 consolidated statements of income as other compensation costs arising from services rendered by the respective employees during the period. The interest cost, expected return on plan assets and amortization of actuarial (gain)/loss, have been reclassified from “Cost of revenues”, “General and administrative expenses” and “Selling and marketing expenses” to “Other income, net”.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Note 27 for the effect of the adoption of the ASU No. 2017-07 on 2017 and 2016 financial information.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accumulated other comprehensive gain/(loss), net of tax as of December 31, 2018 and 2017 are as follows:</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prior service cost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gain/(loss), net of tax</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amount in accumulated other comprehensive gain that is expected to be recognized as a component of net periodic benefit cost over the next fiscal year is $156.</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actuarial assumptions used to determine benefit obligations and net periodic gratuity cost are:</w:t>
      </w:r>
    </w:p>
    <w:p>
      <w:pPr>
        <w:spacing w:after="0" w:line="174"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38735</wp:posOffset>
            </wp:positionV>
            <wp:extent cx="28644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80"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6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5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 term rate of return on plan assets per annum</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5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108"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benefit payments during the year ending December 31,</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to 2028</w:t>
            </w: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r>
    </w:tbl>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8.0% on these Gratuity Plans for the year ended December 31, 2018.</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117"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92"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January 1, 2017</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5,640</w:t>
            </w:r>
          </w:p>
        </w:tc>
      </w:tr>
      <w:tr>
        <w:trPr>
          <w:trHeight w:val="24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r>
      <w:tr>
        <w:trPr>
          <w:trHeight w:val="24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r>
      <w:tr>
        <w:trPr>
          <w:trHeight w:val="23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at December 31, 2017</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6,915</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acquisition</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1,175</w:t>
            </w:r>
          </w:p>
        </w:tc>
      </w:tr>
      <w:tr>
        <w:trPr>
          <w:trHeight w:val="24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at December 31, 2018</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7,420</w:t>
            </w:r>
          </w:p>
        </w:tc>
      </w:tr>
      <w:tr>
        <w:trPr>
          <w:trHeight w:val="27"/>
        </w:trPr>
        <w:tc>
          <w:tcPr>
            <w:tcW w:w="7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Benefits payments were substantially made through the plan assets during the year ended December 31, 2018 and December 31, 2017.</w:t>
      </w:r>
    </w:p>
    <w:p>
      <w:pPr>
        <w:spacing w:after="0" w:line="21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Contributions to the 401(k) Plans amounted to $3,423, $2,709 and $2,383 during the years ended December 31, 2018, 2017 and 2016, respectively.</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2018, 2017 and 2016, the Company contributed $7,614, $7,116 and $6,306 respectively, for various defined contribution plans on behalf of its employees in India, the Philippines, Bulgaria, Romania, the Czech Republic, South Africa, Colombia, and Singapore.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Leases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finances its use of certain motor vehicles and other equipment under various lease arrangements provided by financial institutions. Future minimum lease payments under these capital leases as of December 31, 2018 are as follows:</w:t>
      </w:r>
    </w:p>
    <w:p>
      <w:pPr>
        <w:spacing w:after="0" w:line="216"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the next twelve months ending December 31,</w:t>
            </w:r>
          </w:p>
        </w:tc>
        <w:tc>
          <w:tcPr>
            <w:tcW w:w="4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4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4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and thereafter</w:t>
            </w:r>
          </w:p>
        </w:tc>
        <w:tc>
          <w:tcPr>
            <w:tcW w:w="4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0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7"/>
        </w:trPr>
        <w:tc>
          <w:tcPr>
            <w:tcW w:w="4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40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4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4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4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4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4340" w:type="dxa"/>
            <w:vAlign w:val="bottom"/>
            <w:gridSpan w:val="2"/>
          </w:tcPr>
          <w:p>
            <w:pPr>
              <w:jc w:val="right"/>
              <w:ind w:right="3670"/>
              <w:spacing w:after="0"/>
              <w:rPr>
                <w:sz w:val="20"/>
                <w:szCs w:val="20"/>
                <w:color w:val="auto"/>
              </w:rPr>
            </w:pPr>
            <w:r>
              <w:rPr>
                <w:rFonts w:ascii="Times New Roman" w:cs="Times New Roman" w:eastAsia="Times New Roman" w:hAnsi="Times New Roman"/>
                <w:sz w:val="18"/>
                <w:szCs w:val="18"/>
                <w:color w:val="auto"/>
              </w:rPr>
              <w:t>F-47</w:t>
            </w:r>
          </w:p>
        </w:tc>
        <w:tc>
          <w:tcPr>
            <w:tcW w:w="5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Future minimum lease payments under such agreements expiring after December 31, 2018 are set forth below:</w:t>
      </w:r>
    </w:p>
    <w:p>
      <w:pPr>
        <w:spacing w:after="0" w:line="200" w:lineRule="exact"/>
        <w:rPr>
          <w:sz w:val="20"/>
          <w:szCs w:val="20"/>
          <w:color w:val="auto"/>
        </w:rPr>
      </w:pPr>
    </w:p>
    <w:p>
      <w:pPr>
        <w:spacing w:after="0" w:line="286"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the next twelve months ending December 31,</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20,039</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14,804</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thereafter</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26,114</w:t>
            </w:r>
          </w:p>
        </w:tc>
      </w:tr>
      <w:tr>
        <w:trPr>
          <w:trHeight w:val="27"/>
        </w:trPr>
        <w:tc>
          <w:tcPr>
            <w:tcW w:w="7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minimum lease payment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 expense</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operating leases are subject to renewal periodically and have scheduled rent increases. The Company recognizes rent expense on such leases on a straight-line basis over cancelable and non-cancelable lease period determined under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86" w:lineRule="exact"/>
        <w:rPr>
          <w:sz w:val="20"/>
          <w:szCs w:val="20"/>
          <w:color w:val="auto"/>
        </w:rPr>
      </w:pPr>
    </w:p>
    <w:tbl>
      <w:tblPr>
        <w:tblLayout w:type="fixed"/>
        <w:tblInd w:w="108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 expense</w:t>
            </w: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r>
      <w:tr>
        <w:trPr>
          <w:trHeight w:val="20"/>
        </w:trPr>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rent</w:t>
      </w:r>
    </w:p>
    <w:p>
      <w:pPr>
        <w:spacing w:after="0" w:line="200" w:lineRule="exact"/>
        <w:rPr>
          <w:sz w:val="20"/>
          <w:szCs w:val="20"/>
          <w:color w:val="auto"/>
        </w:rPr>
      </w:pPr>
    </w:p>
    <w:p>
      <w:pPr>
        <w:spacing w:after="0" w:line="369" w:lineRule="exact"/>
        <w:rPr>
          <w:sz w:val="20"/>
          <w:szCs w:val="20"/>
          <w:color w:val="auto"/>
        </w:rPr>
      </w:pPr>
    </w:p>
    <w:tbl>
      <w:tblPr>
        <w:tblLayout w:type="fixed"/>
        <w:tblInd w:w="108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9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00" w:type="dxa"/>
            <w:vAlign w:val="bottom"/>
          </w:tcPr>
          <w:p>
            <w:pPr>
              <w:spacing w:after="0"/>
              <w:rPr>
                <w:sz w:val="20"/>
                <w:szCs w:val="20"/>
                <w:color w:val="auto"/>
              </w:rPr>
            </w:pPr>
          </w:p>
        </w:tc>
        <w:tc>
          <w:tcPr>
            <w:tcW w:w="19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Cancelable and non-cancelable operating leases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rent is included under “Accrued expenses and other current liabilities” and “Other non-current liabilities” in the consolidated balance sheets.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Income Taxes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income before income taxes consist of the following:</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Pr>
          <w:p>
            <w:pPr>
              <w:spacing w:after="0"/>
              <w:rPr>
                <w:sz w:val="18"/>
                <w:szCs w:val="18"/>
                <w:color w:val="auto"/>
              </w:rPr>
            </w:pPr>
          </w:p>
        </w:tc>
      </w:tr>
      <w:tr>
        <w:trPr>
          <w:trHeight w:val="33"/>
        </w:trPr>
        <w:tc>
          <w:tcPr>
            <w:tcW w:w="2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2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27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12,652</w:t>
            </w: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84,812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80,408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71,232</w:t>
            </w:r>
          </w:p>
        </w:tc>
      </w:tr>
      <w:tr>
        <w:trPr>
          <w:trHeight w:val="27"/>
        </w:trPr>
        <w:tc>
          <w:tcPr>
            <w:tcW w:w="27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72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60,370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85,034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83,884</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720" w:type="dxa"/>
            <w:vAlign w:val="bottom"/>
          </w:tcPr>
          <w:p>
            <w:pPr>
              <w:spacing w:after="0"/>
              <w:rPr>
                <w:sz w:val="24"/>
                <w:szCs w:val="24"/>
                <w:color w:val="auto"/>
              </w:rPr>
            </w:pPr>
          </w:p>
        </w:tc>
        <w:tc>
          <w:tcPr>
            <w:tcW w:w="30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F-48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expense consists of the following:</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17,407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7,107</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18,428</w:t>
            </w:r>
          </w:p>
        </w:tc>
      </w:tr>
      <w:tr>
        <w:trPr>
          <w:trHeight w:val="237"/>
        </w:trPr>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35,415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25,535</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37"/>
        </w:trPr>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22,151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amount computed by applying the U.S. federal statutory income tax rate to income before income taxes approximately as follows:</w:t>
      </w:r>
    </w:p>
    <w:p>
      <w:pPr>
        <w:spacing w:after="0" w:line="110"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29,361</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tax holiday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and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Reform Act impact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 on stock-based compensation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&amp; Development credit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22,151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recorded income tax expense of $3,397 and $36,146 for the year ended December 31, 2018 and 2017, respectively. The effective tax rate decreased from 42.5% during the year ended December 31, 2017 to 5.6% during the year ended December 31, 2018 primarily as a result of: (i) reduction in federal statutory tax rate and (ii) the impact of one-time transition tax of $27,236 on the mandatory deemed repatriation of accumulated earnings and profits (“E&amp;P”) of foreign subsidiaries and deferred tax re-measurement of $1,949 under the Tax Cuts and Jobs Act (the “Tax Reform Act”), during the year ended December 31, 2017 compared to $176 during the year ended December 31, 2018.</w:t>
      </w:r>
    </w:p>
    <w:p>
      <w:pPr>
        <w:spacing w:after="0" w:line="1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SEC staff issued Staff Accounting Bulletin ("SAB 118"), which provides guidance on accounting for the tax effects of the Tax Reform Act. SAB 118 provides a measurement period that should not extend beyond one year from the Tax Reform Act enactment date for companies to complete the accounting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 accordance with SAB 118, a company must reflect the income tax effects of those aspects of the Tax Reform Act for which the accounting under ASC 740 is complete. To the extent that a company’s accounting for certain income tax effects of the Tax Reform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Reform Act.</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deemed repatriation transition tax (the “Transition Tax”) is a tax on certain previously untaxed accumulated and current earnings &amp; profits of the Company's foreign subsidiaries. The Company was able to reasonably estimate the Transition Tax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117"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recorded an initial provisional Transition Tax obligation of $27,236, with a corresponding adjustment of $27,236 to income tax expense for the year ended December 31, 2017. On the basis of additional technical research and analysis, the Company recognized a measurement-period increase of $176 to the Transition Tax obligation, with a corresponding adjustment of $176 to the income tax expense during year ended December 31, 2018. The Company has completed its analysis of the transition tax and has recorded a final Transition Tax obligation of $27,412 with a corresponding income tax expense of $27,412.</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first quarter of 2018, the Company made an election to change the tax status of most of its controlled foreign corporations (CFC) to disregarded entities for US income tax purposes. As a result, the Company no longer has undistributed earnings in connection with these CFCs. The Transition Tax resulted in previously taxed income (PTI) which may be subject to withholding taxes and currency gains or losses upon repatriation. The Company presently does not intend to distribute its PTI and has not recorded any deferred taxes. If, in the future, the Company changes its present intention regarding the distribution of PTI, additional taxes may be required and would be recorded in the period the intention changes. The Company has adopted an accounting policy to treat Global Intangible Low-Taxed Income (GILTI) as a period cost.</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2017, the Company was able to reasonably estimate and record initial provisional adjustments associated with the corporate rate change in the amount of $1,949. The Company has completed its analysis and no significant adjustment was recorded related to this item during the year ended December 31, 2018.</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Certain operations centers in India, which were established in Special Economic Zones (“SEZs”), are eligible for tax incentives until 2025. These operations centers are eligible for a 100% income tax exemption for first 5 years of operations and 50% exemption for a period of 5 years thereafter.</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also benefitted from a corporate tax holiday in the Philippines for our operations centers established there over the last several years. The tax holiday expired for three of our centers in 2014, 2016 and in 2018 and will expire for other centers by year 2022, which may lead to an increase in our overall tax rate. Following the expiry of the tax exemption, income generated from centers in the Philippines will be taxed at the prevailing annual tax rate, which is currently 5.0% on gross income.</w:t>
      </w:r>
    </w:p>
    <w:p>
      <w:pPr>
        <w:spacing w:after="0" w:line="18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The diluted earnings per share effect of the tax holiday is $0.16, $0.13 and $0.12 for the years ended December 31, 2018, 2017 and 2016, respectively.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117"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deferred tax balances as of December 31, 2018 and 2017 are as follows:</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Pr>
          <w:p>
            <w:pPr>
              <w:spacing w:after="0"/>
              <w:rPr>
                <w:sz w:val="18"/>
                <w:szCs w:val="18"/>
                <w:color w:val="auto"/>
              </w:rPr>
            </w:pPr>
          </w:p>
        </w:tc>
      </w:tr>
      <w:tr>
        <w:trPr>
          <w:trHeight w:val="33"/>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0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2,183</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7,647</w:t>
            </w:r>
          </w:p>
        </w:tc>
      </w:tr>
      <w:tr>
        <w:trPr>
          <w:trHeight w:val="243"/>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employee costs and other expenses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3,673</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credit carry forward</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r>
      <w:tr>
        <w:trPr>
          <w:trHeight w:val="243"/>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operating loss carry forward</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exchange loss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r>
      <w:tr>
        <w:trPr>
          <w:trHeight w:val="237"/>
        </w:trPr>
        <w:tc>
          <w:tcPr>
            <w:tcW w:w="62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20,368</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7"/>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20,260</w:t>
            </w:r>
          </w:p>
        </w:tc>
      </w:tr>
      <w:tr>
        <w:trPr>
          <w:trHeight w:val="27"/>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91"/>
        </w:trPr>
        <w:tc>
          <w:tcPr>
            <w:tcW w:w="6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exchange gain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5,069</w:t>
            </w:r>
          </w:p>
        </w:tc>
      </w:tr>
      <w:tr>
        <w:trPr>
          <w:trHeight w:val="243"/>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4,648</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Unamortized discount on convertible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1,958</w:t>
            </w:r>
          </w:p>
        </w:tc>
      </w:tr>
      <w:tr>
        <w:trPr>
          <w:trHeight w:val="27"/>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11,675</w:t>
            </w: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assets/(liabilities)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8,585</w:t>
            </w:r>
          </w:p>
        </w:tc>
      </w:tr>
      <w:tr>
        <w:trPr>
          <w:trHeight w:val="27"/>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2018 and 2017, the Company performed an analysis of the deferred tax asset valuation allowance for net operating loss carry forward for its domestic and foreign entities. Based on this analysis, the Company continues to carry a valuation allowance on the deferred tax assets on certain net operating loss carry forwards. Accordingly, the Company had recorded a valuation allowance of $20 each as of December 31, 2018 and 2017. The Company also recorded a valuation allowance of $79 and $88 related to tax credit carry forward as of December 31, 2018 and 2017, respectively.</w:t>
      </w:r>
    </w:p>
    <w:p>
      <w:pPr>
        <w:spacing w:after="0" w:line="18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in connection with its recent acquisitions has acquired federal and state net operating losses in the United States. As of December 31, 2018 and 2017, the Company has federal net operating loss carry forward of $444 and $1,554, respectively, which expire through various years until 2032. The Company’s federal net operating losses carry forward are subject to certain annual utilization limitations under Section 382 of the Code. The Company also has state and local net operating losses carry forwards of varying amounts, which are subject to limitations under the applicable rules and regulations of those taxing jurisdictions. The Company estimates that it will be able to utilize substantially all of the losses before their expiration.</w:t>
      </w:r>
    </w:p>
    <w:p>
      <w:pPr>
        <w:spacing w:after="0" w:line="18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income tax expense also includes the impact of provisions established for uncertain income tax positions determined in accordance with ASC 740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income tax expense in the period in which such determination is made.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420"/>
          </w:cols>
          <w:pgMar w:left="240" w:top="117"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 for the years ended December 31, 2018, 2017 and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2,797</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3,087</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unrecognized tax benefits as of December 31, 2018 of $804, if recognized, would impact the effective tax rate.</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not recognized any interest in each of the years ended December 31, 2018 and 2017 and has recognized interest of $315 during the year ended December 31, 2016. As of December 31, 2018 and 2017, the Company has accrued interest and penalties of $nil and $68 relating to unrecognized tax benefits.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Stock Based Compensation</w:t>
      </w:r>
    </w:p>
    <w:p>
      <w:pPr>
        <w:spacing w:after="0" w:line="33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June 15, 2018, at the Company’s 2018 Annual Meeting of Stockholders, the Company's stockholders approved the 2018 Plan, which replaced and superseded the 2015 Plan, which was an amendment and restatement of the Company’s 2006 Omnibus Award Plan to, among other things, reserves 3,175,000 shares of the Company’s common stock for grants of awards under the 2018 Plan. As of December 31, 2018, the Company had 3,207,975 shares available for grant under the 2018 Plan (includes 34,487 shares against vested performance-based restricted stock units for which the underlying common stock was issued subsequent to December 31, 2018).</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Under the 2018 Plan, the Compensation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ten years from the date of grant. The equity awards generally vest proportionally over a period of four years from the date of grant, unless specified otherwise.</w:t>
      </w:r>
    </w:p>
    <w:p>
      <w:pPr>
        <w:spacing w:after="0" w:line="178"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account for its stock based compensation, using the modified prospective method of transition. Under the provisions of this guidance, the estimated fair value of stock-based awards granted under stock incentive plans is recognized as compensation expense over the vesting period.</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costs related to the Company’s stock-based compensation plan are included in the consolidated statements of income:</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6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3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7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3,664</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8,372</w:t>
            </w:r>
          </w:p>
        </w:tc>
      </w:tr>
      <w:tr>
        <w:trPr>
          <w:trHeight w:val="27"/>
        </w:trPr>
        <w:tc>
          <w:tcPr>
            <w:tcW w:w="3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7,734</w:t>
            </w: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23,041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19,770</w:t>
            </w:r>
          </w:p>
        </w:tc>
      </w:tr>
      <w:tr>
        <w:trPr>
          <w:trHeight w:val="27"/>
        </w:trPr>
        <w:tc>
          <w:tcPr>
            <w:tcW w:w="3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20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F-52</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each stock option granted to employees is estimated on the date of grant using the Black-Scholes option-pricing model.</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does not anticipate paying any cash dividends in the foreseeable future and therefore uses an expected dividend yield of zero in the option valuation model. All stock-based payment awards are amortized on a straight-line basis over the requisite service periods of the awards, which are generally the vesting periods. The Company accounts for the forfeitures as and when the actual forfeitures occur.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259,563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4,446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162,475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2018</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162,475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unrecognized compensation cost for unvested options as of December 31, 2018 is $nil. The Company did not grant any options during the years ended December 31, 2018, 2017 and 2016. The total grant date fair value of options vested during the years ended December 31, 2018, 2017 and 2016 was $nil, $nil and $706, respectively. The aggregate intrinsic value of options exercised during the years ended December 31, 2018, 2017 and 2016 was $4,446, $23,027 and $12,911, respectively.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stock options outstanding, vested and exercisable at December 31,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960" w:type="dxa"/>
            <w:vAlign w:val="bottom"/>
            <w:gridSpan w:val="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Options Outstanding, Vested and Exercisable</w:t>
            </w:r>
          </w:p>
        </w:tc>
      </w:tr>
      <w:tr>
        <w:trPr>
          <w:trHeight w:val="33"/>
        </w:trPr>
        <w:tc>
          <w:tcPr>
            <w:tcW w:w="74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7"/>
        </w:trPr>
        <w:tc>
          <w:tcPr>
            <w:tcW w:w="7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7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2"/>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204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Pr>
          <w:p>
            <w:pPr>
              <w:spacing w:after="0"/>
              <w:rPr>
                <w:sz w:val="18"/>
                <w:szCs w:val="18"/>
                <w:color w:val="auto"/>
              </w:rPr>
            </w:pPr>
          </w:p>
        </w:tc>
        <w:tc>
          <w:tcPr>
            <w:tcW w:w="16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33"/>
        </w:trPr>
        <w:tc>
          <w:tcPr>
            <w:tcW w:w="74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$8.00 to $15.00</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9.53</w:t>
            </w: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$15.01 to $21.00</w:t>
            </w: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18.74</w:t>
            </w:r>
          </w:p>
        </w:tc>
      </w:tr>
      <w:tr>
        <w:trPr>
          <w:trHeight w:val="27"/>
        </w:trPr>
        <w:tc>
          <w:tcPr>
            <w:tcW w:w="7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$21.01 to $28.00</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101,509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24.30</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162,475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20.21</w:t>
            </w:r>
          </w:p>
        </w:tc>
      </w:tr>
      <w:tr>
        <w:trPr>
          <w:trHeight w:val="27"/>
        </w:trPr>
        <w:tc>
          <w:tcPr>
            <w:tcW w:w="74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420"/>
          </w:cols>
          <w:pgMar w:left="240" w:top="117"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and restricted stock unit activity under the Company’s stock-based compensation plans is shown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298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2820" w:type="dxa"/>
            <w:vAlign w:val="bottom"/>
            <w:gridSpan w:val="4"/>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2"/>
        </w:trPr>
        <w:tc>
          <w:tcPr>
            <w:tcW w:w="5620" w:type="dxa"/>
            <w:vAlign w:val="bottom"/>
          </w:tcPr>
          <w:p>
            <w:pPr>
              <w:spacing w:after="0"/>
              <w:rPr>
                <w:sz w:val="18"/>
                <w:szCs w:val="18"/>
                <w:color w:val="auto"/>
              </w:rPr>
            </w:pP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Pr>
          <w:p>
            <w:pPr>
              <w:spacing w:after="0"/>
              <w:rPr>
                <w:sz w:val="18"/>
                <w:szCs w:val="18"/>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Outstanding at December 31, 2017</w:t>
            </w:r>
            <w:r>
              <w:rPr>
                <w:rFonts w:ascii="Times New Roman" w:cs="Times New Roman" w:eastAsia="Times New Roman" w:hAnsi="Times New Roman"/>
                <w:sz w:val="25"/>
                <w:szCs w:val="25"/>
                <w:color w:val="auto"/>
                <w:vertAlign w:val="superscript"/>
              </w:rPr>
              <w:t>*</w:t>
            </w:r>
          </w:p>
        </w:tc>
        <w:tc>
          <w:tcPr>
            <w:tcW w:w="13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182,267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42.64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1,046,999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42.26</w:t>
            </w:r>
          </w:p>
        </w:tc>
      </w:tr>
      <w:tr>
        <w:trPr>
          <w:trHeight w:val="243"/>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444,063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60.64</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38.36</w:t>
            </w:r>
          </w:p>
        </w:tc>
      </w:tr>
      <w:tr>
        <w:trPr>
          <w:trHeight w:val="243"/>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50.75</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Outstanding at December 31, 2018</w:t>
            </w:r>
            <w:r>
              <w:rPr>
                <w:rFonts w:ascii="Times New Roman" w:cs="Times New Roman" w:eastAsia="Times New Roman" w:hAnsi="Times New Roman"/>
                <w:sz w:val="25"/>
                <w:szCs w:val="25"/>
                <w:color w:val="auto"/>
                <w:vertAlign w:val="superscript"/>
              </w:rPr>
              <w:t>*</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103,623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953,578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51.81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6" w:lineRule="exact"/>
        <w:rPr>
          <w:sz w:val="20"/>
          <w:szCs w:val="20"/>
          <w:color w:val="auto"/>
        </w:rPr>
      </w:pPr>
    </w:p>
    <w:p>
      <w:pPr>
        <w:ind w:left="180" w:hanging="172"/>
        <w:spacing w:after="0" w:line="283" w:lineRule="auto"/>
        <w:tabs>
          <w:tab w:leader="none" w:pos="153"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Excludes 9,641 and 11,058 restricted stock units vested during the years ended December 31, 2018 and 2017, respectively. As of December 31, 2018 and 2017 restricted stock units vested for which the underlying common stock is yet to be issued are 155,753 and 146,112, respectively.</w:t>
      </w:r>
    </w:p>
    <w:p>
      <w:pPr>
        <w:spacing w:after="0" w:line="15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fair value of restricted stock and restricted stock units is generally the market price of the Company’s shares on the date of grant. As of December 31, 2018, unrecognized compensation cost of $36,460 is expected to be expensed over a weighted average period of 2.55 years. The weighted-average fair value of restricted stock and restricted stock units granted during the years ended December 31, 2018, 2017 and 2016 was $60.64, $48.02 and $48.97, respectively. The total grant date fair value of restricted stock and restricted stock units vested during the years ended December 31, 2018, 2017 and 2016 was $19,865, $19,430 and $10,761,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Under the 2018 Plan, the Company grants performance-based restricted stock units (“PRSUs”) to executive officers and other specified employees. 50% of the PRSUs cliff vest at the end of a three-year period based on a revenue target for the third year (“PUs”). However, for PUs granted in 2018, up to one-third of the PUs may be earned based on the Company’s revenue performance in each of the first two years against annual revenue targets in those years. The total amount of PUs that the recipient earns based on these performance criteria will be the greater of (i) the PUs earned in the year of vesting and (ii) the sum of the earned PUs during the first two years. The remaining 50% is based on a market condition (“MUs”) that is contingent on the Company's meeting the total shareholder return relative to a group of peer companies specified under the program measured over a three-year performance period. The award recipient may earn up to two hundred percent (200%) of the PRSUs granted based on the actual achievement of targets.</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fair value of each PU was determined based on the market price of one common share on a day prior to the date of grant, and the associated stock compensation expense was calculated on the basis that performance targets at 100% are probable of being achieved. The stock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MUs was determined using a Monte Carlo simulation model and the related stock compensation expense was expensed on a straight-line basis over the vesting period. All stock compensation expense related to the MUs will be recognized if the requisite performance period is fulfilled, even if the market condition is not achieved.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420"/>
          </w:cols>
          <w:pgMar w:left="240" w:top="117"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Monte Carlo simulation model simulates a range of possible future stock prices and estimates the probabilities of the potential payouts. This model also incorporates the following ranges of assumptions:</w:t>
      </w:r>
    </w:p>
    <w:p>
      <w:pPr>
        <w:spacing w:after="0" w:line="54" w:lineRule="exact"/>
        <w:rPr>
          <w:sz w:val="20"/>
          <w:szCs w:val="20"/>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volatilities are used over the most recent three-year period for the components of the peer group.</w:t>
      </w:r>
    </w:p>
    <w:p>
      <w:pPr>
        <w:spacing w:after="0" w:line="10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76" w:lineRule="exact"/>
        <w:rPr>
          <w:rFonts w:ascii="Times New Roman" w:cs="Times New Roman" w:eastAsia="Times New Roman" w:hAnsi="Times New Roman"/>
          <w:sz w:val="18"/>
          <w:szCs w:val="18"/>
          <w:color w:val="auto"/>
        </w:rPr>
      </w:pPr>
    </w:p>
    <w:p>
      <w:pPr>
        <w:ind w:left="640" w:right="560" w:hanging="321"/>
        <w:spacing w:after="0" w:line="281"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1" w:lineRule="exact"/>
        <w:rPr>
          <w:rFonts w:ascii="Times New Roman" w:cs="Times New Roman" w:eastAsia="Times New Roman" w:hAnsi="Times New Roman"/>
          <w:sz w:val="18"/>
          <w:szCs w:val="18"/>
          <w:color w:val="auto"/>
        </w:rPr>
      </w:pPr>
    </w:p>
    <w:p>
      <w:pPr>
        <w:ind w:left="640" w:right="40" w:hanging="321"/>
        <w:spacing w:after="0" w:line="28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coefficients are used to model the way in which each entity tends to move in relation to each other are based upon the price data used to calculate the historical volatilities.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each MU granted to employees is estimated on the date of grant using the following weighted average assumptions: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380" w:type="dxa"/>
            <w:vAlign w:val="bottom"/>
            <w:gridSpan w:val="5"/>
          </w:tcPr>
          <w:p>
            <w:pPr>
              <w:ind w:left="1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5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300" w:type="dxa"/>
            <w:vAlign w:val="bottom"/>
          </w:tcPr>
          <w:p>
            <w:pPr>
              <w:spacing w:after="0"/>
              <w:rPr>
                <w:sz w:val="20"/>
                <w:szCs w:val="20"/>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5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r>
    </w:tbl>
    <w:p>
      <w:pPr>
        <w:spacing w:after="0" w:line="200" w:lineRule="exact"/>
        <w:rPr>
          <w:sz w:val="20"/>
          <w:szCs w:val="20"/>
          <w:color w:val="auto"/>
        </w:rPr>
      </w:pPr>
    </w:p>
    <w:p>
      <w:pPr>
        <w:spacing w:after="0" w:line="2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Performance restricted stock unit activity under the Company’s stock plans is shown below:</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Revenue Based PRSUs</w:t>
            </w:r>
          </w:p>
        </w:tc>
        <w:tc>
          <w:tcPr>
            <w:tcW w:w="288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Market Condition Based PRSUs</w:t>
            </w:r>
          </w:p>
        </w:tc>
      </w:tr>
      <w:tr>
        <w:trPr>
          <w:trHeight w:val="33"/>
        </w:trPr>
        <w:tc>
          <w:tcPr>
            <w:tcW w:w="50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7"/>
        </w:trPr>
        <w:tc>
          <w:tcPr>
            <w:tcW w:w="5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Weighted Avg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Weighted Avg</w:t>
            </w:r>
          </w:p>
        </w:tc>
      </w:tr>
      <w:tr>
        <w:trPr>
          <w:trHeight w:val="212"/>
        </w:trPr>
        <w:tc>
          <w:tcPr>
            <w:tcW w:w="506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50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60.80</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55,268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70.97</w:t>
            </w:r>
          </w:p>
        </w:tc>
      </w:tr>
      <w:tr>
        <w:trPr>
          <w:trHeight w:val="27"/>
        </w:trPr>
        <w:tc>
          <w:tcPr>
            <w:tcW w:w="5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upon final determination of level of performance goal</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achievement*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67.94</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67.94</w:t>
            </w:r>
          </w:p>
        </w:tc>
      </w:tr>
      <w:tr>
        <w:trPr>
          <w:trHeight w:val="27"/>
        </w:trPr>
        <w:tc>
          <w:tcPr>
            <w:tcW w:w="5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63.78</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100,353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100,336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62.43</w:t>
            </w:r>
          </w:p>
        </w:tc>
      </w:tr>
      <w:tr>
        <w:trPr>
          <w:trHeight w:val="27"/>
        </w:trPr>
        <w:tc>
          <w:tcPr>
            <w:tcW w:w="50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13"/>
        <w:spacing w:after="0" w:line="282" w:lineRule="auto"/>
        <w:tabs>
          <w:tab w:leader="none" w:pos="540" w:val="left"/>
        </w:tabs>
        <w:numPr>
          <w:ilvl w:val="0"/>
          <w:numId w:val="3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Represents adjustment of shares issued in respect of PUs and MUs granted in February 2016 upon certification of the level of achievement of the performance targets for such awards for which the underlying common stock was issued subsequent to December 31, 2018.</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unrecognized compensation cost of $7,652 is expected to be expensed over a weighted average period of 1.74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420"/>
          </w:cols>
          <w:pgMar w:left="240" w:top="117"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Disclosures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provides consulting services to PharmaCord, LLC. One of the Company’s directors, Nitin Sahney, is the member-manager and chief executive officer of PharmaCord, LLC. The Company recognized revenue of $225, $1,748 and $nil for the year ended December 31, 2018, 2017 and 2016, respectively, for services provided.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and 2017, the Company had accounts receivable of $5 and $140, respectively, related to these services.</w:t>
      </w:r>
    </w:p>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 Refer Note 19 to the consolidated financial statements for details.</w:t>
      </w:r>
    </w:p>
    <w:p>
      <w:pPr>
        <w:spacing w:after="0" w:line="6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At December 31, 2018, the Company had outstanding Notes with a principle amount of $150,000 and interest accrued of $1,313 related to the Investment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 Commitments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At December 31, 2018, the Company has committed to spend approximately $6,277 under agreements to purchase fixed assets. This amount is net of capital advances paid in respect of these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82"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color w:val="auto"/>
        </w:rPr>
        <w:t>In March 2017, the Company was named as a defendant in a putative class action lawsuit filed in California, which challenged the classification of independent contractors. The parties participated in a mediation in early 2018. As the result of the mediation, a settlement was reached pursuant to which the Company agreed, without admission of wrongdoing, to pay a total of $2,400, of which $1,200 was paid in 2018 and the remainder of which will be paid in 2019. Completion of all matters associated with the lawsuit is expected to occur on or before March 31, 2019.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and India, tax year 2015 and subsequent tax years remain open for examination by the tax authorities as of December 31, 2018.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420"/>
          </w:cols>
          <w:pgMar w:left="240" w:top="117"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aggregate amount demanded by Income tax authorities (net of advance payments, if any) from the Company related to its transfer pricing issues for tax years 2003 to 2014 and its permanent establishment issues for tax years 2003 to 2007 as of December 31, 2018 and 2017 is $18,177 and $18,065, respectively, of which the Company has made payments or provided bank guarantee to the extent $8,171 and $8,573, respectively. Amounts paid as deposits in respect of such assessments aggregating to $6,273 and $6,499 as of December 31, 2018 and 2017, respectively, are included in “Other assets” and amounts deposited for bank guarantees aggregating to $1,899 and $2,074 as of December 31, 2018 and 2017, respectively, are included in “Restricted cash” in the non-current assets section of the Company’s consolidated balance sheets.</w:t>
      </w:r>
    </w:p>
    <w:p>
      <w:pPr>
        <w:spacing w:after="0" w:line="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Impact of adoption of accounting guidance on prior years’ presentation and disclosures</w:t>
      </w:r>
    </w:p>
    <w:p>
      <w:pPr>
        <w:spacing w:after="0" w:line="22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ASU No. 2017-07, </w:t>
      </w:r>
      <w:r>
        <w:rPr>
          <w:rFonts w:ascii="Times New Roman" w:cs="Times New Roman" w:eastAsia="Times New Roman" w:hAnsi="Times New Roman"/>
          <w:sz w:val="18"/>
          <w:szCs w:val="18"/>
          <w:i w:val="1"/>
          <w:iCs w:val="1"/>
          <w:color w:val="auto"/>
        </w:rPr>
        <w:t>Compensation - Retirement Benefits (Topic 715), Improving the Presentation of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Periodic Pension Cost and Net Periodic Post Retirement Benefit Cost</w:t>
      </w:r>
      <w:r>
        <w:rPr>
          <w:rFonts w:ascii="Times New Roman" w:cs="Times New Roman" w:eastAsia="Times New Roman" w:hAnsi="Times New Roman"/>
          <w:sz w:val="18"/>
          <w:szCs w:val="18"/>
          <w:color w:val="auto"/>
        </w:rPr>
        <w:t>. Accordingly, for 2017 and 2016, the Company retrospectively included only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cost component of the net periodic benefit cost in the same line item or items on the consolidated statements of income as other compensation costs arising from services rendered by the respective employees during the period. The other components of net periodic benefit cost, which included interest cost, expected return on plan assets and amortization of actuarial gains/loss, were reclassified from “Cost of revenues”, “General and administrative expenses” and “Selling and marketing expenses” to “Other income, net”.</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 of the adoption of ASU No. 2017-07 (Topic 715) on 2017 and 2016 financial information is summarized as follows:</w:t>
      </w:r>
    </w:p>
    <w:p>
      <w:pPr>
        <w:sectPr>
          <w:pgSz w:w="11900" w:h="16838" w:orient="portrait"/>
          <w:cols w:equalWidth="0" w:num="1">
            <w:col w:w="11420"/>
          </w:cols>
          <w:pgMar w:left="240" w:top="117" w:right="239" w:bottom="1440" w:gutter="0" w:footer="0" w:header="0"/>
        </w:sectPr>
      </w:pPr>
    </w:p>
    <w:p>
      <w:pPr>
        <w:spacing w:after="0" w:line="383" w:lineRule="exact"/>
        <w:rPr>
          <w:sz w:val="20"/>
          <w:szCs w:val="20"/>
          <w:color w:val="auto"/>
        </w:rPr>
      </w:pPr>
    </w:p>
    <w:tbl>
      <w:tblPr>
        <w:tblLayout w:type="fixed"/>
        <w:tblInd w:w="346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9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7"/>
        </w:trPr>
        <w:tc>
          <w:tcPr>
            <w:tcW w:w="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spacing w:after="0"/>
              <w:rPr>
                <w:sz w:val="20"/>
                <w:szCs w:val="20"/>
                <w:color w:val="auto"/>
              </w:rPr>
            </w:pPr>
          </w:p>
        </w:tc>
        <w:tc>
          <w:tcPr>
            <w:tcW w:w="29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4"/>
        </w:trPr>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29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Effect of change</w:t>
            </w:r>
          </w:p>
        </w:tc>
      </w:tr>
      <w:tr>
        <w:trPr>
          <w:trHeight w:val="238"/>
        </w:trPr>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revised   Increase/(Decrease)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96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7"/>
        </w:trPr>
        <w:tc>
          <w:tcPr>
            <w:tcW w:w="9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spacing w:after="0"/>
              <w:rPr>
                <w:sz w:val="20"/>
                <w:szCs w:val="20"/>
                <w:color w:val="auto"/>
              </w:rPr>
            </w:pPr>
          </w:p>
        </w:tc>
        <w:tc>
          <w:tcPr>
            <w:tcW w:w="29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9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14"/>
        </w:trPr>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296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Effect of change</w:t>
            </w:r>
          </w:p>
        </w:tc>
      </w:tr>
      <w:tr>
        <w:trPr>
          <w:trHeight w:val="238"/>
        </w:trPr>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9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As revised   Increase/(Decrease)</w:t>
            </w:r>
          </w:p>
        </w:tc>
      </w:tr>
    </w:tbl>
    <w:p>
      <w:pPr>
        <w:spacing w:after="0" w:line="32" w:lineRule="exact"/>
        <w:rPr>
          <w:sz w:val="20"/>
          <w:szCs w:val="20"/>
          <w:color w:val="auto"/>
        </w:rPr>
      </w:pPr>
    </w:p>
    <w:p>
      <w:pPr>
        <w:sectPr>
          <w:pgSz w:w="11900" w:h="16838" w:orient="portrait"/>
          <w:cols w:equalWidth="0" w:num="2">
            <w:col w:w="7380" w:space="100"/>
            <w:col w:w="394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Location in consolidated statements of</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495,586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495,142</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447,956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447,718</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3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102,567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102,515</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88,648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88,616</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53,383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53,379</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50,582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50,579</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11,859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11,359</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15,408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15,135</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3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20"/>
          </w:cols>
          <w:pgMar w:left="240" w:top="117" w:right="23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36830</wp:posOffset>
            </wp:positionV>
            <wp:extent cx="24955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36830</wp:posOffset>
            </wp:positionV>
            <wp:extent cx="24955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tbl>
      <w:tblPr>
        <w:tblLayout w:type="fixed"/>
        <w:tblInd w:w="3580" w:type="dxa"/>
        <w:tblCellMar>
          <w:top w:w="0" w:type="dxa"/>
          <w:left w:w="0" w:type="dxa"/>
          <w:bottom w:w="0" w:type="dxa"/>
          <w:right w:w="0" w:type="dxa"/>
        </w:tblCellMar>
      </w:tblPr>
      <w:tr>
        <w:trPr>
          <w:trHeight w:val="216"/>
        </w:trPr>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 of</w:t>
            </w: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revenues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Cost of</w:t>
            </w:r>
          </w:p>
        </w:tc>
        <w:tc>
          <w:tcPr>
            <w:tcW w:w="1620" w:type="dxa"/>
            <w:vAlign w:val="bottom"/>
          </w:tcPr>
          <w:p>
            <w:pPr>
              <w:spacing w:after="0"/>
              <w:rPr>
                <w:sz w:val="18"/>
                <w:szCs w:val="18"/>
                <w:color w:val="auto"/>
              </w:rPr>
            </w:pPr>
          </w:p>
        </w:tc>
      </w:tr>
      <w:tr>
        <w:trPr>
          <w:trHeight w:val="216"/>
        </w:trPr>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previously</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revenues as</w:t>
            </w:r>
          </w:p>
        </w:tc>
        <w:tc>
          <w:tcPr>
            <w:tcW w:w="16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Effect of change</w:t>
            </w:r>
          </w:p>
        </w:tc>
      </w:tr>
      <w:tr>
        <w:trPr>
          <w:trHeight w:val="238"/>
        </w:trPr>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16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Increase/(Decrease)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36830</wp:posOffset>
            </wp:positionV>
            <wp:extent cx="2504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36830</wp:posOffset>
            </wp:positionV>
            <wp:extent cx="250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Cost of</w:t>
            </w: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revenues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 of</w:t>
            </w:r>
          </w:p>
        </w:tc>
        <w:tc>
          <w:tcPr>
            <w:tcW w:w="1620" w:type="dxa"/>
            <w:vAlign w:val="bottom"/>
          </w:tcPr>
          <w:p>
            <w:pPr>
              <w:spacing w:after="0"/>
              <w:rPr>
                <w:sz w:val="18"/>
                <w:szCs w:val="18"/>
                <w:color w:val="auto"/>
              </w:rPr>
            </w:pPr>
          </w:p>
        </w:tc>
      </w:tr>
      <w:tr>
        <w:trPr>
          <w:trHeight w:val="216"/>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previously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revenues as</w:t>
            </w:r>
          </w:p>
        </w:tc>
        <w:tc>
          <w:tcPr>
            <w:tcW w:w="16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Effect of change</w:t>
            </w:r>
          </w:p>
        </w:tc>
      </w:tr>
      <w:tr>
        <w:trPr>
          <w:trHeight w:val="238"/>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revised</w:t>
            </w:r>
          </w:p>
        </w:tc>
        <w:tc>
          <w:tcPr>
            <w:tcW w:w="16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bl>
    <w:p>
      <w:pPr>
        <w:spacing w:after="0" w:line="45" w:lineRule="exact"/>
        <w:rPr>
          <w:sz w:val="20"/>
          <w:szCs w:val="20"/>
          <w:color w:val="auto"/>
        </w:rPr>
      </w:pPr>
    </w:p>
    <w:p>
      <w:pPr>
        <w:sectPr>
          <w:pgSz w:w="11900" w:h="16838" w:orient="portrait"/>
          <w:cols w:equalWidth="0" w:num="2">
            <w:col w:w="7360" w:space="280"/>
            <w:col w:w="378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Segment information (refer Note 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159,529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159,433</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146,203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146,151</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49,483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49,412</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44,098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44,060</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TT&amp;L</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41,409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41,337</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41,962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41,923</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F&amp;A</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51,445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51,362</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48,302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48,258</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56,697</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56,638</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61,050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61,019</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Analytics</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137,023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136,960</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106,341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106,307</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194,499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194,443</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173,810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173,775</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interest expense and</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4"/>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12,309</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19,662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19,389</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Effective January 1, 2018, the Company adopted ASU 2016-18, Statements of Cash Flows (Topic 230), Restricted Cash. Accordingly, for 2017 and 2016, restricted cash and restricted cash equivalents is included with cash and cash equivalents when reconciling the beginning-of-period and end-of-period total amounts shown in the consolidated statements of cash flows.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 of the adoption of ASU No. 2016-18 (Topic 230) on 2017 and 2016 financial information is summarized as follows:</w:t>
      </w:r>
    </w:p>
    <w:p>
      <w:pPr>
        <w:sectPr>
          <w:pgSz w:w="11900" w:h="16838" w:orient="portrait"/>
          <w:cols w:equalWidth="0" w:num="1">
            <w:col w:w="11420"/>
          </w:cols>
          <w:pgMar w:left="240" w:top="117" w:right="239" w:bottom="1440" w:gutter="0" w:footer="0" w:header="0"/>
          <w:type w:val="continuous"/>
        </w:sectPr>
      </w:pPr>
    </w:p>
    <w:p>
      <w:pPr>
        <w:spacing w:after="0" w:line="383" w:lineRule="exact"/>
        <w:rPr>
          <w:sz w:val="20"/>
          <w:szCs w:val="20"/>
          <w:color w:val="auto"/>
        </w:rPr>
      </w:pPr>
    </w:p>
    <w:tbl>
      <w:tblPr>
        <w:tblLayout w:type="fixed"/>
        <w:tblInd w:w="346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9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7"/>
        </w:trPr>
        <w:tc>
          <w:tcPr>
            <w:tcW w:w="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spacing w:after="0"/>
              <w:rPr>
                <w:sz w:val="20"/>
                <w:szCs w:val="20"/>
                <w:color w:val="auto"/>
              </w:rPr>
            </w:pPr>
          </w:p>
        </w:tc>
        <w:tc>
          <w:tcPr>
            <w:tcW w:w="29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4"/>
        </w:trPr>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29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Effect of change</w:t>
            </w:r>
          </w:p>
        </w:tc>
      </w:tr>
      <w:tr>
        <w:trPr>
          <w:trHeight w:val="238"/>
        </w:trPr>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revised   Increase/(Decrease)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96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7"/>
        </w:trPr>
        <w:tc>
          <w:tcPr>
            <w:tcW w:w="9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spacing w:after="0"/>
              <w:rPr>
                <w:sz w:val="20"/>
                <w:szCs w:val="20"/>
                <w:color w:val="auto"/>
              </w:rPr>
            </w:pPr>
          </w:p>
        </w:tc>
        <w:tc>
          <w:tcPr>
            <w:tcW w:w="29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9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14"/>
        </w:trPr>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296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Effect of change</w:t>
            </w:r>
          </w:p>
        </w:tc>
      </w:tr>
      <w:tr>
        <w:trPr>
          <w:trHeight w:val="238"/>
        </w:trPr>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9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As revised   Increase/(Decrease)</w:t>
            </w:r>
          </w:p>
        </w:tc>
      </w:tr>
    </w:tbl>
    <w:p>
      <w:pPr>
        <w:spacing w:after="0" w:line="45" w:lineRule="exact"/>
        <w:rPr>
          <w:sz w:val="20"/>
          <w:szCs w:val="20"/>
          <w:color w:val="auto"/>
        </w:rPr>
      </w:pPr>
    </w:p>
    <w:p>
      <w:pPr>
        <w:sectPr>
          <w:pgSz w:w="11900" w:h="16838" w:orient="portrait"/>
          <w:cols w:equalWidth="0" w:num="2">
            <w:col w:w="7380" w:space="100"/>
            <w:col w:w="394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113,140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113,159</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100,258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102,395</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2,137</w:t>
            </w: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3,711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3,935</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(5,122)</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increase/(decrease) in cash, cash</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(126,117)</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243</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7,832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9,880</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2,048</w:t>
            </w: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year</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213,155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220,394</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7,239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205,323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210,514</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5,191</w:t>
            </w:r>
          </w:p>
        </w:tc>
      </w:tr>
      <w:tr>
        <w:trPr>
          <w:trHeight w:val="225"/>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 of year</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86,795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94,277</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7,482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213,155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220,394</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7,239</w:t>
            </w:r>
          </w:p>
        </w:tc>
      </w:tr>
      <w:tr>
        <w:trPr>
          <w:trHeight w:val="918"/>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F-58</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CREDIT AGREEMENT</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FIRST AMENDMENT TO CREDIT AGREEMENT, dated as of July 2, 2018 (this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by and among ExlService Holdings,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Loan Party (as defined in the Credit Agreement referred to below), Citibank,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certain Lenders (as defined below) party to the Credit Agreement referred to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WHEREAS, the Borrower, each Loan Party, each lender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have entered into that certain Credit Agreement, dated as of November 21, 2017 (as amended, restated, amended and restated, modified or supplemented from time to time through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not otherwise defined in this First Amendment have the same meanings assigned thereto in the Credit Agreement);</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WHEREAS, pursuant to Section 2.23 of the Credit Agreement, the Borrower has requested that certain existing Lenders party hereto (the “</w:t>
      </w:r>
      <w:r>
        <w:rPr>
          <w:rFonts w:ascii="Times New Roman" w:cs="Times New Roman" w:eastAsia="Times New Roman" w:hAnsi="Times New Roman"/>
          <w:sz w:val="18"/>
          <w:szCs w:val="18"/>
          <w:u w:val="single" w:color="auto"/>
          <w:color w:val="auto"/>
        </w:rPr>
        <w:t>Increasing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certain Additional Lenders (together with the Increasing Lenders, the “</w:t>
      </w: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make available to the Borrower a Commitment Increase in an aggregate principal amount equal to $100 million (the “</w:t>
      </w:r>
      <w:r>
        <w:rPr>
          <w:rFonts w:ascii="Times New Roman" w:cs="Times New Roman" w:eastAsia="Times New Roman" w:hAnsi="Times New Roman"/>
          <w:sz w:val="18"/>
          <w:szCs w:val="18"/>
          <w:u w:val="single" w:color="auto"/>
          <w:color w:val="auto"/>
        </w:rPr>
        <w:t>Requested Increase</w:t>
      </w:r>
      <w:r>
        <w:rPr>
          <w:rFonts w:ascii="Times New Roman" w:cs="Times New Roman" w:eastAsia="Times New Roman" w:hAnsi="Times New Roman"/>
          <w:sz w:val="18"/>
          <w:szCs w:val="18"/>
          <w:color w:val="auto"/>
        </w:rPr>
        <w:t>”, and such commitments, the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and each such Incremental Lender has agreed to provide a portion of the Requested Increase in an amount equal to the aggregate principal amount set forth next to such Incremental Lender’s name on Schedule I hereto on the applicable terms and conditions set forth herein;</w:t>
      </w:r>
    </w:p>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WHEREAS, in connection with this First Amendment, the Borrower wishes to appoint, and hereby appoints, Bank of America, N.A. as documentation agent (the “</w:t>
      </w:r>
      <w:r>
        <w:rPr>
          <w:rFonts w:ascii="Times New Roman" w:cs="Times New Roman" w:eastAsia="Times New Roman" w:hAnsi="Times New Roman"/>
          <w:sz w:val="18"/>
          <w:szCs w:val="18"/>
          <w:u w:val="single" w:color="auto"/>
          <w:color w:val="auto"/>
        </w:rPr>
        <w:t>Documentation Agent</w:t>
      </w:r>
      <w:r>
        <w:rPr>
          <w:rFonts w:ascii="Times New Roman" w:cs="Times New Roman" w:eastAsia="Times New Roman" w:hAnsi="Times New Roman"/>
          <w:sz w:val="18"/>
          <w:szCs w:val="18"/>
          <w:color w:val="auto"/>
        </w:rPr>
        <w:t>”) and Bank of America, N.A. has agreed to act in such capacity; and</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WHEREAS, pursuant to Section 9.02 of the Credit Agreement, the Borrower has also requested that the Credit Agreement be amended as more fully described herein, and the Required Lenders are so willing to amend the Credit Agreement on the terms and subject to the conditions set forth herein;</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all of which is hereby acknowledged, the parties hereto hereby agree as follows:</w:t>
      </w:r>
    </w:p>
    <w:p>
      <w:pPr>
        <w:spacing w:after="0" w:line="189" w:lineRule="exact"/>
        <w:rPr>
          <w:sz w:val="20"/>
          <w:szCs w:val="20"/>
          <w:color w:val="auto"/>
        </w:rPr>
      </w:pPr>
    </w:p>
    <w:p>
      <w:pPr>
        <w:ind w:left="420"/>
        <w:spacing w:after="0"/>
        <w:tabs>
          <w:tab w:leader="none" w:pos="29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Commitment Increase</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firstLine="413"/>
        <w:spacing w:after="0" w:line="313" w:lineRule="auto"/>
        <w:tabs>
          <w:tab w:leader="none" w:pos="8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each Incremental Lender hereby agrees on a several and not joint basis to make the Incremental Commitments available to the Borrower in the aggregate principal amount set forth on Schedule I hereto opposite such Incremental Lender’s name.</w:t>
      </w:r>
    </w:p>
    <w:p>
      <w:pPr>
        <w:spacing w:after="0" w:line="176" w:lineRule="exact"/>
        <w:rPr>
          <w:rFonts w:ascii="Times New Roman" w:cs="Times New Roman" w:eastAsia="Times New Roman" w:hAnsi="Times New Roman"/>
          <w:sz w:val="18"/>
          <w:szCs w:val="18"/>
          <w:color w:val="auto"/>
        </w:rPr>
      </w:pPr>
    </w:p>
    <w:p>
      <w:pPr>
        <w:ind w:firstLine="413"/>
        <w:spacing w:after="0" w:line="329" w:lineRule="auto"/>
        <w:tabs>
          <w:tab w:leader="none" w:pos="8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2.23 of the Credit Agreement, the Requested Increase documented hereby shall constitute a Commitment Increase under the Credit Agreement.</w:t>
      </w:r>
    </w:p>
    <w:p>
      <w:pPr>
        <w:spacing w:after="0" w:line="161" w:lineRule="exact"/>
        <w:rPr>
          <w:rFonts w:ascii="Times New Roman" w:cs="Times New Roman" w:eastAsia="Times New Roman" w:hAnsi="Times New Roman"/>
          <w:sz w:val="18"/>
          <w:szCs w:val="18"/>
          <w:color w:val="auto"/>
        </w:rPr>
      </w:pPr>
    </w:p>
    <w:p>
      <w:pPr>
        <w:ind w:firstLine="413"/>
        <w:spacing w:after="0" w:line="329" w:lineRule="auto"/>
        <w:tabs>
          <w:tab w:leader="none" w:pos="8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Commitments (i) shall be made pursuant to (and constitute part of) the existing Commitments and (ii) shall be subject to the terms and conditions applicable to the existing Commitments as set forth in the Credit Agreement.</w:t>
      </w:r>
    </w:p>
    <w:p>
      <w:pPr>
        <w:spacing w:after="0" w:line="161" w:lineRule="exact"/>
        <w:rPr>
          <w:rFonts w:ascii="Times New Roman" w:cs="Times New Roman" w:eastAsia="Times New Roman" w:hAnsi="Times New Roman"/>
          <w:sz w:val="18"/>
          <w:szCs w:val="18"/>
          <w:color w:val="auto"/>
        </w:rPr>
      </w:pPr>
    </w:p>
    <w:p>
      <w:pPr>
        <w:jc w:val="both"/>
        <w:ind w:firstLine="413"/>
        <w:spacing w:after="0" w:line="313" w:lineRule="auto"/>
        <w:tabs>
          <w:tab w:leader="none" w:pos="8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and agrees that on the First Amendment Effective Date (as defined below), (i) the Incremental Commitments shall be added to (and constitute part of) the existing Commitments and (ii) the Incremental Commitments shall constitute “Commitments” for all purposes under, and subject to the provisions of, the Loan Documents.</w:t>
      </w:r>
    </w:p>
    <w:p>
      <w:pPr>
        <w:spacing w:after="0" w:line="176" w:lineRule="exact"/>
        <w:rPr>
          <w:rFonts w:ascii="Times New Roman" w:cs="Times New Roman" w:eastAsia="Times New Roman" w:hAnsi="Times New Roman"/>
          <w:sz w:val="18"/>
          <w:szCs w:val="18"/>
          <w:color w:val="auto"/>
        </w:rPr>
      </w:pPr>
    </w:p>
    <w:p>
      <w:pPr>
        <w:ind w:firstLine="332"/>
        <w:spacing w:after="0" w:line="329" w:lineRule="auto"/>
        <w:tabs>
          <w:tab w:leader="none" w:pos="8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Lender hereby acknowledges and agrees that following the First Amendment Effective Date it will be a “Lender” under the Credit Agreement and be bound by the terms, conditions and obligations of the Credit Agreement.</w:t>
      </w:r>
    </w:p>
    <w:p>
      <w:pPr>
        <w:spacing w:after="0" w:line="161" w:lineRule="exact"/>
        <w:rPr>
          <w:rFonts w:ascii="Times New Roman" w:cs="Times New Roman" w:eastAsia="Times New Roman" w:hAnsi="Times New Roman"/>
          <w:sz w:val="18"/>
          <w:szCs w:val="18"/>
          <w:color w:val="auto"/>
        </w:rPr>
      </w:pPr>
    </w:p>
    <w:p>
      <w:pPr>
        <w:jc w:val="both"/>
        <w:ind w:firstLine="413"/>
        <w:spacing w:after="0" w:line="305" w:lineRule="auto"/>
        <w:tabs>
          <w:tab w:leader="none" w:pos="8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hereby acknowledge and agree that if on the First Amendment Effective Date there are any Loans outstanding under the Credit Agreement, (i) the Borrower shall borrow from all or certain of the Lenders and/or prepay Loans of all or certain of the Lenders such that, after giving effect thereto, the Loans (including, without limitation, the Types and Interest Periods thereof) and such participations shall be held by the Lenders (including for such purposes the Incremental Lenders) ratably in accordance with their respective Commitments and (ii) on and after the First Amendment Effective Date, the ratable share 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576" w:right="239" w:bottom="1440" w:gutter="0" w:footer="0" w:header="0"/>
        </w:sectPr>
      </w:pPr>
    </w:p>
    <w:bookmarkStart w:id="127" w:name="page128"/>
    <w:bookmarkEnd w:id="127"/>
    <w:p>
      <w:pPr>
        <w:spacing w:after="0" w:line="329" w:lineRule="auto"/>
        <w:rPr>
          <w:sz w:val="20"/>
          <w:szCs w:val="20"/>
          <w:color w:val="auto"/>
        </w:rPr>
      </w:pPr>
      <w:r>
        <w:rPr>
          <w:rFonts w:ascii="Times New Roman" w:cs="Times New Roman" w:eastAsia="Times New Roman" w:hAnsi="Times New Roman"/>
          <w:sz w:val="18"/>
          <w:szCs w:val="18"/>
          <w:color w:val="auto"/>
        </w:rPr>
        <w:t>each Lender’s participation in Letters of Credit and Loans from draws under Letters of Credit shall be calculated after giving effect to the Commitment Increase documented hereby.</w:t>
      </w:r>
    </w:p>
    <w:p>
      <w:pPr>
        <w:spacing w:after="0" w:line="162" w:lineRule="exact"/>
        <w:rPr>
          <w:sz w:val="20"/>
          <w:szCs w:val="20"/>
          <w:color w:val="auto"/>
        </w:rPr>
      </w:pPr>
    </w:p>
    <w:p>
      <w:pPr>
        <w:ind w:left="420"/>
        <w:spacing w:after="0"/>
        <w:tabs>
          <w:tab w:leader="none" w:pos="29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Amendments to Credit Agreement</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2600" w:right="3140" w:hanging="2187"/>
        <w:spacing w:after="0" w:line="298" w:lineRule="auto"/>
        <w:tabs>
          <w:tab w:leader="none" w:pos="8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Credit Agreement is hereby amended by adding the following at the end thereof: “BANK OF AMERICA, N.A.,</w:t>
      </w:r>
    </w:p>
    <w:p>
      <w:pPr>
        <w:spacing w:after="0" w:line="14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Documentation Agent”</w:t>
      </w:r>
    </w:p>
    <w:p>
      <w:pPr>
        <w:spacing w:after="0" w:line="252" w:lineRule="exact"/>
        <w:rPr>
          <w:sz w:val="20"/>
          <w:szCs w:val="20"/>
          <w:color w:val="auto"/>
        </w:rPr>
      </w:pPr>
    </w:p>
    <w:p>
      <w:pPr>
        <w:ind w:left="860" w:hanging="447"/>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 of the Credit Agreement is hereby amended by adding the following term in the appropriate alphabetical order therein:</w:t>
      </w:r>
    </w:p>
    <w:p>
      <w:pPr>
        <w:spacing w:after="0" w:line="27" w:lineRule="exact"/>
        <w:rPr>
          <w:sz w:val="20"/>
          <w:szCs w:val="20"/>
          <w:color w:val="auto"/>
        </w:rPr>
      </w:pPr>
    </w:p>
    <w:p>
      <w:pPr>
        <w:jc w:val="both"/>
        <w:ind w:left="2600" w:firstLine="648"/>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First Amendment to Credit Agreement, dated as of July 2, 2018, by the Borrower, the Loan Parties party thereto, the Administrative Agent and the Lenders party thereto.</w:t>
      </w:r>
    </w:p>
    <w:p>
      <w:pPr>
        <w:spacing w:after="0" w:line="167" w:lineRule="exact"/>
        <w:rPr>
          <w:sz w:val="20"/>
          <w:szCs w:val="20"/>
          <w:color w:val="auto"/>
        </w:rPr>
      </w:pPr>
    </w:p>
    <w:p>
      <w:pPr>
        <w:jc w:val="both"/>
        <w:ind w:left="26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the date on which the conditions to effectiveness of the First Amendment were first satisfied or waived in accordance with the First Amendment. The First Amendment Effective Date occurred on July 2, 2018.</w:t>
      </w:r>
    </w:p>
    <w:p>
      <w:pPr>
        <w:spacing w:after="0" w:line="203" w:lineRule="exact"/>
        <w:rPr>
          <w:sz w:val="20"/>
          <w:szCs w:val="20"/>
          <w:color w:val="auto"/>
        </w:rPr>
      </w:pPr>
    </w:p>
    <w:p>
      <w:pPr>
        <w:ind w:left="860" w:hanging="447"/>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“Commitment” in Section 1.01 of the Credit Agreement is hereby amended and restated in its entirety to read as follows:</w:t>
      </w:r>
    </w:p>
    <w:p>
      <w:pPr>
        <w:spacing w:after="0" w:line="27" w:lineRule="exact"/>
        <w:rPr>
          <w:sz w:val="20"/>
          <w:szCs w:val="20"/>
          <w:color w:val="auto"/>
        </w:rPr>
      </w:pPr>
    </w:p>
    <w:p>
      <w:pPr>
        <w:jc w:val="both"/>
        <w:ind w:left="260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commitment, if any, of such Lender to make Loans and to acquire participations in Letters of Credit hereunder, expressed as an amount representing the maximum possible aggregate amount of such Lender’s Credit Exposure hereunder, as such commitment may be reduced or increased from time to time pursuant to (a)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and (b)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amount of each Lender’s Commitment is set forth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or in the Assignment and Assumption pursuant to which such Lender shall have assumed its Commitment, as applicable. The initial aggregate amount of the Lenders’ Commitments as of the Effective Date was $200 million. The aggregate amount of the Lenders’ Commitments as of the First Amendment Effective Date after giving effect to the First Amendment is $300 million.</w:t>
      </w:r>
    </w:p>
    <w:p>
      <w:pPr>
        <w:spacing w:after="0" w:line="214" w:lineRule="exact"/>
        <w:rPr>
          <w:sz w:val="20"/>
          <w:szCs w:val="20"/>
          <w:color w:val="auto"/>
        </w:rPr>
      </w:pPr>
    </w:p>
    <w:p>
      <w:pPr>
        <w:ind w:left="860" w:hanging="447"/>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(l) of the definition of “Indebtedness” in Section 1.01 of the Credit Agreement is hereby amended and restated in its entirety to read as</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7" w:lineRule="exact"/>
        <w:rPr>
          <w:sz w:val="20"/>
          <w:szCs w:val="20"/>
          <w:color w:val="auto"/>
        </w:rPr>
      </w:pPr>
    </w:p>
    <w:p>
      <w:pPr>
        <w:ind w:left="2600" w:right="120"/>
        <w:spacing w:after="0" w:line="276" w:lineRule="auto"/>
        <w:rPr>
          <w:sz w:val="20"/>
          <w:szCs w:val="20"/>
          <w:color w:val="auto"/>
        </w:rPr>
      </w:pPr>
      <w:r>
        <w:rPr>
          <w:rFonts w:ascii="Times New Roman" w:cs="Times New Roman" w:eastAsia="Times New Roman" w:hAnsi="Times New Roman"/>
          <w:sz w:val="18"/>
          <w:szCs w:val="18"/>
          <w:color w:val="auto"/>
        </w:rPr>
        <w:t>“(l) any obligations with respect to any Swap Agreements to the extent required to be reflected as a liability on a balance sheet of such Person under GAAP.”</w:t>
      </w:r>
    </w:p>
    <w:p>
      <w:pPr>
        <w:spacing w:after="0" w:line="194" w:lineRule="exact"/>
        <w:rPr>
          <w:sz w:val="20"/>
          <w:szCs w:val="20"/>
          <w:color w:val="auto"/>
        </w:rPr>
      </w:pPr>
    </w:p>
    <w:p>
      <w:pPr>
        <w:ind w:left="860" w:hanging="447"/>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(b) of the definition of “Loan Guarantor” in Section 1.01 of the Credit Agreement is hereby amended and restated in its entirety to read as</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with respect to Secured Obligations owed by any other Loan Party or other Subsidiary, the Borrower;”</w:t>
      </w:r>
    </w:p>
    <w:p>
      <w:pPr>
        <w:spacing w:after="0" w:line="247" w:lineRule="exact"/>
        <w:rPr>
          <w:sz w:val="20"/>
          <w:szCs w:val="20"/>
          <w:color w:val="auto"/>
        </w:rPr>
      </w:pPr>
    </w:p>
    <w:p>
      <w:pPr>
        <w:ind w:left="840" w:hanging="427"/>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“Material Domestic Subsidiary” in Section 1.01 of the Credit Agreement is hereby amended and restated in its entirety to read as</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7" w:lineRule="exact"/>
        <w:rPr>
          <w:sz w:val="20"/>
          <w:szCs w:val="20"/>
          <w:color w:val="auto"/>
        </w:rPr>
      </w:pPr>
    </w:p>
    <w:p>
      <w:pPr>
        <w:jc w:val="both"/>
        <w:ind w:left="2600"/>
        <w:spacing w:after="0" w:line="257" w:lineRule="auto"/>
        <w:rPr>
          <w:sz w:val="20"/>
          <w:szCs w:val="20"/>
          <w:color w:val="auto"/>
        </w:rPr>
      </w:pPr>
      <w:r>
        <w:rPr>
          <w:rFonts w:ascii="Times New Roman" w:cs="Times New Roman" w:eastAsia="Times New Roman" w:hAnsi="Times New Roman"/>
          <w:sz w:val="18"/>
          <w:szCs w:val="18"/>
          <w:color w:val="auto"/>
        </w:rPr>
        <w:t xml:space="preserve">“Material Domestic Subsidiary” means (i) any domestic Subsidiary of the Borrower whose total assets, as of any date of determination, have a book value equal to or greater than $30 million, and (ii) any domestic Subsidiary of the Borrower having a direct Subsidiary that is a Material Domestic Subsidiary or Material Foreign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domestic Subsidiary of SCIOinspire Holdings Inc. as of the First Amendment Effective Date shall be considered a Material Domestic Subsidiary.</w:t>
      </w:r>
    </w:p>
    <w:p>
      <w:pPr>
        <w:spacing w:after="0" w:line="210" w:lineRule="exact"/>
        <w:rPr>
          <w:sz w:val="20"/>
          <w:szCs w:val="20"/>
          <w:color w:val="auto"/>
        </w:rPr>
      </w:pPr>
    </w:p>
    <w:p>
      <w:pPr>
        <w:ind w:left="860" w:hanging="447"/>
        <w:spacing w:after="0"/>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2.23(b)(iii) of the Credit Agreement is hereby amended and restated in its entirety to read as follows:</w:t>
      </w:r>
    </w:p>
    <w:p>
      <w:pPr>
        <w:spacing w:after="0" w:line="27"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after giving effect to any such increase the aggregate amount of the Commitments shall not exceed $400 million.”</w:t>
      </w:r>
    </w:p>
    <w:p>
      <w:pPr>
        <w:spacing w:after="0" w:line="247" w:lineRule="exact"/>
        <w:rPr>
          <w:sz w:val="20"/>
          <w:szCs w:val="20"/>
          <w:color w:val="auto"/>
        </w:rPr>
      </w:pPr>
    </w:p>
    <w:p>
      <w:pPr>
        <w:ind w:left="860" w:hanging="447"/>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5.01(f) of the Credit Agreement is amended to delete the word “and” at the end thereof.</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391" w:right="239" w:bottom="1440" w:gutter="0" w:footer="0" w:header="0"/>
        </w:sectPr>
      </w:pPr>
    </w:p>
    <w:bookmarkStart w:id="128" w:name="page129"/>
    <w:bookmarkEnd w:id="128"/>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5.01(g) of the Credit Agreement is amended to replace the period at then of such clause with “; and”.</w:t>
      </w:r>
    </w:p>
    <w:p>
      <w:pPr>
        <w:spacing w:after="0" w:line="265"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5.01 of the Credit Agreement is amended to add a new clause (h) as follows:</w:t>
      </w:r>
    </w:p>
    <w:p>
      <w:pPr>
        <w:spacing w:after="0" w:line="27" w:lineRule="exact"/>
        <w:rPr>
          <w:sz w:val="20"/>
          <w:szCs w:val="20"/>
          <w:color w:val="auto"/>
        </w:rPr>
      </w:pPr>
    </w:p>
    <w:p>
      <w:pPr>
        <w:jc w:val="both"/>
        <w:ind w:left="2600"/>
        <w:spacing w:after="0" w:line="263" w:lineRule="auto"/>
        <w:rPr>
          <w:sz w:val="20"/>
          <w:szCs w:val="20"/>
          <w:color w:val="auto"/>
        </w:rPr>
      </w:pPr>
      <w:r>
        <w:rPr>
          <w:rFonts w:ascii="Times New Roman" w:cs="Times New Roman" w:eastAsia="Times New Roman" w:hAnsi="Times New Roman"/>
          <w:sz w:val="18"/>
          <w:szCs w:val="18"/>
          <w:color w:val="auto"/>
        </w:rPr>
        <w:t>“(h) Promptly following any request therefor, information and documentation reasonably requested by the Administrative Agent and or any Lender for purposes of compliance with applicable “know your customer” requirements under the PATRIOT Act or other applicable anti-money laundering laws.”</w:t>
      </w:r>
    </w:p>
    <w:p>
      <w:pPr>
        <w:spacing w:after="0" w:line="206" w:lineRule="exact"/>
        <w:rPr>
          <w:sz w:val="20"/>
          <w:szCs w:val="20"/>
          <w:color w:val="auto"/>
        </w:rPr>
      </w:pPr>
    </w:p>
    <w:p>
      <w:pPr>
        <w:ind w:left="860" w:hanging="447"/>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Schedule is hereby amended and restated in its entirety by Schedule II hereto.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w:t>
            </w: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Representations and Warranties. The Borrower and the other Loan Parties hereby represent and warrant on the First</w:t>
            </w:r>
          </w:p>
        </w:tc>
      </w:tr>
      <w:tr>
        <w:trPr>
          <w:trHeight w:val="277"/>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Amendment Effective Date that:</w:t>
            </w:r>
          </w:p>
        </w:tc>
        <w:tc>
          <w:tcPr>
            <w:tcW w:w="2280" w:type="dxa"/>
            <w:vAlign w:val="bottom"/>
            <w:tcBorders>
              <w:top w:val="single" w:sz="8" w:color="auto"/>
            </w:tcBorders>
          </w:tcPr>
          <w:p>
            <w:pPr>
              <w:spacing w:after="0"/>
              <w:rPr>
                <w:sz w:val="24"/>
                <w:szCs w:val="24"/>
                <w:color w:val="auto"/>
              </w:rPr>
            </w:pPr>
          </w:p>
        </w:tc>
        <w:tc>
          <w:tcPr>
            <w:tcW w:w="6180" w:type="dxa"/>
            <w:vAlign w:val="bottom"/>
          </w:tcPr>
          <w:p>
            <w:pPr>
              <w:spacing w:after="0"/>
              <w:rPr>
                <w:sz w:val="24"/>
                <w:szCs w:val="24"/>
                <w:color w:val="auto"/>
              </w:rPr>
            </w:pPr>
          </w:p>
        </w:tc>
      </w:tr>
    </w:tbl>
    <w:p>
      <w:pPr>
        <w:spacing w:after="0" w:line="238" w:lineRule="exact"/>
        <w:rPr>
          <w:sz w:val="20"/>
          <w:szCs w:val="20"/>
          <w:color w:val="auto"/>
        </w:rPr>
      </w:pPr>
    </w:p>
    <w:p>
      <w:pPr>
        <w:jc w:val="both"/>
        <w:ind w:firstLine="413"/>
        <w:spacing w:after="0" w:line="313" w:lineRule="auto"/>
        <w:tabs>
          <w:tab w:leader="none" w:pos="8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Loan Parties of the First Amendment is within each Loan Party’s corporate or limited liability company powers, as the case may be, and have been duly authorized by all necessary corporate or limited liability company and, if required, stockholder or member action.</w:t>
      </w:r>
    </w:p>
    <w:p>
      <w:pPr>
        <w:spacing w:after="0" w:line="176" w:lineRule="exact"/>
        <w:rPr>
          <w:rFonts w:ascii="Times New Roman" w:cs="Times New Roman" w:eastAsia="Times New Roman" w:hAnsi="Times New Roman"/>
          <w:sz w:val="18"/>
          <w:szCs w:val="18"/>
          <w:color w:val="auto"/>
        </w:rPr>
      </w:pPr>
    </w:p>
    <w:p>
      <w:pPr>
        <w:jc w:val="both"/>
        <w:ind w:firstLine="413"/>
        <w:spacing w:after="0" w:line="313" w:lineRule="auto"/>
        <w:tabs>
          <w:tab w:leader="none" w:pos="8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Amendment has been duly executed and delivered by the Loan Parties and constitutes a legal, valid and binding obligation of each Loan Party, enforceable against each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6" w:lineRule="exact"/>
        <w:rPr>
          <w:rFonts w:ascii="Times New Roman" w:cs="Times New Roman" w:eastAsia="Times New Roman" w:hAnsi="Times New Roman"/>
          <w:sz w:val="18"/>
          <w:szCs w:val="18"/>
          <w:color w:val="auto"/>
        </w:rPr>
      </w:pPr>
    </w:p>
    <w:p>
      <w:pPr>
        <w:jc w:val="both"/>
        <w:ind w:firstLine="413"/>
        <w:spacing w:after="0" w:line="301" w:lineRule="auto"/>
        <w:tabs>
          <w:tab w:leader="none" w:pos="8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the Loan Parties of the First Amendment (i)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will not violate any Requirement of Law applicable to any Loan Party or any of its Subsidiaries any order of any Governmental Authority, (iii) will not violate or result in a default under, or give rise to a right to require any payment to be made by any Loan Party or any of its Subsidiaries under, (A) any indenture or loan agreement, in each case, evidencing Indebtedness in excess of $2 million, (B) any Swap Agreement or (C) any other material agreement, in each case which is binding upon any Loan Party or any of its Subsidiaries or its assets, and (iv) will not result in the creation or imposition of any Lien on any asset of any Loan Party or any of its Subsidiaries, except Liens created pursuant to the Loan Documents,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(iii)(C)</w:t>
      </w:r>
      <w:r>
        <w:rPr>
          <w:rFonts w:ascii="Times New Roman" w:cs="Times New Roman" w:eastAsia="Times New Roman" w:hAnsi="Times New Roman"/>
          <w:sz w:val="18"/>
          <w:szCs w:val="18"/>
          <w:color w:val="auto"/>
        </w:rPr>
        <w:t>, except as would not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413"/>
        <w:spacing w:after="0" w:line="313" w:lineRule="auto"/>
        <w:tabs>
          <w:tab w:leader="none" w:pos="8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the First Amendment Effective Date and the availability of the Commitment Increase documented hereby, no Default or Event of Default has occurred or would result from this First Amendment or from the application of any proceeds from any borrowings on the First Amendment Effective Date.</w:t>
      </w:r>
    </w:p>
    <w:p>
      <w:pPr>
        <w:spacing w:after="0" w:line="176" w:lineRule="exact"/>
        <w:rPr>
          <w:rFonts w:ascii="Times New Roman" w:cs="Times New Roman" w:eastAsia="Times New Roman" w:hAnsi="Times New Roman"/>
          <w:sz w:val="18"/>
          <w:szCs w:val="18"/>
          <w:color w:val="auto"/>
        </w:rPr>
      </w:pPr>
    </w:p>
    <w:p>
      <w:pPr>
        <w:jc w:val="both"/>
        <w:ind w:firstLine="413"/>
        <w:spacing w:after="0" w:line="308" w:lineRule="auto"/>
        <w:tabs>
          <w:tab w:leader="none" w:pos="8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Loan Party set forth in the Credit Agreement and in each other Loan Document are true and correct in all material respects with the same effect as though made on and as of such date, except that (i) to the extent that such representations and warranties specifically refer to an earlier date, such representations and warranties are true and correct in all material respects as of such earlier date and (ii) any representation and warranty that is qualified as to “materiality” or “Material Adverse Effect” is true and correct in all respects.</w:t>
      </w:r>
    </w:p>
    <w:p>
      <w:pPr>
        <w:spacing w:after="0" w:line="179" w:lineRule="exact"/>
        <w:rPr>
          <w:rFonts w:ascii="Times New Roman" w:cs="Times New Roman" w:eastAsia="Times New Roman" w:hAnsi="Times New Roman"/>
          <w:sz w:val="18"/>
          <w:szCs w:val="18"/>
          <w:color w:val="auto"/>
        </w:rPr>
      </w:pPr>
    </w:p>
    <w:p>
      <w:pPr>
        <w:jc w:val="both"/>
        <w:ind w:firstLine="413"/>
        <w:spacing w:after="0" w:line="308" w:lineRule="auto"/>
        <w:tabs>
          <w:tab w:leader="none" w:pos="8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First Amendment Effective Date, the information included in the Beneficial Ownership Certification is true and correct in all respects. For purposes of this First Amendment,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shall mean a certification regarding beneficial ownership required by the Beneficial Ownership Regulation (31 C.F.R § 1010.230), which certification shall be in form and substance agreed to by the Borrower and the Administrative Agent.</w:t>
      </w:r>
    </w:p>
    <w:p>
      <w:pPr>
        <w:spacing w:after="0" w:line="180"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Conditions of Effectiveness of the First Amendment</w:t>
      </w:r>
      <w:r>
        <w:rPr>
          <w:rFonts w:ascii="Times New Roman" w:cs="Times New Roman" w:eastAsia="Times New Roman" w:hAnsi="Times New Roman"/>
          <w:sz w:val="18"/>
          <w:szCs w:val="18"/>
          <w:color w:val="auto"/>
        </w:rPr>
        <w:t>. This First Amendment shall become effective as of the date on which the following conditions shall have been satisfied (or waived)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13"/>
        <w:spacing w:after="0" w:line="329" w:lineRule="auto"/>
        <w:tabs>
          <w:tab w:leader="none" w:pos="8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counterparts to this First Amendment, duly executed by (i) the Borrower and the other Loan Parties, (ii) each Incremental Lender and (iii) the existing Lenders constituting Required Lenders;</w:t>
      </w:r>
    </w:p>
    <w:p>
      <w:pPr>
        <w:spacing w:after="0" w:line="161" w:lineRule="exact"/>
        <w:rPr>
          <w:rFonts w:ascii="Times New Roman" w:cs="Times New Roman" w:eastAsia="Times New Roman" w:hAnsi="Times New Roman"/>
          <w:sz w:val="18"/>
          <w:szCs w:val="18"/>
          <w:color w:val="auto"/>
        </w:rPr>
      </w:pPr>
    </w:p>
    <w:p>
      <w:pPr>
        <w:jc w:val="both"/>
        <w:ind w:firstLine="413"/>
        <w:spacing w:after="0" w:line="308" w:lineRule="auto"/>
        <w:tabs>
          <w:tab w:leader="none" w:pos="8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SCIOinspire Holdings, Inc., a Cayman Islands exempted company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with ExlService Cayman Merger Sub, a Cayman Islands exempted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with the Target as the surviving entity, pursuant to the Agreement of Merger, dated as of April 28, 2018,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ExlService.com, LLC, as the buyer, the Target, Merger Sub and the Borrower (together with all schedules, exhibits and annexes thereto,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have been</w:t>
      </w:r>
    </w:p>
    <w:p>
      <w:pPr>
        <w:sectPr>
          <w:pgSz w:w="11900" w:h="16838" w:orient="portrait"/>
          <w:cols w:equalWidth="0" w:num="1">
            <w:col w:w="11420"/>
          </w:cols>
          <w:pgMar w:left="240" w:top="391" w:right="2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391" w:right="239" w:bottom="1440" w:gutter="0" w:footer="0" w:header="0"/>
          <w:type w:val="continuous"/>
        </w:sectPr>
      </w:pPr>
    </w:p>
    <w:bookmarkStart w:id="129" w:name="page130"/>
    <w:bookmarkEnd w:id="129"/>
    <w:p>
      <w:pPr>
        <w:jc w:val="both"/>
        <w:spacing w:after="0" w:line="313" w:lineRule="auto"/>
        <w:rPr>
          <w:sz w:val="20"/>
          <w:szCs w:val="20"/>
          <w:color w:val="auto"/>
        </w:rPr>
      </w:pPr>
      <w:r>
        <w:rPr>
          <w:rFonts w:ascii="Times New Roman" w:cs="Times New Roman" w:eastAsia="Times New Roman" w:hAnsi="Times New Roman"/>
          <w:sz w:val="18"/>
          <w:szCs w:val="18"/>
          <w:color w:val="auto"/>
        </w:rPr>
        <w:t>consummated or shall be consummated substantially simultaneously with this First Amendment in accordance with the terms described in the Merger Agreement (without any amendment, modification, supplement or waiver to the Merger Agreement or any consent or election thereunder that is material to the interests of the Lenders without the prior written consent of the Administrative Agent);</w:t>
      </w:r>
    </w:p>
    <w:p>
      <w:pPr>
        <w:spacing w:after="0" w:line="176" w:lineRule="exact"/>
        <w:rPr>
          <w:sz w:val="20"/>
          <w:szCs w:val="20"/>
          <w:color w:val="auto"/>
        </w:rPr>
      </w:pPr>
    </w:p>
    <w:p>
      <w:pPr>
        <w:jc w:val="both"/>
        <w:ind w:firstLine="413"/>
        <w:spacing w:after="0" w:line="313" w:lineRule="auto"/>
        <w:tabs>
          <w:tab w:leader="none" w:pos="8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the First Amendment Effective Date and the availability of the Commitment Increase documented hereby, no Default or Event of Default shall exist or would result from this First Amendment or from the application of any proceeds from any borrowings on the First Amendment Effective Date or the consummation of the transactions contemplated by the Merger Agreement;</w:t>
      </w:r>
    </w:p>
    <w:p>
      <w:pPr>
        <w:spacing w:after="0" w:line="176" w:lineRule="exact"/>
        <w:rPr>
          <w:rFonts w:ascii="Times New Roman" w:cs="Times New Roman" w:eastAsia="Times New Roman" w:hAnsi="Times New Roman"/>
          <w:sz w:val="18"/>
          <w:szCs w:val="18"/>
          <w:color w:val="auto"/>
        </w:rPr>
      </w:pPr>
    </w:p>
    <w:p>
      <w:pPr>
        <w:jc w:val="both"/>
        <w:ind w:firstLine="413"/>
        <w:spacing w:after="0" w:line="305" w:lineRule="auto"/>
        <w:tabs>
          <w:tab w:leader="none" w:pos="8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Loan Party set forth in the Credit Agreement and in each other Loan Document shall be true and correct in all material respects on and as of the First Amendment Effective Date with the same effect as though made on and as of such date,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w:t>
      </w:r>
    </w:p>
    <w:p>
      <w:pPr>
        <w:spacing w:after="0" w:line="183" w:lineRule="exact"/>
        <w:rPr>
          <w:rFonts w:ascii="Times New Roman" w:cs="Times New Roman" w:eastAsia="Times New Roman" w:hAnsi="Times New Roman"/>
          <w:sz w:val="18"/>
          <w:szCs w:val="18"/>
          <w:color w:val="auto"/>
        </w:rPr>
      </w:pPr>
    </w:p>
    <w:p>
      <w:pPr>
        <w:jc w:val="both"/>
        <w:ind w:firstLine="413"/>
        <w:spacing w:after="0" w:line="313" w:lineRule="auto"/>
        <w:tabs>
          <w:tab w:leader="none" w:pos="8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facsimiles unless otherwise specified, each properly executed by a Responsible Officer of the signing Loan Party and each in form and substance reasonably satisfactory to the Administrative Agent and its legal counsel:</w:t>
      </w:r>
    </w:p>
    <w:p>
      <w:pPr>
        <w:spacing w:after="0" w:line="176" w:lineRule="exact"/>
        <w:rPr>
          <w:rFonts w:ascii="Times New Roman" w:cs="Times New Roman" w:eastAsia="Times New Roman" w:hAnsi="Times New Roman"/>
          <w:sz w:val="18"/>
          <w:szCs w:val="18"/>
          <w:color w:val="auto"/>
        </w:rPr>
      </w:pPr>
    </w:p>
    <w:p>
      <w:pPr>
        <w:jc w:val="both"/>
        <w:ind w:left="660" w:firstLine="969"/>
        <w:spacing w:after="0" w:line="313" w:lineRule="auto"/>
        <w:tabs>
          <w:tab w:leader="none" w:pos="212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First Amendment Effective Date, signed by the chief financial officer of each Loan Party, certifying as to compliance with the conditions precedent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certifying that the acquisition of the Target pursuant to the Merger Agreement constitutes a Permitted Acquisition under the Credit Agreement;</w:t>
      </w:r>
    </w:p>
    <w:p>
      <w:pPr>
        <w:spacing w:after="0" w:line="176" w:lineRule="exact"/>
        <w:rPr>
          <w:rFonts w:ascii="Times New Roman" w:cs="Times New Roman" w:eastAsia="Times New Roman" w:hAnsi="Times New Roman"/>
          <w:sz w:val="18"/>
          <w:szCs w:val="18"/>
          <w:color w:val="auto"/>
        </w:rPr>
      </w:pPr>
    </w:p>
    <w:p>
      <w:pPr>
        <w:jc w:val="both"/>
        <w:ind w:left="660" w:firstLine="969"/>
        <w:spacing w:after="0" w:line="297" w:lineRule="auto"/>
        <w:tabs>
          <w:tab w:leader="none" w:pos="217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Loan Party, dated the First Amendment Effective Date and executed by its Secretary or Assistant Secretary, which shall (A) certify the resolutions of its Board of Directors, members or other body authorizing the execution, delivery and performance of the First Amendment, (B) identify by name and title and bear the signatures of the Financial Officers and any other officers of such Loan Party</w:t>
      </w:r>
    </w:p>
    <w:p>
      <w:pPr>
        <w:spacing w:after="0" w:line="1" w:lineRule="exact"/>
        <w:rPr>
          <w:rFonts w:ascii="Times New Roman" w:cs="Times New Roman" w:eastAsia="Times New Roman" w:hAnsi="Times New Roman"/>
          <w:sz w:val="18"/>
          <w:szCs w:val="18"/>
          <w:color w:val="auto"/>
        </w:rPr>
      </w:pPr>
    </w:p>
    <w:p>
      <w:pPr>
        <w:jc w:val="both"/>
        <w:ind w:left="660"/>
        <w:spacing w:after="0" w:line="251"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to sign the First Amendment, and (C) certify that (1) attached thereto is the certificate or articles of incorporation or organization of each Loan Party certified by the relevant authority of the jurisdiction of organization of such Loan Party and a true and correct copy of its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operating, management or partnership agreement or (2) the equivalent documents provided to the Administrative Agent on the Closing Date remain in full force and effect and have not been amended or otherwise modified since such date.</w:t>
      </w:r>
    </w:p>
    <w:p>
      <w:pPr>
        <w:spacing w:after="0" w:line="238" w:lineRule="exact"/>
        <w:rPr>
          <w:rFonts w:ascii="Times New Roman" w:cs="Times New Roman" w:eastAsia="Times New Roman" w:hAnsi="Times New Roman"/>
          <w:sz w:val="18"/>
          <w:szCs w:val="18"/>
          <w:color w:val="auto"/>
        </w:rPr>
      </w:pPr>
    </w:p>
    <w:p>
      <w:pPr>
        <w:ind w:left="2220" w:hanging="591"/>
        <w:spacing w:after="0"/>
        <w:tabs>
          <w:tab w:leader="none" w:pos="22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 form good standing certificate for each Loan Party from its jurisdiction of organization.</w:t>
      </w:r>
    </w:p>
    <w:p>
      <w:pPr>
        <w:spacing w:after="0" w:line="265" w:lineRule="exact"/>
        <w:rPr>
          <w:rFonts w:ascii="Times New Roman" w:cs="Times New Roman" w:eastAsia="Times New Roman" w:hAnsi="Times New Roman"/>
          <w:sz w:val="18"/>
          <w:szCs w:val="18"/>
          <w:color w:val="auto"/>
        </w:rPr>
      </w:pPr>
    </w:p>
    <w:p>
      <w:pPr>
        <w:ind w:left="2220" w:hanging="591"/>
        <w:spacing w:after="0"/>
        <w:tabs>
          <w:tab w:leader="none" w:pos="22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Ropes &amp; Gray LLP, counsel to the Loan Parties; and</w:t>
      </w:r>
    </w:p>
    <w:p>
      <w:pPr>
        <w:spacing w:after="0" w:line="265" w:lineRule="exact"/>
        <w:rPr>
          <w:rFonts w:ascii="Times New Roman" w:cs="Times New Roman" w:eastAsia="Times New Roman" w:hAnsi="Times New Roman"/>
          <w:sz w:val="18"/>
          <w:szCs w:val="18"/>
          <w:color w:val="auto"/>
        </w:rPr>
      </w:pPr>
    </w:p>
    <w:p>
      <w:pPr>
        <w:jc w:val="both"/>
        <w:ind w:left="660" w:firstLine="969"/>
        <w:spacing w:after="0" w:line="313" w:lineRule="auto"/>
        <w:tabs>
          <w:tab w:leader="none" w:pos="216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attesting to the solvency of the Borrower and its Subsidiaries (taken as a whole) on the First Amendment Effective Date after giving effect to the transactions contemplated hereby, including the Requested Increase and any borrowings thereunder, from the chief financial officer of the Borrower;</w:t>
      </w:r>
    </w:p>
    <w:p>
      <w:pPr>
        <w:spacing w:after="0" w:line="176" w:lineRule="exact"/>
        <w:rPr>
          <w:rFonts w:ascii="Times New Roman" w:cs="Times New Roman" w:eastAsia="Times New Roman" w:hAnsi="Times New Roman"/>
          <w:sz w:val="18"/>
          <w:szCs w:val="18"/>
          <w:color w:val="auto"/>
        </w:rPr>
      </w:pPr>
    </w:p>
    <w:p>
      <w:pPr>
        <w:ind w:firstLine="413"/>
        <w:spacing w:after="0" w:line="329"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or cause to be paid of all fees required to be paid by that certain Fee Letter, dated as of May 8, 2018, by and between the Borrower and the Administrative Agent and reasonable out-of-pocket expenses required to be paid by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jc w:val="both"/>
        <w:ind w:firstLine="413"/>
        <w:spacing w:after="0" w:line="305" w:lineRule="auto"/>
        <w:tabs>
          <w:tab w:leader="none" w:pos="8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facility provided under the Second Amended and Restated Loan and Security Agreement, dated as of December 15, 2014, among Silicon Valley Bank, SCIOinspire Corp., a wholly owned subsidiary of the Target, and Hospital Audit Locus, Inc. shall be paid in full substantially simultaneously with this First Amendment and any guarantees and/or security interests shall be released at such time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and the Borrower shall have provided the Administrative Agent payoff and release documentation in form and substance reasonably satisfactory to the Administrative Agent with respect to such Refinancing; and</w:t>
      </w:r>
    </w:p>
    <w:p>
      <w:pPr>
        <w:spacing w:after="0" w:line="183" w:lineRule="exact"/>
        <w:rPr>
          <w:rFonts w:ascii="Times New Roman" w:cs="Times New Roman" w:eastAsia="Times New Roman" w:hAnsi="Times New Roman"/>
          <w:sz w:val="18"/>
          <w:szCs w:val="18"/>
          <w:color w:val="auto"/>
        </w:rPr>
      </w:pPr>
    </w:p>
    <w:p>
      <w:pPr>
        <w:jc w:val="both"/>
        <w:ind w:firstLine="413"/>
        <w:spacing w:after="0" w:line="313" w:lineRule="auto"/>
        <w:tabs>
          <w:tab w:leader="none" w:pos="8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days prior to the First Amendment Effective Date, if the Borrower qualifies as a “legal entity customer” under the Beneficial Ownership Regulation, the Borrower shall have delivered a Beneficial Ownership Certification to each Lender who has requested a Beneficial Ownership Certification.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391" w:right="239" w:bottom="1440" w:gutter="0" w:footer="0" w:header="0"/>
        </w:sectPr>
      </w:pPr>
    </w:p>
    <w:bookmarkStart w:id="130" w:name="page131"/>
    <w:bookmarkEnd w:id="130"/>
    <w:p>
      <w:pPr>
        <w:ind w:left="420"/>
        <w:spacing w:after="0"/>
        <w:tabs>
          <w:tab w:leader="none" w:pos="29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Reference to and Effect on the Credit Agreement and the other Loan Documents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20" w:firstLine="413"/>
        <w:spacing w:after="0" w:line="297" w:lineRule="auto"/>
        <w:tabs>
          <w:tab w:leader="none" w:pos="8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First Amendment Effective Date, each reference in the Credit Agreement to “this Agreement,” “hereunder,” “hereof” or words of like import referring to the Credit Agreement shall mean and be a reference to the Credit Agreement, as amended by this First Amendment.</w:t>
      </w:r>
    </w:p>
    <w:p>
      <w:pPr>
        <w:ind w:right="20" w:firstLine="413"/>
        <w:spacing w:after="0" w:line="329" w:lineRule="auto"/>
        <w:tabs>
          <w:tab w:leader="none" w:pos="85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and each of the other Loan Documents, as specifically amended by this First Amendment, are and shall continue to be in full force and effect and are hereby in all respects ratified and confirmed.</w:t>
      </w:r>
    </w:p>
    <w:p>
      <w:pPr>
        <w:spacing w:after="0" w:line="161" w:lineRule="exact"/>
        <w:rPr>
          <w:rFonts w:ascii="Times New Roman" w:cs="Times New Roman" w:eastAsia="Times New Roman" w:hAnsi="Times New Roman"/>
          <w:sz w:val="18"/>
          <w:szCs w:val="18"/>
          <w:color w:val="auto"/>
        </w:rPr>
      </w:pPr>
    </w:p>
    <w:p>
      <w:pPr>
        <w:jc w:val="both"/>
        <w:ind w:firstLine="413"/>
        <w:spacing w:after="0" w:line="313" w:lineRule="auto"/>
        <w:tabs>
          <w:tab w:leader="none" w:pos="8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First Amendment shall not, except as expressly provided herein, operate as a waiver of any right, power or remedy of any Lender or the Administrative Agent under any of the Loan Documents, nor constitute a waiver of any provision of any of the Loan Documents. On and after the First Amendment Effective Date, this First Amendment shall for all purposes constitute a Loan Document.</w:t>
      </w:r>
    </w:p>
    <w:p>
      <w:pPr>
        <w:spacing w:after="0" w:line="176" w:lineRule="exact"/>
        <w:rPr>
          <w:rFonts w:ascii="Times New Roman" w:cs="Times New Roman" w:eastAsia="Times New Roman" w:hAnsi="Times New Roman"/>
          <w:sz w:val="18"/>
          <w:szCs w:val="18"/>
          <w:color w:val="auto"/>
        </w:rPr>
      </w:pPr>
    </w:p>
    <w:p>
      <w:pPr>
        <w:jc w:val="both"/>
        <w:ind w:firstLine="413"/>
        <w:spacing w:after="0" w:line="313" w:lineRule="auto"/>
        <w:tabs>
          <w:tab w:leader="none" w:pos="85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shall not extinguish the Loans or any other Obligations outstanding under the Credit Agreement. Nothing contained herein shall be construed as a substitution or novation of the Loans or any other Obligations outstanding under the Credit Agreement, which shall remain outstanding after the First Amendment Effective Date as modified hereby.</w:t>
      </w:r>
    </w:p>
    <w:p>
      <w:pPr>
        <w:spacing w:after="0" w:line="176" w:lineRule="exact"/>
        <w:rPr>
          <w:rFonts w:ascii="Times New Roman" w:cs="Times New Roman" w:eastAsia="Times New Roman" w:hAnsi="Times New Roman"/>
          <w:sz w:val="18"/>
          <w:szCs w:val="18"/>
          <w:color w:val="auto"/>
        </w:rPr>
      </w:pPr>
    </w:p>
    <w:p>
      <w:pPr>
        <w:jc w:val="both"/>
        <w:ind w:firstLine="413"/>
        <w:spacing w:after="0" w:line="302" w:lineRule="auto"/>
        <w:tabs>
          <w:tab w:leader="none" w:pos="8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expressly acknowledges and agrees that (i) there has not been, and this First Amendment does not constitute or establish, a novation with respect to the Credit Agreement or any other Loan Document, or a mutual departure from the strict terms, provisions, and conditions thereof and (ii) nothing in this First Amendment shall affect or limit the Administrative Agent’s or Lenders’ right to demand payment of liabilities owing from Borrower to Administrative Agent or the Lenders under, or to demand strict performance of the terms, provisions and conditions of, the Credit Agreement and the other Loan Documents, to exercise any and all rights, powers, and remedies under the Credit Agreement or the other Loan Documents or at law or in equity, or to do any and all of the foregoing, immediately at any time after the occurrence and continuance of an Event of Default under the Credit Agreement or the other Loan Documents.</w:t>
      </w:r>
    </w:p>
    <w:p>
      <w:pPr>
        <w:spacing w:after="0" w:line="189" w:lineRule="exact"/>
        <w:rPr>
          <w:sz w:val="20"/>
          <w:szCs w:val="20"/>
          <w:color w:val="auto"/>
        </w:rPr>
      </w:pPr>
    </w:p>
    <w:p>
      <w:pPr>
        <w:jc w:val="both"/>
        <w:ind w:firstLine="405"/>
        <w:spacing w:after="0" w:line="30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Borrower and each other Loan Party hereby (a) reaffirms its obligations under the Credit Agreement and each other Loan Document to which it is a party, in each case as amended by this First Amendment, (b) reaffirms all Liens on the Collateral which have been granted by it in favor of the Administrative Agent (for the benefit of the Secured Parties) pursuant to the Loan Documents and (c) acknowledges and agrees that the grants of security interests by and the guarantees of the Loan Parties contained in the Loan Documents are, and shall remain, in full force and effect immediately after giving effect to this First Amendment and shall apply equally to the Requested Increase.</w:t>
      </w:r>
    </w:p>
    <w:p>
      <w:pPr>
        <w:spacing w:after="0" w:line="184" w:lineRule="exact"/>
        <w:rPr>
          <w:sz w:val="20"/>
          <w:szCs w:val="20"/>
          <w:color w:val="auto"/>
        </w:rPr>
      </w:pPr>
    </w:p>
    <w:p>
      <w:pPr>
        <w:jc w:val="both"/>
        <w:ind w:firstLine="405"/>
        <w:spacing w:after="0" w:line="31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hereby agrees to pay or reimburse the Administrative Agent for its reasonable and documented out-of-pocket costs and expenses incurred in connection with this First Amendment in accordance with, and to the extent required by, the terms and conditions of Section 9.03 of the Credit Agreement.</w:t>
      </w:r>
    </w:p>
    <w:p>
      <w:pPr>
        <w:spacing w:after="0" w:line="176" w:lineRule="exact"/>
        <w:rPr>
          <w:sz w:val="20"/>
          <w:szCs w:val="20"/>
          <w:color w:val="auto"/>
        </w:rPr>
      </w:pPr>
    </w:p>
    <w:p>
      <w:pPr>
        <w:jc w:val="both"/>
        <w:ind w:firstLine="405"/>
        <w:spacing w:after="0" w:line="30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First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First Amendment by telecopy, emailed .pdf or any other electronic means that reproduces an image of the actual executed signature page shall be effective as delivery of a manually executed counterpart of this First Amendment. The words “execution,” “signed,” “signature,” “delivery,” and words of like import in or relating to any document to be signed in connection with this First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9" w:lineRule="exact"/>
        <w:rPr>
          <w:sz w:val="20"/>
          <w:szCs w:val="20"/>
          <w:color w:val="auto"/>
        </w:rPr>
      </w:pPr>
    </w:p>
    <w:p>
      <w:pPr>
        <w:ind w:left="420"/>
        <w:spacing w:after="0"/>
        <w:tabs>
          <w:tab w:leader="none" w:pos="29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860" w:hanging="447"/>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shall be governed by and construed in accordance with the laws of the State of New York</w:t>
      </w:r>
    </w:p>
    <w:p>
      <w:pPr>
        <w:spacing w:after="0" w:line="265" w:lineRule="exact"/>
        <w:rPr>
          <w:rFonts w:ascii="Times New Roman" w:cs="Times New Roman" w:eastAsia="Times New Roman" w:hAnsi="Times New Roman"/>
          <w:sz w:val="18"/>
          <w:szCs w:val="18"/>
          <w:color w:val="auto"/>
        </w:rPr>
      </w:pPr>
    </w:p>
    <w:p>
      <w:pPr>
        <w:jc w:val="both"/>
        <w:ind w:firstLine="413"/>
        <w:spacing w:after="0" w:line="303" w:lineRule="auto"/>
        <w:tabs>
          <w:tab w:leader="none" w:pos="8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submits, for itself and its property, to the exclusive jurisdiction of any U.S. Federal or New York State court sitting in New York, New York in any action or proceeding arising out of or relating to this First Amendment or the transactions contemplated hereby,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w:t>
      </w:r>
    </w:p>
    <w:p>
      <w:pPr>
        <w:sectPr>
          <w:pgSz w:w="11900" w:h="16838" w:orient="portrait"/>
          <w:cols w:equalWidth="0" w:num="1">
            <w:col w:w="11420"/>
          </w:cols>
          <w:pgMar w:left="240" w:top="391" w:right="2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391" w:right="239" w:bottom="1440" w:gutter="0" w:footer="0" w:header="0"/>
          <w:type w:val="continuous"/>
        </w:sectPr>
      </w:pPr>
    </w:p>
    <w:bookmarkStart w:id="131" w:name="page132"/>
    <w:bookmarkEnd w:id="131"/>
    <w:p>
      <w:pPr>
        <w:jc w:val="both"/>
        <w:spacing w:after="0" w:line="313" w:lineRule="auto"/>
        <w:rPr>
          <w:sz w:val="20"/>
          <w:szCs w:val="20"/>
          <w:color w:val="auto"/>
        </w:rPr>
      </w:pPr>
      <w:r>
        <w:rPr>
          <w:rFonts w:ascii="Times New Roman" w:cs="Times New Roman" w:eastAsia="Times New Roman" w:hAnsi="Times New Roman"/>
          <w:sz w:val="18"/>
          <w:szCs w:val="18"/>
          <w:color w:val="auto"/>
        </w:rPr>
        <w:t>suit on the judgment or in any other manner provided by law. Nothing in this First Amendment shall affect any right that the Administrative Agent or any Lender may otherwise have to bring any action or proceeding relating to this First Amendment or the transactions contemplated hereby against any Loan Party or its properties in the courts of any jurisdiction.</w:t>
      </w:r>
    </w:p>
    <w:p>
      <w:pPr>
        <w:spacing w:after="0" w:line="176" w:lineRule="exact"/>
        <w:rPr>
          <w:sz w:val="20"/>
          <w:szCs w:val="20"/>
          <w:color w:val="auto"/>
        </w:rPr>
      </w:pPr>
    </w:p>
    <w:p>
      <w:pPr>
        <w:jc w:val="both"/>
        <w:ind w:firstLine="413"/>
        <w:spacing w:after="0" w:line="308" w:lineRule="auto"/>
        <w:tabs>
          <w:tab w:leader="none" w:pos="8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First Amendment and the transactions contemplated hereby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10.</w:t>
            </w:r>
          </w:p>
        </w:tc>
        <w:tc>
          <w:tcPr>
            <w:tcW w:w="8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Waiver of Jury Trial. EACH PARTY HERETO HEREBY WAIVES, TO THE FULLEST EXTENT PERMITTED</w:t>
            </w:r>
          </w:p>
        </w:tc>
      </w:tr>
      <w:tr>
        <w:trPr>
          <w:trHeight w:val="20"/>
        </w:trPr>
        <w:tc>
          <w:tcPr>
            <w:tcW w:w="3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77"/>
        </w:trPr>
        <w:tc>
          <w:tcPr>
            <w:tcW w:w="1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BY APPLICABLE LAW, ANY RIGHT IT MAY HAVE TO A TRIAL BY JURY IN ANY LEGAL PROCEEDING DIRECTLY OR INDIRECTLY</w:t>
            </w:r>
          </w:p>
        </w:tc>
      </w:tr>
      <w:tr>
        <w:trPr>
          <w:trHeight w:val="257"/>
        </w:trPr>
        <w:tc>
          <w:tcPr>
            <w:tcW w:w="1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w w:val="99"/>
              </w:rPr>
              <w:t>ARISING OUT OF OR RELATING TO THIS FIRST AMENDMENT OR THE TRANSACTIONS CONTEMPLATED HEREBY (WHETHER BASED ON</w:t>
            </w:r>
          </w:p>
        </w:tc>
      </w:tr>
      <w:tr>
        <w:trPr>
          <w:trHeight w:val="257"/>
        </w:trPr>
        <w:tc>
          <w:tcPr>
            <w:tcW w:w="1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CONTRACT, TORT OR ANY OTHER THEORY). EACH PARTY HERETO (A) CERTIFIES THAT NO REPRESENTATIVE, OTHER AGENT</w:t>
            </w:r>
          </w:p>
        </w:tc>
      </w:tr>
      <w:tr>
        <w:trPr>
          <w:trHeight w:val="257"/>
        </w:trPr>
        <w:tc>
          <w:tcPr>
            <w:tcW w:w="1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(INCLUDING ANY ATTORNEY) OF ANY OTHER PARTY HAS REPRESENTED, EXPRESSLY OR OTHERWISE, THAT SUCH OTHER PARTY</w:t>
            </w:r>
          </w:p>
        </w:tc>
      </w:tr>
      <w:tr>
        <w:trPr>
          <w:trHeight w:val="257"/>
        </w:trPr>
        <w:tc>
          <w:tcPr>
            <w:tcW w:w="1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WOULD NOT, IN THE EVENT OF LITIGATION, SEEK TO ENFORCE THE FOREGOING WAIVER AND (B) ACKNOWLEDGES THAT IT AND</w:t>
            </w:r>
          </w:p>
        </w:tc>
      </w:tr>
      <w:tr>
        <w:trPr>
          <w:trHeight w:val="257"/>
        </w:trPr>
        <w:tc>
          <w:tcPr>
            <w:tcW w:w="1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THE OTHER PARTIES HERETO HAVE BEEN INDUCED TO ENTER INTO THIS FIRST AMENDMENT BY, AMONG OTHER THINGS, THE</w:t>
            </w:r>
          </w:p>
        </w:tc>
      </w:tr>
      <w:tr>
        <w:trPr>
          <w:trHeight w:val="257"/>
        </w:trPr>
        <w:tc>
          <w:tcPr>
            <w:tcW w:w="11420" w:type="dxa"/>
            <w:vAlign w:val="bottom"/>
            <w:gridSpan w:val="5"/>
          </w:tcPr>
          <w:p>
            <w:pPr>
              <w:jc w:val="right"/>
              <w:ind w:right="6360"/>
              <w:spacing w:after="0"/>
              <w:rPr>
                <w:sz w:val="20"/>
                <w:szCs w:val="20"/>
                <w:color w:val="auto"/>
              </w:rPr>
            </w:pPr>
            <w:r>
              <w:rPr>
                <w:rFonts w:ascii="Times New Roman" w:cs="Times New Roman" w:eastAsia="Times New Roman" w:hAnsi="Times New Roman"/>
                <w:sz w:val="18"/>
                <w:szCs w:val="18"/>
                <w:color w:val="auto"/>
                <w:w w:val="98"/>
              </w:rPr>
              <w:t>MUTUAL WAIVERS AND CERTIFICATIONS IN THIS SECTION.</w:t>
            </w:r>
          </w:p>
        </w:tc>
      </w:tr>
      <w:tr>
        <w:trPr>
          <w:trHeight w:val="432"/>
        </w:trPr>
        <w:tc>
          <w:tcPr>
            <w:tcW w:w="3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11.</w:t>
            </w:r>
          </w:p>
        </w:tc>
        <w:tc>
          <w:tcPr>
            <w:tcW w:w="80" w:type="dxa"/>
            <w:vAlign w:val="bottom"/>
          </w:tcPr>
          <w:p>
            <w:pPr>
              <w:spacing w:after="0"/>
              <w:rPr>
                <w:sz w:val="24"/>
                <w:szCs w:val="24"/>
                <w:color w:val="auto"/>
              </w:rPr>
            </w:pP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Headings. Section headings herein are included for convenience of reference only and shall not affect the</w:t>
            </w: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interpretation of this First Amendment.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391" w:right="239" w:bottom="1440" w:gutter="0" w:footer="0" w:header="0"/>
        </w:sectPr>
      </w:pPr>
    </w:p>
    <w:bookmarkStart w:id="132" w:name="page133"/>
    <w:bookmarkEnd w:id="132"/>
    <w:p>
      <w:pPr>
        <w:ind w:firstLine="405"/>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First Amendment to be executed by their respective officers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EXLSERVICE HOLDINGS, INC.</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as Borrower</w:t>
      </w:r>
    </w:p>
    <w:p>
      <w:pPr>
        <w:spacing w:after="0" w:line="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By:/s/ Vishal Chhibbar</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Vishal Chhibbar</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Financial Officer &amp; Executive Vice President</w:t>
      </w:r>
    </w:p>
    <w:p>
      <w:pPr>
        <w:spacing w:after="0" w:line="2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EXLSERVICE.COM, LLC</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as a Loan Guarantor</w:t>
      </w:r>
    </w:p>
    <w:p>
      <w:pPr>
        <w:spacing w:after="0" w:line="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By:/s/ Vishal Chhibbar</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Vishal Chhibbar</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Financial Officer &amp; Executive Vice 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EXLSERVICE TECHNOLOGY SOLUTIONS, LLC</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as a Loan Guarantor</w:t>
      </w:r>
    </w:p>
    <w:p>
      <w:pPr>
        <w:spacing w:after="0" w:line="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By:/s/ Vishal Chhibbar</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Vishal Chhibbar</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Financial Officer &amp; Executive Vice 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BUSINESS PROCESS OUTSOURCING, L.L.C.</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as a Loan Guarantor</w:t>
      </w:r>
    </w:p>
    <w:p>
      <w:pPr>
        <w:spacing w:after="0" w:line="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By:/s/ Vishal Chhibbar</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Vishal Chhibbar</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Financial Officer &amp; Executive Vice 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OUTSOURCE PARTNERS INTERNATIONAL INC</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as a Loan Guarantor</w:t>
      </w:r>
    </w:p>
    <w:p>
      <w:pPr>
        <w:spacing w:after="0" w:line="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By:/s/ Vishal Chhibbar</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Vishal Chhibbar</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Financial Officer &amp; Executive Vice President</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796" w:right="239" w:bottom="1440" w:gutter="0" w:footer="0" w:header="0"/>
          <w:type w:val="continuous"/>
        </w:sectPr>
      </w:pPr>
    </w:p>
    <w:bookmarkStart w:id="133" w:name="page134"/>
    <w:bookmarkEnd w:id="133"/>
    <w:p>
      <w:pPr>
        <w:ind w:left="2700"/>
        <w:spacing w:after="0"/>
        <w:rPr>
          <w:sz w:val="20"/>
          <w:szCs w:val="20"/>
          <w:color w:val="auto"/>
        </w:rPr>
      </w:pPr>
      <w:r>
        <w:rPr>
          <w:rFonts w:ascii="Times New Roman" w:cs="Times New Roman" w:eastAsia="Times New Roman" w:hAnsi="Times New Roman"/>
          <w:sz w:val="18"/>
          <w:szCs w:val="18"/>
          <w:b w:val="1"/>
          <w:bCs w:val="1"/>
          <w:color w:val="auto"/>
        </w:rPr>
        <w:t>RPMDIRECT, LLC</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as a Loan Guarantor</w:t>
      </w:r>
    </w:p>
    <w:p>
      <w:pPr>
        <w:spacing w:after="0" w:line="6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By:/s/ Vishal Chhibbar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Vishal Chhibbar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Title: Chief Financial Officer &amp; Executive Vice President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OVERLAND HOLDINGS, INC</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as a Loan Guarantor</w:t>
      </w:r>
    </w:p>
    <w:p>
      <w:pPr>
        <w:spacing w:after="0" w:line="6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By:/s/ Vishal Chhibbar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Vishal Chhibbar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Title: Chief Financial Officer &amp; Executive Vice President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OVERLAND SOLUTIONS, INC</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as a Loan Guarantor</w:t>
      </w:r>
    </w:p>
    <w:p>
      <w:pPr>
        <w:spacing w:after="0" w:line="6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By:/s/ Vishal Chhibbar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Vishal Chhibbar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Title: Chief Financial Officer &amp; Executive Vice President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008" w:right="1440" w:bottom="1440" w:gutter="0" w:footer="0" w:header="0"/>
        </w:sectPr>
      </w:pPr>
    </w:p>
    <w:bookmarkStart w:id="134" w:name="page135"/>
    <w:bookmarkEnd w:id="134"/>
    <w:p>
      <w:pPr>
        <w:ind w:left="270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individually as a Lender and as Administrative Agent</w:t>
      </w:r>
    </w:p>
    <w:p>
      <w:pPr>
        <w:spacing w:after="0" w:line="200" w:lineRule="exact"/>
        <w:rPr>
          <w:sz w:val="20"/>
          <w:szCs w:val="20"/>
          <w:color w:val="auto"/>
        </w:rPr>
      </w:pPr>
    </w:p>
    <w:p>
      <w:pPr>
        <w:spacing w:after="0" w:line="3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By:/s/ Thierry Jenar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Thierry Jenar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1225" w:right="1440" w:bottom="1440" w:gutter="0" w:footer="0" w:header="0"/>
        </w:sectPr>
      </w:pPr>
    </w:p>
    <w:bookmarkStart w:id="135" w:name="page136"/>
    <w:bookmarkEnd w:id="135"/>
    <w:p>
      <w:pPr>
        <w:ind w:left="2700"/>
        <w:spacing w:after="0"/>
        <w:rPr>
          <w:sz w:val="20"/>
          <w:szCs w:val="20"/>
          <w:color w:val="auto"/>
        </w:rPr>
      </w:pPr>
      <w:r>
        <w:rPr>
          <w:rFonts w:ascii="Times New Roman" w:cs="Times New Roman" w:eastAsia="Times New Roman" w:hAnsi="Times New Roman"/>
          <w:sz w:val="18"/>
          <w:szCs w:val="18"/>
          <w:b w:val="1"/>
          <w:bCs w:val="1"/>
          <w:color w:val="auto"/>
        </w:rPr>
        <w:t>PNC BANK, N.A.</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as a Lender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 /s/ Michael Richards</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Michael Richards</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Title: Senior Vice President,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019"/>
          </w:cols>
          <w:pgMar w:left="1440" w:top="1117" w:right="1440" w:bottom="1440" w:gutter="0" w:footer="0" w:header="0"/>
        </w:sectPr>
      </w:pPr>
    </w:p>
    <w:bookmarkStart w:id="136" w:name="page137"/>
    <w:bookmarkEnd w:id="136"/>
    <w:p>
      <w:pPr>
        <w:ind w:left="2700"/>
        <w:spacing w:after="0"/>
        <w:rPr>
          <w:sz w:val="20"/>
          <w:szCs w:val="20"/>
          <w:color w:val="auto"/>
        </w:rPr>
      </w:pPr>
      <w:r>
        <w:rPr>
          <w:rFonts w:ascii="Times New Roman" w:cs="Times New Roman" w:eastAsia="Times New Roman" w:hAnsi="Times New Roman"/>
          <w:sz w:val="17"/>
          <w:szCs w:val="17"/>
          <w:b w:val="1"/>
          <w:bCs w:val="1"/>
          <w:color w:val="auto"/>
        </w:rPr>
        <w:t>JPMORGAN CHASE BANK, NA</w:t>
      </w:r>
      <w:r>
        <w:rPr>
          <w:rFonts w:ascii="Times New Roman" w:cs="Times New Roman" w:eastAsia="Times New Roman" w:hAnsi="Times New Roman"/>
          <w:sz w:val="17"/>
          <w:szCs w:val="17"/>
          <w:i w:val="1"/>
          <w:iCs w:val="1"/>
          <w:color w:val="auto"/>
        </w:rPr>
        <w:t>,</w:t>
      </w:r>
    </w:p>
    <w:p>
      <w:pPr>
        <w:spacing w:after="0" w:line="1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as a Lender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 /s/ Matthew Landry</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Matthew Landry</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1009" w:right="1440" w:bottom="1440" w:gutter="0" w:footer="0" w:header="0"/>
        </w:sectPr>
      </w:pPr>
    </w:p>
    <w:bookmarkStart w:id="137" w:name="page138"/>
    <w:bookmarkEnd w:id="137"/>
    <w:p>
      <w:pPr>
        <w:ind w:left="270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i w:val="1"/>
          <w:iCs w:val="1"/>
          <w:color w:val="auto"/>
        </w:rPr>
        <w:t>,</w:t>
      </w:r>
    </w:p>
    <w:p>
      <w:pPr>
        <w:spacing w:after="0" w:line="1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as a Lender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 /s/ Jana L. Baker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Jana L. Baker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019"/>
          </w:cols>
          <w:pgMar w:left="1440" w:top="1008" w:right="1440" w:bottom="1440" w:gutter="0" w:footer="0" w:header="0"/>
        </w:sectPr>
      </w:pPr>
    </w:p>
    <w:bookmarkStart w:id="138" w:name="page139"/>
    <w:bookmarkEnd w:id="138"/>
    <w:p>
      <w:pPr>
        <w:ind w:left="2700"/>
        <w:spacing w:after="0"/>
        <w:rPr>
          <w:sz w:val="20"/>
          <w:szCs w:val="20"/>
          <w:color w:val="auto"/>
        </w:rPr>
      </w:pPr>
      <w:r>
        <w:rPr>
          <w:rFonts w:ascii="Times New Roman" w:cs="Times New Roman" w:eastAsia="Times New Roman" w:hAnsi="Times New Roman"/>
          <w:sz w:val="18"/>
          <w:szCs w:val="18"/>
          <w:b w:val="1"/>
          <w:bCs w:val="1"/>
          <w:color w:val="auto"/>
        </w:rPr>
        <w:t>TD BANK, N.A.</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as a Lender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 /s/ Matt Waszmer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Matt Waszmer</w:t>
      </w:r>
    </w:p>
    <w:p>
      <w:pPr>
        <w:spacing w:after="0" w:line="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019"/>
          </w:cols>
          <w:pgMar w:left="1440" w:top="1008" w:right="144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6700" w:type="dxa"/>
            <w:vAlign w:val="bottom"/>
            <w:gridSpan w:val="2"/>
          </w:tcPr>
          <w:p>
            <w:pPr>
              <w:jc w:val="center"/>
              <w:ind w:right="3670"/>
              <w:spacing w:after="0"/>
              <w:rPr>
                <w:sz w:val="20"/>
                <w:szCs w:val="20"/>
                <w:color w:val="auto"/>
              </w:rPr>
            </w:pPr>
            <w:r>
              <w:rPr>
                <w:rFonts w:ascii="Times New Roman" w:cs="Times New Roman" w:eastAsia="Times New Roman" w:hAnsi="Times New Roman"/>
                <w:sz w:val="18"/>
                <w:szCs w:val="18"/>
                <w:b w:val="1"/>
                <w:bCs w:val="1"/>
                <w:color w:val="auto"/>
                <w:w w:val="99"/>
              </w:rPr>
              <w:t>Incremental Commitment Schedule</w:t>
            </w:r>
          </w:p>
        </w:tc>
      </w:tr>
      <w:tr>
        <w:trPr>
          <w:trHeight w:val="351"/>
        </w:trPr>
        <w:tc>
          <w:tcPr>
            <w:tcW w:w="37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r>
        <w:trPr>
          <w:trHeight w:val="269"/>
        </w:trPr>
        <w:tc>
          <w:tcPr>
            <w:tcW w:w="3720" w:type="dxa"/>
            <w:vAlign w:val="bottom"/>
            <w:tcBorders>
              <w:left w:val="single" w:sz="8" w:color="auto"/>
              <w:bottom w:val="single" w:sz="8" w:color="D9D9D9"/>
            </w:tcBorders>
            <w:shd w:val="clear" w:color="auto" w:fill="D9D9D9"/>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Incremental Lender</w:t>
            </w:r>
          </w:p>
        </w:tc>
        <w:tc>
          <w:tcPr>
            <w:tcW w:w="1400" w:type="dxa"/>
            <w:vAlign w:val="bottom"/>
            <w:tcBorders>
              <w:bottom w:val="single" w:sz="8" w:color="D9D9D9"/>
              <w:right w:val="single" w:sz="8" w:color="auto"/>
            </w:tcBorders>
            <w:shd w:val="clear" w:color="auto" w:fill="D9D9D9"/>
          </w:tcPr>
          <w:p>
            <w:pPr>
              <w:spacing w:after="0"/>
              <w:rPr>
                <w:sz w:val="22"/>
                <w:szCs w:val="22"/>
                <w:color w:val="auto"/>
              </w:rPr>
            </w:pPr>
          </w:p>
        </w:tc>
        <w:tc>
          <w:tcPr>
            <w:tcW w:w="5300" w:type="dxa"/>
            <w:vAlign w:val="bottom"/>
            <w:tcBorders>
              <w:bottom w:val="single" w:sz="8" w:color="D9D9D9"/>
              <w:right w:val="single" w:sz="8" w:color="auto"/>
            </w:tcBorders>
            <w:shd w:val="clear" w:color="auto" w:fill="D9D9D9"/>
          </w:tcPr>
          <w:p>
            <w:pPr>
              <w:ind w:left="1600"/>
              <w:spacing w:after="0"/>
              <w:rPr>
                <w:sz w:val="20"/>
                <w:szCs w:val="20"/>
                <w:color w:val="auto"/>
              </w:rPr>
            </w:pPr>
            <w:r>
              <w:rPr>
                <w:rFonts w:ascii="Times New Roman" w:cs="Times New Roman" w:eastAsia="Times New Roman" w:hAnsi="Times New Roman"/>
                <w:sz w:val="18"/>
                <w:szCs w:val="18"/>
                <w:b w:val="1"/>
                <w:bCs w:val="1"/>
                <w:color w:val="auto"/>
              </w:rPr>
              <w:t>Incremental Commitments</w:t>
            </w:r>
          </w:p>
        </w:tc>
      </w:tr>
      <w:tr>
        <w:trPr>
          <w:trHeight w:val="237"/>
        </w:trPr>
        <w:tc>
          <w:tcPr>
            <w:tcW w:w="3720" w:type="dxa"/>
            <w:vAlign w:val="bottom"/>
            <w:tcBorders>
              <w:top w:val="single" w:sz="8" w:color="auto"/>
              <w:left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color w:val="auto"/>
                <w:w w:val="99"/>
              </w:rPr>
              <w:t>Citibank, N.A.</w:t>
            </w:r>
          </w:p>
        </w:tc>
        <w:tc>
          <w:tcPr>
            <w:tcW w:w="1400" w:type="dxa"/>
            <w:vAlign w:val="bottom"/>
            <w:tcBorders>
              <w:top w:val="single" w:sz="8" w:color="auto"/>
              <w:right w:val="single" w:sz="8" w:color="auto"/>
            </w:tcBorders>
          </w:tcPr>
          <w:p>
            <w:pPr>
              <w:spacing w:after="0"/>
              <w:rPr>
                <w:sz w:val="20"/>
                <w:szCs w:val="20"/>
                <w:color w:val="auto"/>
              </w:rPr>
            </w:pPr>
          </w:p>
        </w:tc>
        <w:tc>
          <w:tcPr>
            <w:tcW w:w="5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color w:val="auto"/>
              </w:rPr>
              <w:t>PNC Bank, N.A.</w:t>
            </w:r>
          </w:p>
        </w:tc>
        <w:tc>
          <w:tcPr>
            <w:tcW w:w="140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jc w:val="center"/>
              <w:ind w:left="1310"/>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140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jc w:val="center"/>
              <w:ind w:left="1310"/>
              <w:spacing w:after="0"/>
              <w:rPr>
                <w:sz w:val="20"/>
                <w:szCs w:val="20"/>
                <w:color w:val="auto"/>
              </w:rPr>
            </w:pPr>
            <w:r>
              <w:rPr>
                <w:rFonts w:ascii="Times New Roman" w:cs="Times New Roman" w:eastAsia="Times New Roman" w:hAnsi="Times New Roman"/>
                <w:sz w:val="18"/>
                <w:szCs w:val="18"/>
                <w:color w:val="auto"/>
                <w:w w:val="99"/>
              </w:rPr>
              <w:t>Bank of America, N.A.</w:t>
            </w:r>
          </w:p>
        </w:tc>
        <w:tc>
          <w:tcPr>
            <w:tcW w:w="140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color w:val="auto"/>
                <w:w w:val="99"/>
              </w:rPr>
              <w:t>TD Bank, N.A.</w:t>
            </w:r>
          </w:p>
        </w:tc>
        <w:tc>
          <w:tcPr>
            <w:tcW w:w="140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$100,000,000</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433"/>
        </w:trPr>
        <w:tc>
          <w:tcPr>
            <w:tcW w:w="3720" w:type="dxa"/>
            <w:vAlign w:val="bottom"/>
          </w:tcPr>
          <w:p>
            <w:pPr>
              <w:spacing w:after="0"/>
              <w:rPr>
                <w:sz w:val="24"/>
                <w:szCs w:val="24"/>
                <w:color w:val="auto"/>
              </w:rPr>
            </w:pPr>
          </w:p>
        </w:tc>
        <w:tc>
          <w:tcPr>
            <w:tcW w:w="6700" w:type="dxa"/>
            <w:vAlign w:val="bottom"/>
            <w:gridSpan w:val="2"/>
          </w:tcPr>
          <w:p>
            <w:pPr>
              <w:jc w:val="right"/>
              <w:ind w:right="5050"/>
              <w:spacing w:after="0"/>
              <w:rPr>
                <w:sz w:val="20"/>
                <w:szCs w:val="20"/>
                <w:color w:val="auto"/>
              </w:rPr>
            </w:pPr>
            <w:r>
              <w:rPr>
                <w:rFonts w:ascii="Times New Roman" w:cs="Times New Roman" w:eastAsia="Times New Roman" w:hAnsi="Times New Roman"/>
                <w:sz w:val="16"/>
                <w:szCs w:val="16"/>
                <w:color w:val="auto"/>
              </w:rPr>
              <w:t>14</w:t>
            </w:r>
          </w:p>
        </w:tc>
      </w:tr>
    </w:tbl>
    <w:p>
      <w:pPr>
        <w:sectPr>
          <w:pgSz w:w="11900" w:h="16838" w:orient="portrait"/>
          <w:cols w:equalWidth="0" w:num="1">
            <w:col w:w="10900"/>
          </w:cols>
          <w:pgMar w:left="760" w:top="1009"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Commitment Schedule</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780" w:type="dxa"/>
            <w:vAlign w:val="bottom"/>
            <w:tcBorders>
              <w:top w:val="single" w:sz="8" w:color="auto"/>
              <w:left w:val="single" w:sz="8" w:color="auto"/>
              <w:right w:val="single" w:sz="8" w:color="auto"/>
            </w:tcBorders>
            <w:shd w:val="clear" w:color="auto" w:fill="D9D9D9"/>
          </w:tcPr>
          <w:p>
            <w:pPr>
              <w:spacing w:after="0"/>
              <w:rPr>
                <w:sz w:val="20"/>
                <w:szCs w:val="20"/>
                <w:color w:val="auto"/>
              </w:rPr>
            </w:pPr>
          </w:p>
        </w:tc>
        <w:tc>
          <w:tcPr>
            <w:tcW w:w="21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2280" w:type="dxa"/>
            <w:vAlign w:val="bottom"/>
            <w:tcBorders>
              <w:top w:val="single" w:sz="8" w:color="auto"/>
              <w:right w:val="single" w:sz="8" w:color="auto"/>
            </w:tcBorders>
            <w:shd w:val="clear" w:color="auto" w:fill="D9D9D9"/>
          </w:tcPr>
          <w:p>
            <w:pPr>
              <w:spacing w:after="0"/>
              <w:rPr>
                <w:sz w:val="20"/>
                <w:szCs w:val="20"/>
                <w:color w:val="auto"/>
              </w:rPr>
            </w:pPr>
          </w:p>
        </w:tc>
        <w:tc>
          <w:tcPr>
            <w:tcW w:w="21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378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21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28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Incremental Commitments</w:t>
            </w:r>
          </w:p>
        </w:tc>
        <w:tc>
          <w:tcPr>
            <w:tcW w:w="21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37"/>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Citibank, N.A.</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$75,000,000</w:t>
            </w: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PNC Bank, N.A.</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$55,000,000</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$70,000,000</w:t>
            </w: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$50,000,000</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$65,000,000</w:t>
            </w: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Bank of America, N.A.</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$35,000,000</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$65,000,000</w:t>
            </w: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TD Bank, N.A.</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$200,000,000</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$300,000,000</w:t>
            </w: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900"/>
          </w:cols>
          <w:pgMar w:left="760" w:top="1117"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ectPr>
          <w:pgSz w:w="11900" w:h="16838" w:orient="portrait"/>
          <w:cols w:equalWidth="0" w:num="1">
            <w:col w:w="10300"/>
          </w:cols>
          <w:pgMar w:left="1360" w:top="580" w:right="239" w:bottom="1440" w:gutter="0" w:footer="0" w:header="0"/>
        </w:sect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Subsidiary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w:t>
      </w:r>
    </w:p>
    <w:p>
      <w:pPr>
        <w:spacing w:after="0" w:line="79" w:lineRule="exact"/>
        <w:rPr>
          <w:sz w:val="20"/>
          <w:szCs w:val="20"/>
          <w:color w:val="auto"/>
        </w:rPr>
      </w:pPr>
    </w:p>
    <w:p>
      <w:pPr>
        <w:sectPr>
          <w:pgSz w:w="11900" w:h="16838" w:orient="portrait"/>
          <w:cols w:equalWidth="0" w:num="2">
            <w:col w:w="5900" w:space="720"/>
            <w:col w:w="3680"/>
          </w:cols>
          <w:pgMar w:left="1360" w:top="58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Business Process Outsourcing (India) Private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Process Outsourcing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Process Outsourcing,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Datasource Consulting,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 Service.com (India) Private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(UK)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Australia Pty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Bulgaria EAD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Colombia, S.A.S.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Czech Republic S.R.O.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Germany GmbH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Mauritius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Philippines,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Romania Private Limited S.R.L.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 Service South Africa (PTY)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Switzerland GmbH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Technology Solutions,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ExlService.com,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Inductis (India) Private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Inductis (Singapore) PTE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Insight Solutions,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IQR Analytics Private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IQR Consulting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JCG New Media,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Liss Systems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Outsource Partners International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Outsource Partners International,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Outsource Partners International Private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Overland Holdings,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Overland Solutions,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RPM Data Solutions,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RPM Direct,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SCIOinspire Holdings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SCIO Health Analytics (UK)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Intelligence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SCIOinspire Consulting Services (India) Private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SCIOinspire Corp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Canada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 Analytics SA (Pty)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Bulgaria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ectPr>
          <w:pgSz w:w="11900" w:h="16838" w:orient="portrait"/>
          <w:cols w:equalWidth="0" w:num="2">
            <w:col w:w="5900" w:space="720"/>
            <w:col w:w="3680"/>
          </w:cols>
          <w:pgMar w:left="1360" w:top="580" w:right="239"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No. 333-179098 on Form S-3 and Nos. 333-139211; 333-157076; 333-206022; and 333-226527 on Form S-8 of our reports dated February 28, 2019, relating to the consolidated financial statements of ExlService Holdings, Inc., and the effectiveness of ExlService Holdings, Inc.’s internal control over financial reporting, appearing in this Annual Report on Form 10-K of ExlService Holdings, Inc.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ectPr>
          <w:pgSz w:w="11900" w:h="16838" w:orient="portrait"/>
          <w:cols w:equalWidth="0" w:num="1">
            <w:col w:w="11420"/>
          </w:cols>
          <w:pgMar w:left="240" w:top="576"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44" w:lineRule="exact"/>
        <w:rPr>
          <w:sz w:val="20"/>
          <w:szCs w:val="20"/>
          <w:color w:val="auto"/>
        </w:rPr>
      </w:pPr>
    </w:p>
    <w:p>
      <w:pPr>
        <w:ind w:left="920" w:hanging="264"/>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333-179098) of ExlService Holdings, Inc.; and</w:t>
      </w:r>
    </w:p>
    <w:p>
      <w:pPr>
        <w:spacing w:after="0" w:line="14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333-139211; 333-157076; 333-206022; and 333-226527) of ExlService Holdings, Inc.</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our report dated February 27, 2018, except for Note 27, as to which the date is February 28, 2019, with respect to the consolidated balance sheet of ExlService Holdings, Inc. as of December 31, 2017, and the related consolidated statements of income, comprehensive income, equity and cash flows for each of the two years in the period ended December 31, 2017, included in this Annual Report (Form 10-K) of ExlService Holdings, Inc. for the year ended 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ectPr>
          <w:pgSz w:w="11900" w:h="16838" w:orient="portrait"/>
          <w:cols w:equalWidth="0" w:num="1">
            <w:col w:w="11420"/>
          </w:cols>
          <w:pgMar w:left="240" w:top="576"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2018;</w:t>
      </w:r>
    </w:p>
    <w:p>
      <w:pPr>
        <w:spacing w:after="0" w:line="225"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740" w:right="480" w:hanging="327"/>
        <w:spacing w:after="0" w:line="266" w:lineRule="auto"/>
        <w:tabs>
          <w:tab w:leader="none" w:pos="7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740" w:right="960" w:hanging="327"/>
        <w:spacing w:after="0" w:line="313" w:lineRule="auto"/>
        <w:tabs>
          <w:tab w:leader="none" w:pos="7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40" w:right="40" w:hanging="327"/>
        <w:spacing w:after="0" w:line="266" w:lineRule="auto"/>
        <w:tabs>
          <w:tab w:leader="none" w:pos="7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right="420" w:hanging="412"/>
        <w:spacing w:after="0" w:line="282"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right="380" w:hanging="327"/>
        <w:spacing w:after="0" w:line="282" w:lineRule="auto"/>
        <w:tabs>
          <w:tab w:leader="none" w:pos="7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340" w:hanging="327"/>
        <w:spacing w:after="0" w:line="282" w:lineRule="auto"/>
        <w:tabs>
          <w:tab w:leader="none" w:pos="7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February 28, 2019</w:t>
      </w:r>
      <w:r>
        <w:rPr>
          <w:sz w:val="20"/>
          <w:szCs w:val="20"/>
          <w:color w:val="auto"/>
        </w:rPr>
        <w:tab/>
      </w: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ectPr>
          <w:pgSz w:w="11900" w:h="16838" w:orient="portrait"/>
          <w:cols w:equalWidth="0" w:num="1">
            <w:col w:w="11420"/>
          </w:cols>
          <w:pgMar w:left="240" w:top="576" w:right="2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2018;</w:t>
      </w:r>
    </w:p>
    <w:p>
      <w:pPr>
        <w:spacing w:after="0" w:line="225"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740" w:right="480" w:hanging="327"/>
        <w:spacing w:after="0" w:line="266" w:lineRule="auto"/>
        <w:tabs>
          <w:tab w:leader="none" w:pos="7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740" w:right="960" w:hanging="327"/>
        <w:spacing w:after="0" w:line="313" w:lineRule="auto"/>
        <w:tabs>
          <w:tab w:leader="none" w:pos="7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40" w:right="40" w:hanging="327"/>
        <w:spacing w:after="0" w:line="266" w:lineRule="auto"/>
        <w:tabs>
          <w:tab w:leader="none" w:pos="7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right="420" w:hanging="412"/>
        <w:spacing w:after="0" w:line="282"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right="380" w:hanging="327"/>
        <w:spacing w:after="0" w:line="282" w:lineRule="auto"/>
        <w:tabs>
          <w:tab w:leader="none" w:pos="7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340" w:hanging="327"/>
        <w:spacing w:after="0" w:line="282" w:lineRule="auto"/>
        <w:tabs>
          <w:tab w:leader="none" w:pos="7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February 28, 2019</w:t>
      </w:r>
      <w:r>
        <w:rPr>
          <w:sz w:val="20"/>
          <w:szCs w:val="20"/>
          <w:color w:val="auto"/>
        </w:rPr>
        <w:tab/>
      </w:r>
      <w:r>
        <w:rPr>
          <w:rFonts w:ascii="Times New Roman" w:cs="Times New Roman" w:eastAsia="Times New Roman" w:hAnsi="Times New Roman"/>
          <w:sz w:val="17"/>
          <w:szCs w:val="17"/>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2018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7"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3887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28, 2019</w:t>
      </w:r>
    </w:p>
    <w:p>
      <w:pPr>
        <w:sectPr>
          <w:pgSz w:w="11900" w:h="16838" w:orient="portrait"/>
          <w:cols w:equalWidth="0" w:num="1">
            <w:col w:w="11420"/>
          </w:cols>
          <w:pgMar w:left="240" w:top="576"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2018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28,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lvl w:ilvl="1">
      <w:lvlJc w:val="left"/>
      <w:lvlText w:val="(%2)"/>
      <w:numFmt w:val="decimal"/>
      <w:start w:val="3"/>
    </w:lvl>
  </w:abstractNum>
  <w:abstractNum w:abstractNumId="10">
    <w:nsid w:val="5072367"/>
    <w:multiLevelType w:val="hybridMultilevel"/>
    <w:lvl w:ilvl="0">
      <w:lvlJc w:val="left"/>
      <w:lvlText w:val="•"/>
      <w:numFmt w:val="bullet"/>
      <w:start w:val="1"/>
    </w:lvl>
    <w:lvl w:ilvl="1">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lowerRoman"/>
      <w:start w:val="1"/>
    </w:lvl>
    <w:lvl w:ilvl="1">
      <w:lvlJc w:val="left"/>
      <w:lvlText w:val="%2)"/>
      <w:numFmt w:val="lowerLetter"/>
      <w:start w:val="2"/>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lowerLetter"/>
      <w:start w:val="1"/>
    </w:lvl>
    <w:lvl w:ilvl="1">
      <w:lvlJc w:val="left"/>
      <w:lvlText w:val="(%2)"/>
      <w:numFmt w:val="lowerLetter"/>
      <w:start w:val="3"/>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Letter"/>
      <w:start w:val="1"/>
    </w:lvl>
    <w:lvl w:ilvl="1">
      <w:lvlJc w:val="left"/>
      <w:lvlText w:val="%2."/>
      <w:numFmt w:val="decimal"/>
      <w:start w:val="2"/>
    </w:lvl>
  </w:abstractNum>
  <w:abstractNum w:abstractNumId="19">
    <w:nsid w:val="580BD78F"/>
    <w:multiLevelType w:val="hybridMultilevel"/>
    <w:lvl w:ilvl="0">
      <w:lvlJc w:val="left"/>
      <w:lvlText w:val="(%1)"/>
      <w:numFmt w:val="lowerLetter"/>
      <w:start w:val="2"/>
    </w:lvl>
    <w:lvl w:ilvl="1">
      <w:lvlJc w:val="left"/>
      <w:lvlText w:val="%2"/>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lowerRoman"/>
      <w:start w:val="1"/>
    </w:lvl>
    <w:lvl w:ilvl="1">
      <w:lvlJc w:val="left"/>
      <w:lvlText w:val="%2)"/>
      <w:numFmt w:val="lowerLetter"/>
      <w:start w:val="2"/>
    </w:lvl>
  </w:abstractNum>
  <w:abstractNum w:abstractNumId="25">
    <w:nsid w:val="1D4ED43B"/>
    <w:multiLevelType w:val="hybridMultilevel"/>
    <w:lvl w:ilvl="0">
      <w:lvlJc w:val="left"/>
      <w:lvlText w:val="(%1)"/>
      <w:numFmt w:val="lowerLetter"/>
      <w:start w:val="13"/>
    </w:lvl>
  </w:abstractNum>
  <w:abstractNum w:abstractNumId="26">
    <w:nsid w:val="725A06FB"/>
    <w:multiLevelType w:val="hybridMultilevel"/>
    <w:lvl w:ilvl="0">
      <w:lvlJc w:val="left"/>
      <w:lvlText w:val="(%1)"/>
      <w:numFmt w:val="lowerRoman"/>
      <w:start w:val="10"/>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3"/>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0"/>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lowerLetter"/>
      <w:start w:val="1"/>
    </w:lvl>
    <w:lvl w:ilvl="1">
      <w:lvlJc w:val="left"/>
      <w:lvlText w:val="(%2)"/>
      <w:numFmt w:val="lowerLetter"/>
      <w:start w:val="1"/>
    </w:lvl>
  </w:abstractNum>
  <w:abstractNum w:abstractNumId="39">
    <w:nsid w:val="3DC240FB"/>
    <w:multiLevelType w:val="hybridMultilevel"/>
    <w:lvl w:ilvl="0">
      <w:lvlJc w:val="left"/>
      <w:lvlText w:val="(%1)"/>
      <w:numFmt w:val="lowerLetter"/>
      <w:start w:val="5"/>
    </w:lvl>
    <w:lvl w:ilvl="1">
      <w:lvlJc w:val="left"/>
      <w:lvlText w:val="(%2)"/>
      <w:numFmt w:val="lowerLetter"/>
      <w:start w:val="6"/>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2"/>
    </w:lvl>
  </w:abstractNum>
  <w:abstractNum w:abstractNumId="42">
    <w:nsid w:val="75C6C33A"/>
    <w:multiLevelType w:val="hybridMultilevel"/>
    <w:lvl w:ilvl="0">
      <w:lvlJc w:val="left"/>
      <w:lvlText w:val="(%1)"/>
      <w:numFmt w:val="lowerLetter"/>
      <w:start w:val="3"/>
    </w:lvl>
  </w:abstractNum>
  <w:abstractNum w:abstractNumId="43">
    <w:nsid w:val="12E685FB"/>
    <w:multiLevelType w:val="hybridMultilevel"/>
    <w:lvl w:ilvl="0">
      <w:lvlJc w:val="left"/>
      <w:lvlText w:val="(%1)"/>
      <w:numFmt w:val="lowerLetter"/>
      <w:start w:val="4"/>
    </w:lvl>
  </w:abstractNum>
  <w:abstractNum w:abstractNumId="44">
    <w:nsid w:val="70C6A529"/>
    <w:multiLevelType w:val="hybridMultilevel"/>
    <w:lvl w:ilvl="0">
      <w:lvlJc w:val="left"/>
      <w:lvlText w:val="(%1)"/>
      <w:numFmt w:val="lowerLetter"/>
      <w:start w:val="5"/>
    </w:lvl>
  </w:abstractNum>
  <w:abstractNum w:abstractNumId="45">
    <w:nsid w:val="520EEDD1"/>
    <w:multiLevelType w:val="hybridMultilevel"/>
    <w:lvl w:ilvl="0">
      <w:lvlJc w:val="left"/>
      <w:lvlText w:val="(%1)"/>
      <w:numFmt w:val="lowerLetter"/>
      <w:start w:val="6"/>
    </w:lvl>
  </w:abstractNum>
  <w:abstractNum w:abstractNumId="46">
    <w:nsid w:val="374A3FE6"/>
    <w:multiLevelType w:val="hybridMultilevel"/>
    <w:lvl w:ilvl="0">
      <w:lvlJc w:val="left"/>
      <w:lvlText w:val="(%1)"/>
      <w:numFmt w:val="lowerLetter"/>
      <w:start w:val="7"/>
    </w:lvl>
  </w:abstractNum>
  <w:abstractNum w:abstractNumId="47">
    <w:nsid w:val="4F4EF005"/>
    <w:multiLevelType w:val="hybridMultilevel"/>
    <w:lvl w:ilvl="0">
      <w:lvlJc w:val="left"/>
      <w:lvlText w:val="(%1)"/>
      <w:numFmt w:val="lowerLetter"/>
      <w:start w:val="8"/>
    </w:lvl>
  </w:abstractNum>
  <w:abstractNum w:abstractNumId="48">
    <w:nsid w:val="23F9C13C"/>
    <w:multiLevelType w:val="hybridMultilevel"/>
    <w:lvl w:ilvl="0">
      <w:lvlJc w:val="left"/>
      <w:lvlText w:val="(%1)"/>
      <w:numFmt w:val="lowerLetter"/>
      <w:start w:val="9"/>
    </w:lvl>
  </w:abstractNum>
  <w:abstractNum w:abstractNumId="49">
    <w:nsid w:val="649BB77C"/>
    <w:multiLevelType w:val="hybridMultilevel"/>
    <w:lvl w:ilvl="0">
      <w:lvlJc w:val="left"/>
      <w:lvlText w:val="(%1)"/>
      <w:numFmt w:val="lowerLetter"/>
      <w:start w:val="1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3"/>
    </w:lvl>
    <w:lvl w:ilvl="1">
      <w:lvlJc w:val="left"/>
      <w:lvlText w:val="(%2)"/>
      <w:numFmt w:val="lowerRoman"/>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3"/>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9.png"/><Relationship Id="rId78" Type="http://schemas.openxmlformats.org/officeDocument/2006/relationships/image" Target="media/image40.png"/><Relationship Id="rId79" Type="http://schemas.openxmlformats.org/officeDocument/2006/relationships/image" Target="media/image41.png"/><Relationship Id="rId80" Type="http://schemas.openxmlformats.org/officeDocument/2006/relationships/image" Target="media/image42.png"/><Relationship Id="rId81" Type="http://schemas.openxmlformats.org/officeDocument/2006/relationships/image" Target="media/image43.png"/><Relationship Id="rId82" Type="http://schemas.openxmlformats.org/officeDocument/2006/relationships/image" Target="media/image44.png"/><Relationship Id="rId83" Type="http://schemas.openxmlformats.org/officeDocument/2006/relationships/image" Target="media/image45.png"/><Relationship Id="rId84" Type="http://schemas.openxmlformats.org/officeDocument/2006/relationships/image" Target="media/image46.png"/><Relationship Id="rId85" Type="http://schemas.openxmlformats.org/officeDocument/2006/relationships/image" Target="media/image47.png"/><Relationship Id="rId86" Type="http://schemas.openxmlformats.org/officeDocument/2006/relationships/image" Target="media/image48.png"/><Relationship Id="rId87" Type="http://schemas.openxmlformats.org/officeDocument/2006/relationships/image" Target="media/image49.png"/><Relationship Id="rId88" Type="http://schemas.openxmlformats.org/officeDocument/2006/relationships/image" Target="media/image50.png"/><Relationship Id="rId89"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png"/><Relationship Id="rId95" Type="http://schemas.openxmlformats.org/officeDocument/2006/relationships/image" Target="media/image57.png"/><Relationship Id="rId96"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42" Type="http://schemas.openxmlformats.org/officeDocument/2006/relationships/hyperlink" Target="http://www.sec.gov/Archives/edgar/data/1297989/000119312515166288/d901368dex21.htm" TargetMode="External"/><Relationship Id="rId43" Type="http://schemas.openxmlformats.org/officeDocument/2006/relationships/hyperlink" Target="http://www.sec.gov/Archives/edgar/data/1297989/000114420418037006/tv497868_ex2-1.htm" TargetMode="External"/><Relationship Id="rId44" Type="http://schemas.openxmlformats.org/officeDocument/2006/relationships/hyperlink" Target="http://www.sec.gov/Archives/edgar/data/1297989/000119312506214684/dex31.htm" TargetMode="External"/><Relationship Id="rId45" Type="http://schemas.openxmlformats.org/officeDocument/2006/relationships/hyperlink" Target="http://www.sec.gov/Archives/edgar/data/1297989/000114420417011696/v460716_ex3-2.htm" TargetMode="External"/><Relationship Id="rId46" Type="http://schemas.openxmlformats.org/officeDocument/2006/relationships/hyperlink" Target="http://www.sec.gov/Archives/edgar/data/1297989/000119312506214684/dex41.htm" TargetMode="External"/><Relationship Id="rId47" Type="http://schemas.openxmlformats.org/officeDocument/2006/relationships/hyperlink" Target="http://www.sec.gov/Archives/edgar/data/1297989/000114420418052500/tv504132_ex4-1.htm" TargetMode="External"/><Relationship Id="rId48" Type="http://schemas.openxmlformats.org/officeDocument/2006/relationships/hyperlink" Target="http://www.sec.gov/Archives/edgar/data/1297989/000129798917000010/exls-ex101x09x19x2017rohit.htm" TargetMode="External"/><Relationship Id="rId49" Type="http://schemas.openxmlformats.org/officeDocument/2006/relationships/hyperlink" Target="http://www.sec.gov/Archives/edgar/data/1297989/000119312504207482/dex1015.htm" TargetMode="External"/><Relationship Id="rId50" Type="http://schemas.openxmlformats.org/officeDocument/2006/relationships/hyperlink" Target="http://www.sec.gov/Archives/edgar/data/1297989/000129798916000006/exls-ex103x03x31x2016x10xq.htm" TargetMode="External"/><Relationship Id="rId51" Type="http://schemas.openxmlformats.org/officeDocument/2006/relationships/hyperlink" Target="http://www.sec.gov/Archives/edgar/data/1297989/000129798916000006/exls-ex101x03x31x2016x10xq.htm" TargetMode="External"/><Relationship Id="rId52" Type="http://schemas.openxmlformats.org/officeDocument/2006/relationships/hyperlink" Target="http://www.sec.gov/Archives/edgar/data/1297989/000129798917000002/exls-ex106x213116x10k.htm" TargetMode="External"/><Relationship Id="rId53" Type="http://schemas.openxmlformats.org/officeDocument/2006/relationships/hyperlink" Target="http://www.sec.gov/Archives/edgar/data/1297989/000119312506155175/dex1020.htm" TargetMode="External"/><Relationship Id="rId54" Type="http://schemas.openxmlformats.org/officeDocument/2006/relationships/hyperlink" Target="http://www.sec.gov/Archives/edgar/data/1297989/000119312506202168/dex1032.htm" TargetMode="External"/><Relationship Id="rId55" Type="http://schemas.openxmlformats.org/officeDocument/2006/relationships/hyperlink" Target="http://www.sec.gov/Archives/edgar/data/1297989/000119312506208742/dex1038.htm" TargetMode="External"/><Relationship Id="rId56" Type="http://schemas.openxmlformats.org/officeDocument/2006/relationships/hyperlink" Target="http://www.sec.gov/Archives/edgar/data/1297989/000119312506202168/dex1039.htm" TargetMode="External"/><Relationship Id="rId57" Type="http://schemas.openxmlformats.org/officeDocument/2006/relationships/hyperlink" Target="http://www.sec.gov/Archives/edgar/data/1297989/000119312506202168/dex1043.htm" TargetMode="External"/><Relationship Id="rId58" Type="http://schemas.openxmlformats.org/officeDocument/2006/relationships/hyperlink" Target="http://www.sec.gov/Archives/edgar/data/1297989/000119312506208742/dex1046.htm" TargetMode="External"/><Relationship Id="rId59" Type="http://schemas.openxmlformats.org/officeDocument/2006/relationships/hyperlink" Target="http://www.sec.gov/Archives/edgar/data/1297989/000119312509016370/dex46.htm" TargetMode="External"/><Relationship Id="rId60" Type="http://schemas.openxmlformats.org/officeDocument/2006/relationships/hyperlink" Target="http://www.sec.gov/Archives/edgar/data/1297989/000119312514177305/d701173dex101.htm" TargetMode="External"/><Relationship Id="rId61" Type="http://schemas.openxmlformats.org/officeDocument/2006/relationships/hyperlink" Target="http://www.sec.gov/Archives/edgar/data/1297989/000119312515235176/d948602dex101.htm" TargetMode="External"/><Relationship Id="rId62" Type="http://schemas.openxmlformats.org/officeDocument/2006/relationships/hyperlink" Target="http://www.sec.gov/Archives/edgar/data/1297989/000129798916000015/exls-ex101x09x30x2016x10xq.htm" TargetMode="External"/><Relationship Id="rId63" Type="http://schemas.openxmlformats.org/officeDocument/2006/relationships/hyperlink" Target="http://www.sec.gov/Archives/edgar/data/1297989/000129798917000002/exls-ex1040x213116x10k.htm" TargetMode="External"/><Relationship Id="rId64" Type="http://schemas.openxmlformats.org/officeDocument/2006/relationships/hyperlink" Target="http://www.sec.gov/Archives/edgar/data/1297989/000114420418034885/tv496784_ex10-1.htm" TargetMode="External"/><Relationship Id="rId65" Type="http://schemas.openxmlformats.org/officeDocument/2006/relationships/hyperlink" Target="http://www.sec.gov/Archives/edgar/data/1297989/000114420418034885/tv496784_ex10-2.htm" TargetMode="External"/><Relationship Id="rId66" Type="http://schemas.openxmlformats.org/officeDocument/2006/relationships/hyperlink" Target="http://www.sec.gov/Archives/edgar/data/1297989/000114420418034885/tv496784_ex10-3.htm" TargetMode="External"/><Relationship Id="rId67" Type="http://schemas.openxmlformats.org/officeDocument/2006/relationships/hyperlink" Target="http://www.sec.gov/Archives/edgar/data/1297989/000114420418034885/tv496784_ex10-4.htm" TargetMode="External"/><Relationship Id="rId68" Type="http://schemas.openxmlformats.org/officeDocument/2006/relationships/hyperlink" Target="http://www.sec.gov/Archives/edgar/data/1297989/000119312515069666/d845158dex1039.htm" TargetMode="External"/><Relationship Id="rId69" Type="http://schemas.openxmlformats.org/officeDocument/2006/relationships/hyperlink" Target="http://www.sec.gov/Archives/edgar/data/1297989/000119312515069666/d845158dex1040.htm" TargetMode="External"/><Relationship Id="rId70" Type="http://schemas.openxmlformats.org/officeDocument/2006/relationships/hyperlink" Target="http://www.sec.gov/Archives/edgar/data/1297989/000129798918000002/exls-ex1037x123117x10xk.htm" TargetMode="External"/><Relationship Id="rId71" Type="http://schemas.openxmlformats.org/officeDocument/2006/relationships/hyperlink" Target="http://www.sec.gov/Archives/edgar/data/1297989/000114420418052500/tv504132_ex10-2.htm" TargetMode="External"/><Relationship Id="rId72" Type="http://schemas.openxmlformats.org/officeDocument/2006/relationships/hyperlink" Target="http://www.sec.gov/Archives/edgar/data/1297989/000114420418052500/tv50413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2019-12-28T15:19:24Z</dcterms:created>
  <dcterms:modified xsi:type="dcterms:W3CDTF">2019-12-28T15:19:24Z</dcterms:modified>
</cp:coreProperties>
</file>