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5527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276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AYYAPPAN AJAY</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02/22/2022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36"/>
        <w:spacing w:after="0"/>
        <w:rPr>
          <w:sz w:val="20"/>
          <w:szCs w:val="20"/>
          <w:color w:val="auto"/>
        </w:rPr>
      </w:pPr>
      <w:r>
        <w:rPr>
          <w:rFonts w:ascii="Arial" w:cs="Arial" w:eastAsia="Arial" w:hAnsi="Arial"/>
          <w:sz w:val="16"/>
          <w:szCs w:val="16"/>
          <w:color w:val="0000FF"/>
        </w:rPr>
        <w:t>SVP &amp; Gen Counsel/Corp. Sec'y.</w:t>
      </w:r>
    </w:p>
    <w:p>
      <w:pPr>
        <w:spacing w:after="0" w:line="325"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ind w:left="50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02/22/2022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700" w:type="dxa"/>
            <w:vAlign w:val="bottom"/>
            <w:vMerge w:val="restart"/>
          </w:tcPr>
          <w:p>
            <w:pPr>
              <w:ind w:left="280"/>
              <w:spacing w:after="0"/>
              <w:rPr>
                <w:sz w:val="20"/>
                <w:szCs w:val="20"/>
                <w:color w:val="auto"/>
              </w:rPr>
            </w:pPr>
            <w:r>
              <w:rPr>
                <w:rFonts w:ascii="Arial" w:cs="Arial" w:eastAsia="Arial" w:hAnsi="Arial"/>
                <w:sz w:val="17"/>
                <w:szCs w:val="17"/>
                <w:color w:val="0000FF"/>
              </w:rPr>
              <w:t>710</w:t>
            </w:r>
          </w:p>
        </w:tc>
        <w:tc>
          <w:tcPr>
            <w:tcW w:w="66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jc w:val="center"/>
              <w:spacing w:after="0"/>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ind w:left="380"/>
              <w:spacing w:after="0"/>
              <w:rPr>
                <w:sz w:val="20"/>
                <w:szCs w:val="20"/>
                <w:color w:val="auto"/>
              </w:rPr>
            </w:pPr>
            <w:r>
              <w:rPr>
                <w:rFonts w:ascii="Arial" w:cs="Arial" w:eastAsia="Arial" w:hAnsi="Arial"/>
                <w:sz w:val="17"/>
                <w:szCs w:val="17"/>
                <w:color w:val="0000FF"/>
              </w:rPr>
              <w:t>4,474</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2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02/22/2022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700" w:type="dxa"/>
            <w:vAlign w:val="bottom"/>
            <w:vMerge w:val="restart"/>
          </w:tcPr>
          <w:p>
            <w:pPr>
              <w:ind w:left="280"/>
              <w:spacing w:after="0"/>
              <w:rPr>
                <w:sz w:val="20"/>
                <w:szCs w:val="20"/>
                <w:color w:val="auto"/>
              </w:rPr>
            </w:pPr>
            <w:r>
              <w:rPr>
                <w:rFonts w:ascii="Arial" w:cs="Arial" w:eastAsia="Arial" w:hAnsi="Arial"/>
                <w:sz w:val="17"/>
                <w:szCs w:val="17"/>
                <w:color w:val="0000FF"/>
              </w:rPr>
              <w:t>372</w:t>
            </w:r>
          </w:p>
        </w:tc>
        <w:tc>
          <w:tcPr>
            <w:tcW w:w="660" w:type="dxa"/>
            <w:vAlign w:val="bottom"/>
            <w:vMerge w:val="restart"/>
          </w:tcPr>
          <w:p>
            <w:pPr>
              <w:ind w:left="300"/>
              <w:spacing w:after="0"/>
              <w:rPr>
                <w:sz w:val="20"/>
                <w:szCs w:val="20"/>
                <w:color w:val="auto"/>
              </w:rPr>
            </w:pPr>
            <w:r>
              <w:rPr>
                <w:rFonts w:ascii="Arial" w:cs="Arial" w:eastAsia="Arial" w:hAnsi="Arial"/>
                <w:sz w:val="17"/>
                <w:szCs w:val="17"/>
                <w:color w:val="0000FF"/>
              </w:rPr>
              <w:t>D</w:t>
            </w:r>
          </w:p>
        </w:tc>
        <w:tc>
          <w:tcPr>
            <w:tcW w:w="760" w:type="dxa"/>
            <w:vAlign w:val="bottom"/>
            <w:gridSpan w:val="3"/>
            <w:vMerge w:val="restart"/>
          </w:tcPr>
          <w:p>
            <w:pPr>
              <w:jc w:val="center"/>
              <w:ind w:right="1"/>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114.02</w:t>
            </w:r>
            <w:r>
              <w:rPr>
                <w:rFonts w:ascii="Arial" w:cs="Arial" w:eastAsia="Arial" w:hAnsi="Arial"/>
                <w:sz w:val="21"/>
                <w:szCs w:val="21"/>
                <w:color w:val="008000"/>
                <w:w w:val="83"/>
                <w:vertAlign w:val="superscript"/>
              </w:rPr>
              <w:t>(2)</w:t>
            </w:r>
          </w:p>
        </w:tc>
        <w:tc>
          <w:tcPr>
            <w:tcW w:w="1160" w:type="dxa"/>
            <w:vAlign w:val="bottom"/>
            <w:gridSpan w:val="2"/>
            <w:vMerge w:val="restart"/>
          </w:tcPr>
          <w:p>
            <w:pPr>
              <w:ind w:left="380"/>
              <w:spacing w:after="0"/>
              <w:rPr>
                <w:sz w:val="20"/>
                <w:szCs w:val="20"/>
                <w:color w:val="auto"/>
              </w:rPr>
            </w:pPr>
            <w:r>
              <w:rPr>
                <w:rFonts w:ascii="Arial" w:cs="Arial" w:eastAsia="Arial" w:hAnsi="Arial"/>
                <w:sz w:val="17"/>
                <w:szCs w:val="17"/>
                <w:color w:val="0000FF"/>
              </w:rPr>
              <w:t>4,102</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9"/>
          </w:tcPr>
          <w:p>
            <w:pPr>
              <w:spacing w:after="0"/>
              <w:rPr>
                <w:sz w:val="8"/>
                <w:szCs w:val="8"/>
                <w:color w:val="auto"/>
              </w:rPr>
            </w:pPr>
          </w:p>
        </w:tc>
        <w:tc>
          <w:tcPr>
            <w:tcW w:w="70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40" w:type="dxa"/>
            <w:vAlign w:val="bottom"/>
            <w:gridSpan w:val="9"/>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0000FF"/>
                <w:w w:val="88"/>
              </w:rPr>
              <w:t>Stock,</w:t>
            </w:r>
          </w:p>
        </w:tc>
        <w:tc>
          <w:tcPr>
            <w:tcW w:w="560" w:type="dxa"/>
            <w:vAlign w:val="bottom"/>
            <w:vMerge w:val="restart"/>
          </w:tcPr>
          <w:p>
            <w:pPr>
              <w:ind w:left="140"/>
              <w:spacing w:after="0"/>
              <w:rPr>
                <w:sz w:val="20"/>
                <w:szCs w:val="20"/>
                <w:color w:val="auto"/>
              </w:rPr>
            </w:pPr>
            <w:r>
              <w:rPr>
                <w:rFonts w:ascii="Arial" w:cs="Arial" w:eastAsia="Arial" w:hAnsi="Arial"/>
                <w:sz w:val="17"/>
                <w:szCs w:val="17"/>
                <w:color w:val="0000FF"/>
              </w:rPr>
              <w:t>710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40" w:type="dxa"/>
            <w:vAlign w:val="bottom"/>
          </w:tcPr>
          <w:p>
            <w:pPr>
              <w:ind w:left="260"/>
              <w:spacing w:after="0" w:line="144" w:lineRule="exact"/>
              <w:rPr>
                <w:sz w:val="20"/>
                <w:szCs w:val="20"/>
                <w:color w:val="auto"/>
              </w:rPr>
            </w:pPr>
            <w:r>
              <w:rPr>
                <w:rFonts w:ascii="Arial" w:cs="Arial" w:eastAsia="Arial" w:hAnsi="Arial"/>
                <w:sz w:val="13"/>
                <w:szCs w:val="13"/>
                <w:color w:val="0000FF"/>
              </w:rPr>
              <w:t>02/22/2022</w:t>
            </w:r>
          </w:p>
        </w:tc>
        <w:tc>
          <w:tcPr>
            <w:tcW w:w="1060" w:type="dxa"/>
            <w:vAlign w:val="bottom"/>
          </w:tcPr>
          <w:p>
            <w:pPr>
              <w:spacing w:after="0"/>
              <w:rPr>
                <w:sz w:val="12"/>
                <w:szCs w:val="12"/>
                <w:color w:val="auto"/>
              </w:rPr>
            </w:pPr>
          </w:p>
        </w:tc>
        <w:tc>
          <w:tcPr>
            <w:tcW w:w="44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80"/>
              <w:spacing w:after="0" w:line="144" w:lineRule="exact"/>
              <w:rPr>
                <w:sz w:val="20"/>
                <w:szCs w:val="20"/>
                <w:color w:val="auto"/>
              </w:rPr>
            </w:pPr>
            <w:r>
              <w:rPr>
                <w:rFonts w:ascii="Arial" w:cs="Arial" w:eastAsia="Arial" w:hAnsi="Arial"/>
                <w:sz w:val="13"/>
                <w:szCs w:val="13"/>
                <w:color w:val="0000FF"/>
              </w:rPr>
              <w:t>710</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80"/>
              <w:spacing w:after="0" w:line="144"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440"/>
              <w:spacing w:after="0" w:line="144"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0000FF"/>
                <w:w w:val="90"/>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-2295525</wp:posOffset>
            </wp:positionV>
            <wp:extent cx="29210" cy="2300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0060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22, 2022.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ind w:left="40" w:right="3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22, 2018, the reporting person was granted 2,840 restricted stock units, 25 percent of the restricted stock units became vested on February 22, 2019, an additional 25 percent of the restricted stock units became vested February 22, 2020, an additional 25 percent of the restricted stock units became vested on February 22, 2021, and the remaining balance 25 percent of the restricted stock units became vested on February 22, 2022.</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8"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26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2022-02-24T16:22:38Z</dcterms:created>
  <dcterms:modified xsi:type="dcterms:W3CDTF">2022-02-24T16:22:38Z</dcterms:modified>
</cp:coreProperties>
</file>