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21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63"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EXLSERVICE HOLDINGS INC</w:t>
            </w:r>
          </w:p>
        </w:tc>
        <w:tc>
          <w:tcPr>
            <w:tcW w:w="12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4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EVP, Emerging Bus Unit Leader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2,940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186,430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1,451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184,979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3,325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188,304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1,641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186,663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2,940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02/19/2024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2,940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3,325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02/17/2024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3,325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0"/>
              <w:spacing w:after="0" w:line="143" w:lineRule="exact"/>
              <w:rPr>
                <w:sz w:val="20"/>
                <w:szCs w:val="20"/>
                <w:color w:val="auto"/>
              </w:rPr>
            </w:pPr>
            <w:r>
              <w:rPr>
                <w:rFonts w:ascii="Times New Roman" w:cs="Times New Roman" w:eastAsia="Times New Roman" w:hAnsi="Times New Roman"/>
                <w:sz w:val="13"/>
                <w:szCs w:val="13"/>
                <w:color w:val="0000FF"/>
              </w:rPr>
              <w:t>3,325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2,350 (pre-split)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percent of the restricted stock units became vested on February 19, 2024.</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2,660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will vest on February 17,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 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2024-02-21T19:58:17Z</dcterms:created>
  <dcterms:modified xsi:type="dcterms:W3CDTF">2024-02-21T19:58:17Z</dcterms:modified>
</cp:coreProperties>
</file>