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7)*</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2280" w:hanging="327"/>
        <w:spacing w:after="0"/>
        <w:tabs>
          <w:tab w:leader="none" w:pos="2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79" w:lineRule="exact"/>
        <w:rPr>
          <w:rFonts w:ascii="Arial" w:cs="Arial" w:eastAsia="Arial" w:hAnsi="Arial"/>
          <w:sz w:val="18"/>
          <w:szCs w:val="18"/>
          <w:color w:val="auto"/>
        </w:rPr>
      </w:pPr>
    </w:p>
    <w:p>
      <w:pPr>
        <w:jc w:val="both"/>
        <w:ind w:left="1960" w:right="8120" w:hanging="7"/>
        <w:spacing w:after="0" w:line="634" w:lineRule="auto"/>
        <w:tabs>
          <w:tab w:leader="none" w:pos="2284"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ind w:left="500" w:right="240" w:hanging="486"/>
        <w:spacing w:after="0" w:line="30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746125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557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Rohit Kapoor</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1,661,402</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501,185</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1,661,402</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501,185</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2,162,587</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6.41%</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9"/>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7"/>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302081104</w:t>
            </w:r>
          </w:p>
        </w:tc>
        <w:tc>
          <w:tcPr>
            <w:tcW w:w="2620" w:type="dxa"/>
            <w:vAlign w:val="bottom"/>
          </w:tcPr>
          <w:p>
            <w:pPr>
              <w:spacing w:after="0"/>
              <w:rPr>
                <w:sz w:val="24"/>
                <w:szCs w:val="24"/>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6 Pages</w:t>
            </w:r>
          </w:p>
        </w:tc>
      </w:tr>
      <w:tr>
        <w:trPr>
          <w:trHeight w:val="760"/>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Name of Issuer:</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ExlService Holdings, Inc.</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Address of Issuer’s Principal Executive Offices:</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280 Park Avenue</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New York, New York 10017</w:t>
            </w:r>
          </w:p>
        </w:tc>
        <w:tc>
          <w:tcPr>
            <w:tcW w:w="42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2(a).</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Name of Person Filing:</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Rohit Kapoor (“Mr. Kapoor”)</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2(b).</w:t>
            </w:r>
          </w:p>
        </w:tc>
        <w:tc>
          <w:tcPr>
            <w:tcW w:w="8140" w:type="dxa"/>
            <w:vAlign w:val="bottom"/>
            <w:gridSpan w:val="3"/>
          </w:tcPr>
          <w:p>
            <w:pPr>
              <w:ind w:left="280"/>
              <w:spacing w:after="0"/>
              <w:rPr>
                <w:sz w:val="20"/>
                <w:szCs w:val="20"/>
                <w:color w:val="auto"/>
              </w:rPr>
            </w:pPr>
            <w:r>
              <w:rPr>
                <w:rFonts w:ascii="Arial" w:cs="Arial" w:eastAsia="Arial" w:hAnsi="Arial"/>
                <w:sz w:val="18"/>
                <w:szCs w:val="18"/>
                <w:color w:val="auto"/>
              </w:rPr>
              <w:t>Address of Principal Business Office or, if none, Residence of the Reporting Person:</w:t>
            </w:r>
          </w:p>
        </w:tc>
        <w:tc>
          <w:tcPr>
            <w:tcW w:w="226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c/o ExlService Holdings, Inc.</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280 Park Avenue</w:t>
            </w:r>
          </w:p>
        </w:tc>
        <w:tc>
          <w:tcPr>
            <w:tcW w:w="42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New York, New York 10017</w:t>
            </w:r>
          </w:p>
        </w:tc>
        <w:tc>
          <w:tcPr>
            <w:tcW w:w="42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2(c).</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Citizenship:</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United States of America</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2(d).</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Title of Class of Securities:</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40" w:type="dxa"/>
            <w:vAlign w:val="bottom"/>
            <w:gridSpan w:val="3"/>
          </w:tcPr>
          <w:p>
            <w:pPr>
              <w:ind w:left="940"/>
              <w:spacing w:after="0"/>
              <w:rPr>
                <w:sz w:val="20"/>
                <w:szCs w:val="20"/>
                <w:color w:val="auto"/>
              </w:rPr>
            </w:pPr>
            <w:r>
              <w:rPr>
                <w:rFonts w:ascii="Arial" w:cs="Arial" w:eastAsia="Arial" w:hAnsi="Arial"/>
                <w:sz w:val="18"/>
                <w:szCs w:val="18"/>
                <w:color w:val="auto"/>
              </w:rPr>
              <w:t>Common Stock, par value $0.001 per share (the “Common Stock”)</w:t>
            </w: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2(e).</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80" w:type="dxa"/>
            <w:vAlign w:val="bottom"/>
            <w:gridSpan w:val="2"/>
          </w:tcPr>
          <w:p>
            <w:pPr>
              <w:ind w:left="940"/>
              <w:spacing w:after="0"/>
              <w:rPr>
                <w:sz w:val="20"/>
                <w:szCs w:val="20"/>
                <w:color w:val="auto"/>
              </w:rPr>
            </w:pPr>
            <w:r>
              <w:rPr>
                <w:rFonts w:ascii="Arial" w:cs="Arial" w:eastAsia="Arial" w:hAnsi="Arial"/>
                <w:sz w:val="18"/>
                <w:szCs w:val="18"/>
                <w:color w:val="auto"/>
              </w:rPr>
              <w:t>302081104</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140" w:type="dxa"/>
            <w:vAlign w:val="bottom"/>
            <w:gridSpan w:val="3"/>
          </w:tcPr>
          <w:p>
            <w:pPr>
              <w:ind w:left="280"/>
              <w:spacing w:after="0"/>
              <w:rPr>
                <w:sz w:val="20"/>
                <w:szCs w:val="20"/>
                <w:color w:val="auto"/>
              </w:rPr>
            </w:pPr>
            <w:r>
              <w:rPr>
                <w:rFonts w:ascii="Arial" w:cs="Arial" w:eastAsia="Arial" w:hAnsi="Arial"/>
                <w:sz w:val="18"/>
                <w:szCs w:val="18"/>
                <w:color w:val="auto"/>
              </w:rPr>
              <w:t>This Schedule 13G Statement is not being filed pursuant to Rule 13d-1(b) or Rule 13d-2(b) or (c).</w:t>
            </w:r>
          </w:p>
        </w:tc>
        <w:tc>
          <w:tcPr>
            <w:tcW w:w="2260" w:type="dxa"/>
            <w:vAlign w:val="bottom"/>
          </w:tcPr>
          <w:p>
            <w:pPr>
              <w:spacing w:after="0"/>
              <w:rPr>
                <w:sz w:val="24"/>
                <w:szCs w:val="24"/>
                <w:color w:val="auto"/>
              </w:rPr>
            </w:pPr>
          </w:p>
        </w:tc>
      </w:tr>
      <w:tr>
        <w:trPr>
          <w:trHeight w:val="486"/>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880" w:type="dxa"/>
            <w:vAlign w:val="bottom"/>
            <w:gridSpan w:val="2"/>
          </w:tcPr>
          <w:p>
            <w:pPr>
              <w:ind w:left="280"/>
              <w:spacing w:after="0"/>
              <w:rPr>
                <w:sz w:val="20"/>
                <w:szCs w:val="20"/>
                <w:color w:val="auto"/>
              </w:rPr>
            </w:pPr>
            <w:r>
              <w:rPr>
                <w:rFonts w:ascii="Arial" w:cs="Arial" w:eastAsia="Arial" w:hAnsi="Arial"/>
                <w:sz w:val="18"/>
                <w:szCs w:val="18"/>
                <w:color w:val="auto"/>
              </w:rPr>
              <w:t>Ownership</w:t>
            </w:r>
          </w:p>
        </w:tc>
        <w:tc>
          <w:tcPr>
            <w:tcW w:w="426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56" w:lineRule="exact"/>
        <w:rPr>
          <w:sz w:val="20"/>
          <w:szCs w:val="20"/>
          <w:color w:val="auto"/>
        </w:rPr>
      </w:pPr>
    </w:p>
    <w:p>
      <w:pPr>
        <w:ind w:left="1960"/>
        <w:spacing w:after="0" w:line="257" w:lineRule="auto"/>
        <w:rPr>
          <w:sz w:val="20"/>
          <w:szCs w:val="20"/>
          <w:color w:val="auto"/>
        </w:rPr>
      </w:pPr>
      <w:r>
        <w:rPr>
          <w:rFonts w:ascii="Arial" w:cs="Arial" w:eastAsia="Arial" w:hAnsi="Arial"/>
          <w:sz w:val="18"/>
          <w:szCs w:val="18"/>
          <w:color w:val="auto"/>
        </w:rPr>
        <w:t>Mr. Kapoor directly beneficially owns 1,234,268 shares of Common Stock, including 677,992 shares of Common Stock of which Mr. Kapoor has the right to acquire beneficial ownership within 60 days of December 31, 2013. In addition, Mr. Kapoor is the sole trustee of the Rohit Kapoor 2005 Grantor Retained Annuity Trust (the “Rohit Kapoor GRAT”) and the Rohit Kapoor 2013 Grantor Retained Annuity Trust (the “Rohit Kapoor GRAT 2013”), which directly owns 177,134 and 250,000 shares of Common Stock, respectively. As such, Mr. Kapoor has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4 of 6 Pages</w:t>
            </w:r>
          </w:p>
        </w:tc>
      </w:tr>
    </w:tbl>
    <w:p>
      <w:pPr>
        <w:spacing w:after="0" w:line="200" w:lineRule="exact"/>
        <w:rPr>
          <w:sz w:val="20"/>
          <w:szCs w:val="20"/>
          <w:color w:val="auto"/>
        </w:rPr>
      </w:pPr>
    </w:p>
    <w:p>
      <w:pPr>
        <w:spacing w:after="0" w:line="275" w:lineRule="exact"/>
        <w:rPr>
          <w:sz w:val="20"/>
          <w:szCs w:val="20"/>
          <w:color w:val="auto"/>
        </w:rPr>
      </w:pPr>
    </w:p>
    <w:p>
      <w:pPr>
        <w:ind w:left="1960" w:right="360"/>
        <w:spacing w:after="0" w:line="342" w:lineRule="auto"/>
        <w:rPr>
          <w:sz w:val="20"/>
          <w:szCs w:val="20"/>
          <w:color w:val="auto"/>
        </w:rPr>
      </w:pPr>
      <w:r>
        <w:rPr>
          <w:rFonts w:ascii="Arial" w:cs="Arial" w:eastAsia="Arial" w:hAnsi="Arial"/>
          <w:sz w:val="16"/>
          <w:szCs w:val="16"/>
          <w:color w:val="auto"/>
        </w:rPr>
        <w:t>dispositive and voting power over the 1,234,268 shares of Common Stock held by him directly and sole dispositive and voting power over the 177,134 and 250,000 shares held by the Rohit Kapoor GRAT and the Rohit Kapoor GRAT 2013, respectively.</w:t>
      </w:r>
    </w:p>
    <w:p>
      <w:pPr>
        <w:spacing w:after="0" w:line="178" w:lineRule="exact"/>
        <w:rPr>
          <w:sz w:val="20"/>
          <w:szCs w:val="20"/>
          <w:color w:val="auto"/>
        </w:rPr>
      </w:pPr>
    </w:p>
    <w:p>
      <w:pPr>
        <w:ind w:left="1960" w:right="40"/>
        <w:spacing w:after="0" w:line="302" w:lineRule="auto"/>
        <w:rPr>
          <w:sz w:val="20"/>
          <w:szCs w:val="20"/>
          <w:color w:val="auto"/>
        </w:rPr>
      </w:pPr>
      <w:r>
        <w:rPr>
          <w:rFonts w:ascii="Arial" w:cs="Arial" w:eastAsia="Arial" w:hAnsi="Arial"/>
          <w:sz w:val="16"/>
          <w:szCs w:val="16"/>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208" w:lineRule="exact"/>
        <w:rPr>
          <w:sz w:val="20"/>
          <w:szCs w:val="20"/>
          <w:color w:val="auto"/>
        </w:rPr>
      </w:pPr>
    </w:p>
    <w:p>
      <w:pPr>
        <w:ind w:left="1960" w:right="120"/>
        <w:spacing w:after="0" w:line="302" w:lineRule="auto"/>
        <w:rPr>
          <w:sz w:val="20"/>
          <w:szCs w:val="20"/>
          <w:color w:val="auto"/>
        </w:rPr>
      </w:pPr>
      <w:r>
        <w:rPr>
          <w:rFonts w:ascii="Arial" w:cs="Arial" w:eastAsia="Arial" w:hAnsi="Arial"/>
          <w:sz w:val="16"/>
          <w:szCs w:val="16"/>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208" w:lineRule="exact"/>
        <w:rPr>
          <w:sz w:val="20"/>
          <w:szCs w:val="20"/>
          <w:color w:val="auto"/>
        </w:rPr>
      </w:pPr>
    </w:p>
    <w:p>
      <w:pPr>
        <w:ind w:left="1960" w:right="100"/>
        <w:spacing w:after="0" w:line="279" w:lineRule="auto"/>
        <w:rPr>
          <w:sz w:val="20"/>
          <w:szCs w:val="20"/>
          <w:color w:val="auto"/>
        </w:rPr>
      </w:pPr>
      <w:r>
        <w:rPr>
          <w:rFonts w:ascii="Arial" w:cs="Arial" w:eastAsia="Arial" w:hAnsi="Arial"/>
          <w:sz w:val="17"/>
          <w:szCs w:val="17"/>
          <w:color w:val="auto"/>
        </w:rPr>
        <w:t>Mr. Kapoor may be deemed to beneficially own 333,185 shares of Common Stock directly owned by the Rohit Kapoor 2012 Family Trust (the “Rohit Kapoor 2012 Trust”). Barclays Wealth Trust (US), NA is the sole trustee of the Rohit Kapoor 2012 Trust and share dispositive and voting power over the 333,185 shares of Common Stock owned by the Rohit Kapoor 2012 Trust. Mr. Kapoor disclaims beneficial ownership of any shares of Common Stock held by the Rohit Kapoor 2012 Trust</w:t>
      </w:r>
    </w:p>
    <w:p>
      <w:pPr>
        <w:spacing w:after="0" w:line="225" w:lineRule="exact"/>
        <w:rPr>
          <w:sz w:val="20"/>
          <w:szCs w:val="20"/>
          <w:color w:val="auto"/>
        </w:rPr>
      </w:pPr>
    </w:p>
    <w:p>
      <w:pPr>
        <w:ind w:left="1960" w:right="240"/>
        <w:spacing w:after="0" w:line="277" w:lineRule="auto"/>
        <w:rPr>
          <w:sz w:val="20"/>
          <w:szCs w:val="20"/>
          <w:color w:val="auto"/>
        </w:rPr>
      </w:pPr>
      <w:r>
        <w:rPr>
          <w:rFonts w:ascii="Arial" w:cs="Arial" w:eastAsia="Arial" w:hAnsi="Arial"/>
          <w:sz w:val="18"/>
          <w:szCs w:val="18"/>
          <w:color w:val="auto"/>
        </w:rPr>
        <w:t>In aggregate, Mr. Kapoor beneficially owns 2,162,587 shares of Common Stock, which represented approximately 6.41% of the issued and outstanding shares of Common Stock as of December 31, 2013.</w:t>
      </w: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1470660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5 of 6 Pages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Identification and Classification of the Subsidiary Which Acquired the Security Being Reported on By the Parent Holding Company or</w:t>
            </w:r>
          </w:p>
        </w:tc>
      </w:tr>
      <w:tr>
        <w:trPr>
          <w:trHeight w:val="230"/>
        </w:trPr>
        <w:tc>
          <w:tcPr>
            <w:tcW w:w="9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Control Person</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10460" w:type="dxa"/>
            <w:vAlign w:val="bottom"/>
          </w:tcPr>
          <w:p>
            <w:pPr>
              <w:ind w:left="3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10460" w:type="dxa"/>
            <w:vAlign w:val="bottom"/>
          </w:tcPr>
          <w:p>
            <w:pPr>
              <w:ind w:left="340"/>
              <w:spacing w:after="0"/>
              <w:rPr>
                <w:sz w:val="20"/>
                <w:szCs w:val="20"/>
                <w:color w:val="auto"/>
              </w:rPr>
            </w:pPr>
            <w:r>
              <w:rPr>
                <w:rFonts w:ascii="Arial" w:cs="Arial" w:eastAsia="Arial" w:hAnsi="Arial"/>
                <w:sz w:val="18"/>
                <w:szCs w:val="18"/>
                <w:color w:val="auto"/>
              </w:rPr>
              <w:t>Notice of Dissolution of Group</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10460" w:type="dxa"/>
            <w:vAlign w:val="bottom"/>
          </w:tcPr>
          <w:p>
            <w:pPr>
              <w:ind w:left="340"/>
              <w:spacing w:after="0"/>
              <w:rPr>
                <w:sz w:val="20"/>
                <w:szCs w:val="20"/>
                <w:color w:val="auto"/>
              </w:rPr>
            </w:pPr>
            <w:r>
              <w:rPr>
                <w:rFonts w:ascii="Arial" w:cs="Arial" w:eastAsia="Arial" w:hAnsi="Arial"/>
                <w:sz w:val="18"/>
                <w:szCs w:val="18"/>
                <w:color w:val="auto"/>
              </w:rPr>
              <w:t>Certifications</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1226"/>
        </w:trPr>
        <w:tc>
          <w:tcPr>
            <w:tcW w:w="96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9"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6 of 6 Pages</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2014</w:t>
      </w: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1864995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o"/>
      <w:numFmt w:val="bullet"/>
      <w:start w:val="1"/>
    </w:lvl>
  </w:abstractNum>
  <w:abstractNum w:abstractNumId="1">
    <w:nsid w:val="66334873"/>
    <w:multiLevelType w:val="hybridMultilevel"/>
    <w:lvl w:ilvl="0">
      <w:lvlJc w:val="left"/>
      <w:lvlText w:val="4"/>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2019-12-07T07:24:42Z</dcterms:created>
  <dcterms:modified xsi:type="dcterms:W3CDTF">2019-12-07T07:24:42Z</dcterms:modified>
</cp:coreProperties>
</file>