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7611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761174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AYYAPPAN AJAY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02/17/2023</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54"/>
        <w:spacing w:after="0"/>
        <w:rPr>
          <w:sz w:val="20"/>
          <w:szCs w:val="20"/>
          <w:color w:val="auto"/>
        </w:rPr>
      </w:pPr>
      <w:r>
        <w:rPr>
          <w:rFonts w:ascii="Arial" w:cs="Arial" w:eastAsia="Arial" w:hAnsi="Arial"/>
          <w:sz w:val="16"/>
          <w:szCs w:val="16"/>
          <w:color w:val="0000FF"/>
        </w:rPr>
        <w:t>SVP &amp; Gen Counsel/Corp. Sec'y.</w:t>
      </w:r>
    </w:p>
    <w:p>
      <w:pPr>
        <w:spacing w:after="0" w:line="324" w:lineRule="exact"/>
        <w:rPr>
          <w:sz w:val="24"/>
          <w:szCs w:val="24"/>
          <w:color w:val="auto"/>
        </w:rPr>
      </w:pPr>
    </w:p>
    <w:p>
      <w:pPr>
        <w:sectPr>
          <w:pgSz w:w="11900" w:h="16838" w:orient="portrait"/>
          <w:cols w:equalWidth="0" w:num="3">
            <w:col w:w="3180" w:space="720"/>
            <w:col w:w="3106" w:space="720"/>
            <w:col w:w="3354"/>
          </w:cols>
          <w:pgMar w:left="460" w:top="222" w:right="359" w:bottom="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40" w:space="160"/>
            <w:col w:w="718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02/17/2023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328</w:t>
            </w:r>
          </w:p>
        </w:tc>
        <w:tc>
          <w:tcPr>
            <w:tcW w:w="52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170.89</w:t>
            </w:r>
          </w:p>
        </w:tc>
        <w:tc>
          <w:tcPr>
            <w:tcW w:w="1120" w:type="dxa"/>
            <w:vAlign w:val="bottom"/>
            <w:tcBorders>
              <w:bottom w:val="single" w:sz="8" w:color="2C2C2C"/>
            </w:tcBorders>
          </w:tcPr>
          <w:p>
            <w:pPr>
              <w:jc w:val="right"/>
              <w:ind w:right="288"/>
              <w:spacing w:after="0"/>
              <w:rPr>
                <w:sz w:val="20"/>
                <w:szCs w:val="20"/>
                <w:color w:val="auto"/>
              </w:rPr>
            </w:pPr>
            <w:r>
              <w:rPr>
                <w:rFonts w:ascii="Arial" w:cs="Arial" w:eastAsia="Arial" w:hAnsi="Arial"/>
                <w:sz w:val="17"/>
                <w:szCs w:val="17"/>
                <w:color w:val="0000FF"/>
              </w:rPr>
              <w:t>5,369</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02/17/2023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91"/>
              </w:rPr>
              <w:t>M</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1,053</w:t>
            </w:r>
          </w:p>
        </w:tc>
        <w:tc>
          <w:tcPr>
            <w:tcW w:w="52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(2)</w:t>
            </w:r>
          </w:p>
        </w:tc>
        <w:tc>
          <w:tcPr>
            <w:tcW w:w="1120" w:type="dxa"/>
            <w:vAlign w:val="bottom"/>
            <w:tcBorders>
              <w:bottom w:val="single" w:sz="8" w:color="2C2C2C"/>
            </w:tcBorders>
          </w:tcPr>
          <w:p>
            <w:pPr>
              <w:jc w:val="right"/>
              <w:ind w:right="288"/>
              <w:spacing w:after="0"/>
              <w:rPr>
                <w:sz w:val="20"/>
                <w:szCs w:val="20"/>
                <w:color w:val="auto"/>
              </w:rPr>
            </w:pPr>
            <w:r>
              <w:rPr>
                <w:rFonts w:ascii="Arial" w:cs="Arial" w:eastAsia="Arial" w:hAnsi="Arial"/>
                <w:sz w:val="17"/>
                <w:szCs w:val="17"/>
                <w:color w:val="0000FF"/>
              </w:rPr>
              <w:t>6,422</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02/17/2023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460</w:t>
            </w:r>
          </w:p>
        </w:tc>
        <w:tc>
          <w:tcPr>
            <w:tcW w:w="52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170.57</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jc w:val="right"/>
              <w:ind w:right="288"/>
              <w:spacing w:after="0"/>
              <w:rPr>
                <w:sz w:val="20"/>
                <w:szCs w:val="20"/>
                <w:color w:val="auto"/>
              </w:rPr>
            </w:pPr>
            <w:r>
              <w:rPr>
                <w:rFonts w:ascii="Arial" w:cs="Arial" w:eastAsia="Arial" w:hAnsi="Arial"/>
                <w:sz w:val="17"/>
                <w:szCs w:val="17"/>
                <w:color w:val="0000FF"/>
              </w:rPr>
              <w:t>5,962</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02/19/2023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593</w:t>
            </w:r>
          </w:p>
        </w:tc>
        <w:tc>
          <w:tcPr>
            <w:tcW w:w="52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168.81</w:t>
            </w:r>
          </w:p>
        </w:tc>
        <w:tc>
          <w:tcPr>
            <w:tcW w:w="1120" w:type="dxa"/>
            <w:vAlign w:val="bottom"/>
            <w:tcBorders>
              <w:bottom w:val="single" w:sz="8" w:color="2C2C2C"/>
            </w:tcBorders>
          </w:tcPr>
          <w:p>
            <w:pPr>
              <w:jc w:val="right"/>
              <w:ind w:right="288"/>
              <w:spacing w:after="0"/>
              <w:rPr>
                <w:sz w:val="20"/>
                <w:szCs w:val="20"/>
                <w:color w:val="auto"/>
              </w:rPr>
            </w:pPr>
            <w:r>
              <w:rPr>
                <w:rFonts w:ascii="Arial" w:cs="Arial" w:eastAsia="Arial" w:hAnsi="Arial"/>
                <w:sz w:val="17"/>
                <w:szCs w:val="17"/>
                <w:color w:val="0000FF"/>
              </w:rPr>
              <w:t>5,369</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02/19/2023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91"/>
              </w:rPr>
              <w:t>M</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840</w:t>
            </w:r>
          </w:p>
        </w:tc>
        <w:tc>
          <w:tcPr>
            <w:tcW w:w="52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(2)</w:t>
            </w:r>
          </w:p>
        </w:tc>
        <w:tc>
          <w:tcPr>
            <w:tcW w:w="1120" w:type="dxa"/>
            <w:vAlign w:val="bottom"/>
            <w:tcBorders>
              <w:bottom w:val="single" w:sz="8" w:color="2C2C2C"/>
            </w:tcBorders>
          </w:tcPr>
          <w:p>
            <w:pPr>
              <w:jc w:val="right"/>
              <w:ind w:right="288"/>
              <w:spacing w:after="0"/>
              <w:rPr>
                <w:sz w:val="20"/>
                <w:szCs w:val="20"/>
                <w:color w:val="auto"/>
              </w:rPr>
            </w:pPr>
            <w:r>
              <w:rPr>
                <w:rFonts w:ascii="Arial" w:cs="Arial" w:eastAsia="Arial" w:hAnsi="Arial"/>
                <w:sz w:val="17"/>
                <w:szCs w:val="17"/>
                <w:color w:val="0000FF"/>
              </w:rPr>
              <w:t>6,209</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02/19/2023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367</w:t>
            </w:r>
          </w:p>
        </w:tc>
        <w:tc>
          <w:tcPr>
            <w:tcW w:w="52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170.53</w:t>
            </w:r>
            <w:r>
              <w:rPr>
                <w:rFonts w:ascii="Arial" w:cs="Arial" w:eastAsia="Arial" w:hAnsi="Arial"/>
                <w:sz w:val="21"/>
                <w:szCs w:val="21"/>
                <w:color w:val="008000"/>
                <w:w w:val="86"/>
                <w:vertAlign w:val="superscript"/>
              </w:rPr>
              <w:t>(4)</w:t>
            </w:r>
          </w:p>
        </w:tc>
        <w:tc>
          <w:tcPr>
            <w:tcW w:w="1120" w:type="dxa"/>
            <w:vAlign w:val="bottom"/>
            <w:tcBorders>
              <w:bottom w:val="single" w:sz="8" w:color="2C2C2C"/>
            </w:tcBorders>
          </w:tcPr>
          <w:p>
            <w:pPr>
              <w:jc w:val="right"/>
              <w:ind w:right="288"/>
              <w:spacing w:after="0"/>
              <w:rPr>
                <w:sz w:val="20"/>
                <w:szCs w:val="20"/>
                <w:color w:val="auto"/>
              </w:rPr>
            </w:pPr>
            <w:r>
              <w:rPr>
                <w:rFonts w:ascii="Arial" w:cs="Arial" w:eastAsia="Arial" w:hAnsi="Arial"/>
                <w:sz w:val="17"/>
                <w:szCs w:val="17"/>
                <w:color w:val="0000FF"/>
              </w:rPr>
              <w:t>5,842</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02/20/2023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91"/>
              </w:rPr>
              <w:t>M</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517</w:t>
            </w:r>
          </w:p>
        </w:tc>
        <w:tc>
          <w:tcPr>
            <w:tcW w:w="52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(2)</w:t>
            </w:r>
          </w:p>
        </w:tc>
        <w:tc>
          <w:tcPr>
            <w:tcW w:w="1120" w:type="dxa"/>
            <w:vAlign w:val="bottom"/>
            <w:tcBorders>
              <w:bottom w:val="single" w:sz="8" w:color="2C2C2C"/>
            </w:tcBorders>
          </w:tcPr>
          <w:p>
            <w:pPr>
              <w:jc w:val="right"/>
              <w:ind w:right="288"/>
              <w:spacing w:after="0"/>
              <w:rPr>
                <w:sz w:val="20"/>
                <w:szCs w:val="20"/>
                <w:color w:val="auto"/>
              </w:rPr>
            </w:pPr>
            <w:r>
              <w:rPr>
                <w:rFonts w:ascii="Arial" w:cs="Arial" w:eastAsia="Arial" w:hAnsi="Arial"/>
                <w:sz w:val="17"/>
                <w:szCs w:val="17"/>
                <w:color w:val="0000FF"/>
              </w:rPr>
              <w:t>6,359</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02/20/2023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226</w:t>
            </w:r>
          </w:p>
        </w:tc>
        <w:tc>
          <w:tcPr>
            <w:tcW w:w="52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170.53</w:t>
            </w:r>
            <w:r>
              <w:rPr>
                <w:rFonts w:ascii="Arial" w:cs="Arial" w:eastAsia="Arial" w:hAnsi="Arial"/>
                <w:sz w:val="21"/>
                <w:szCs w:val="21"/>
                <w:color w:val="008000"/>
                <w:w w:val="86"/>
                <w:vertAlign w:val="superscript"/>
              </w:rPr>
              <w:t>(5)</w:t>
            </w:r>
          </w:p>
        </w:tc>
        <w:tc>
          <w:tcPr>
            <w:tcW w:w="1120" w:type="dxa"/>
            <w:vAlign w:val="bottom"/>
            <w:tcBorders>
              <w:bottom w:val="single" w:sz="8" w:color="2C2C2C"/>
            </w:tcBorders>
          </w:tcPr>
          <w:p>
            <w:pPr>
              <w:jc w:val="right"/>
              <w:ind w:right="288"/>
              <w:spacing w:after="0"/>
              <w:rPr>
                <w:sz w:val="20"/>
                <w:szCs w:val="20"/>
                <w:color w:val="auto"/>
              </w:rPr>
            </w:pPr>
            <w:r>
              <w:rPr>
                <w:rFonts w:ascii="Arial" w:cs="Arial" w:eastAsia="Arial" w:hAnsi="Arial"/>
                <w:sz w:val="17"/>
                <w:szCs w:val="17"/>
                <w:color w:val="0000FF"/>
              </w:rPr>
              <w:t>6,133</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1,053</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3"/>
                <w:szCs w:val="13"/>
                <w:color w:val="0000FF"/>
                <w:w w:val="92"/>
              </w:rPr>
              <w:t>02/17/2023</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tcPr>
          <w:p>
            <w:pPr>
              <w:jc w:val="center"/>
              <w:ind w:left="260"/>
              <w:spacing w:after="0" w:line="143" w:lineRule="exact"/>
              <w:rPr>
                <w:sz w:val="20"/>
                <w:szCs w:val="20"/>
                <w:color w:val="auto"/>
              </w:rPr>
            </w:pPr>
            <w:r>
              <w:rPr>
                <w:rFonts w:ascii="Arial" w:cs="Arial" w:eastAsia="Arial" w:hAnsi="Arial"/>
                <w:sz w:val="13"/>
                <w:szCs w:val="13"/>
                <w:color w:val="0000FF"/>
                <w:w w:val="92"/>
              </w:rPr>
              <w:t>1,053</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tcPr>
          <w:p>
            <w:pPr>
              <w:jc w:val="center"/>
              <w:spacing w:after="0" w:line="143" w:lineRule="exact"/>
              <w:rPr>
                <w:sz w:val="20"/>
                <w:szCs w:val="20"/>
                <w:color w:val="auto"/>
              </w:rPr>
            </w:pPr>
            <w:r>
              <w:rPr>
                <w:rFonts w:ascii="Arial" w:cs="Arial" w:eastAsia="Arial" w:hAnsi="Arial"/>
                <w:sz w:val="13"/>
                <w:szCs w:val="13"/>
                <w:color w:val="0000FF"/>
                <w:w w:val="85"/>
              </w:rPr>
              <w:t>2,105</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840</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3"/>
                <w:szCs w:val="13"/>
                <w:color w:val="0000FF"/>
                <w:w w:val="92"/>
              </w:rPr>
              <w:t>02/19/2023</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tcPr>
          <w:p>
            <w:pPr>
              <w:jc w:val="center"/>
              <w:ind w:left="280"/>
              <w:spacing w:after="0" w:line="143" w:lineRule="exact"/>
              <w:rPr>
                <w:sz w:val="20"/>
                <w:szCs w:val="20"/>
                <w:color w:val="auto"/>
              </w:rPr>
            </w:pPr>
            <w:r>
              <w:rPr>
                <w:rFonts w:ascii="Arial" w:cs="Arial" w:eastAsia="Arial" w:hAnsi="Arial"/>
                <w:sz w:val="13"/>
                <w:szCs w:val="13"/>
                <w:color w:val="0000FF"/>
                <w:w w:val="92"/>
              </w:rPr>
              <w:t>840</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tcPr>
          <w:p>
            <w:pPr>
              <w:jc w:val="center"/>
              <w:spacing w:after="0" w:line="143" w:lineRule="exact"/>
              <w:rPr>
                <w:sz w:val="20"/>
                <w:szCs w:val="20"/>
                <w:color w:val="auto"/>
              </w:rPr>
            </w:pPr>
            <w:r>
              <w:rPr>
                <w:rFonts w:ascii="Arial" w:cs="Arial" w:eastAsia="Arial" w:hAnsi="Arial"/>
                <w:sz w:val="13"/>
                <w:szCs w:val="13"/>
                <w:color w:val="0000FF"/>
                <w:w w:val="92"/>
              </w:rPr>
              <w:t>840</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(8)</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517</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3"/>
                <w:szCs w:val="13"/>
                <w:color w:val="0000FF"/>
                <w:w w:val="92"/>
              </w:rPr>
              <w:t>02/20/2023</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tcPr>
          <w:p>
            <w:pPr>
              <w:jc w:val="center"/>
              <w:ind w:left="280"/>
              <w:spacing w:after="0" w:line="143" w:lineRule="exact"/>
              <w:rPr>
                <w:sz w:val="20"/>
                <w:szCs w:val="20"/>
                <w:color w:val="auto"/>
              </w:rPr>
            </w:pPr>
            <w:r>
              <w:rPr>
                <w:rFonts w:ascii="Arial" w:cs="Arial" w:eastAsia="Arial" w:hAnsi="Arial"/>
                <w:sz w:val="13"/>
                <w:szCs w:val="13"/>
                <w:color w:val="0000FF"/>
                <w:w w:val="92"/>
              </w:rPr>
              <w:t>517</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tcPr>
          <w:p>
            <w:pPr>
              <w:jc w:val="center"/>
              <w:spacing w:after="0" w:line="143" w:lineRule="exact"/>
              <w:rPr>
                <w:sz w:val="20"/>
                <w:szCs w:val="20"/>
                <w:color w:val="auto"/>
              </w:rPr>
            </w:pPr>
            <w:r>
              <w:rPr>
                <w:rFonts w:ascii="Arial" w:cs="Arial" w:eastAsia="Arial" w:hAnsi="Arial"/>
                <w:sz w:val="13"/>
                <w:szCs w:val="13"/>
                <w:color w:val="0000FF"/>
                <w:w w:val="82"/>
              </w:rPr>
              <w:t>0</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6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17, 2023.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2"/>
          <w:szCs w:val="12"/>
          <w:color w:val="008000"/>
        </w:rPr>
      </w:pPr>
    </w:p>
    <w:p>
      <w:pPr>
        <w:ind w:left="40" w:right="36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19, 2023.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2"/>
          <w:szCs w:val="12"/>
          <w:color w:val="008000"/>
        </w:rPr>
      </w:pPr>
    </w:p>
    <w:p>
      <w:pPr>
        <w:ind w:left="40" w:right="36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20, 2023.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2"/>
          <w:szCs w:val="12"/>
          <w:color w:val="008000"/>
        </w:rPr>
      </w:pPr>
    </w:p>
    <w:p>
      <w:pPr>
        <w:ind w:left="40" w:right="2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17, 2021, the reporting person was granted 4,210 restricted stock units, vesting in four equal annual installments beginning on the first anniversary of the grant date. 25 percent of the restricted stock units became vested on February 17, 2022, an additional 25 percent of the restricted stock units became vested on February 17, 2023, an additional 25 percent of the restricted stock units will vest on February 17, 2024, and the remaining balance of 25 of the restricted stock units will vest on February 17, 2025.</w:t>
      </w:r>
    </w:p>
    <w:p>
      <w:pPr>
        <w:spacing w:after="0" w:line="30" w:lineRule="exact"/>
        <w:rPr>
          <w:rFonts w:ascii="Arial" w:cs="Arial" w:eastAsia="Arial" w:hAnsi="Arial"/>
          <w:sz w:val="13"/>
          <w:szCs w:val="13"/>
          <w:color w:val="008000"/>
        </w:rPr>
      </w:pPr>
    </w:p>
    <w:p>
      <w:pPr>
        <w:ind w:left="40" w:right="2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19, 2020, the reporting person was granted 3,360 restricted stock units, vesting in four annual installments beginning on the first anniversary of the grant date. 25 percent of the restricted stock units became vested on February 19, 2021, an additional twenty-five percent of the restricted stock units became vested on February 19, 2022, an additional twenty-five percent of the restricted stock units became vested on February 19, 2023, and the remaining balance of twenty-five percent of the restricted stock units will vest on February 19, 2024.</w:t>
      </w:r>
    </w:p>
    <w:p>
      <w:pPr>
        <w:spacing w:after="0" w:line="30"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20, 2019, the reporting person was granted 2,065 restricted stock units, vesting in four equal annual installments beginning on the first anniversary of the grant date. 25 percent of the restricted</w:t>
      </w:r>
    </w:p>
    <w:p>
      <w:pPr>
        <w:sectPr>
          <w:pgSz w:w="11900" w:h="16838" w:orient="portrait"/>
          <w:cols w:equalWidth="0" w:num="1">
            <w:col w:w="11080"/>
          </w:cols>
          <w:pgMar w:left="460" w:top="222" w:right="359" w:bottom="0" w:gutter="0" w:footer="0" w:header="0"/>
          <w:type w:val="continuous"/>
        </w:sectPr>
      </w:pPr>
    </w:p>
    <w:bookmarkStart w:id="1" w:name="page2"/>
    <w:bookmarkEnd w:id="1"/>
    <w:p>
      <w:pPr>
        <w:spacing w:after="0" w:line="252" w:lineRule="auto"/>
        <w:rPr>
          <w:sz w:val="20"/>
          <w:szCs w:val="20"/>
          <w:color w:val="auto"/>
        </w:rPr>
      </w:pPr>
      <w:r>
        <w:rPr>
          <w:rFonts w:ascii="Arial" w:cs="Arial" w:eastAsia="Arial" w:hAnsi="Arial"/>
          <w:sz w:val="13"/>
          <w:szCs w:val="13"/>
          <w:color w:val="008000"/>
        </w:rPr>
        <w:t>stock units became vested on February 19, 2020 an additional 25 percent of the restricted stock units became vested on February 20, 2021, an additional 25 percent of the restricted stock units became vested on February 20, 2022, and the remaining balance of 25 of the restricted stock units became vested on February 20, 2023.</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008000"/>
        </w:rPr>
        <w:t>Mr. Oseni is the Company's Head of Administration and Accounts.</w:t>
      </w:r>
    </w:p>
    <w:p>
      <w:pPr>
        <w:ind w:left="656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-26670</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400"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209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2023-02-22T17:40:41Z</dcterms:created>
  <dcterms:modified xsi:type="dcterms:W3CDTF">2023-02-22T17:40:41Z</dcterms:modified>
</cp:coreProperties>
</file>