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602615</wp:posOffset>
            </wp:positionH>
            <wp:positionV relativeFrom="paragraph">
              <wp:posOffset>138430</wp:posOffset>
            </wp:positionV>
            <wp:extent cx="659828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598285" cy="8255"/>
                    </a:xfrm>
                    <a:prstGeom prst="rect">
                      <a:avLst/>
                    </a:prstGeom>
                    <a:noFill/>
                  </pic:spPr>
                </pic:pic>
              </a:graphicData>
            </a:graphic>
          </wp:anchor>
        </w:drawing>
        <w:drawing>
          <wp:anchor simplePos="0" relativeHeight="251657728" behindDoc="1" locked="0" layoutInCell="0" allowOverlap="1">
            <wp:simplePos x="0" y="0"/>
            <wp:positionH relativeFrom="column">
              <wp:posOffset>602615</wp:posOffset>
            </wp:positionH>
            <wp:positionV relativeFrom="paragraph">
              <wp:posOffset>105410</wp:posOffset>
            </wp:positionV>
            <wp:extent cx="659828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598285" cy="8255"/>
                    </a:xfrm>
                    <a:prstGeom prst="rect">
                      <a:avLst/>
                    </a:prstGeom>
                    <a:noFill/>
                  </pic:spPr>
                </pic:pic>
              </a:graphicData>
            </a:graphic>
          </wp:anchor>
        </w:drawing>
      </w:r>
    </w:p>
    <w:p>
      <w:pPr>
        <w:spacing w:after="0" w:line="2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22" w:lineRule="exact"/>
        <w:rPr>
          <w:sz w:val="24"/>
          <w:szCs w:val="24"/>
          <w:color w:val="auto"/>
        </w:rPr>
      </w:pPr>
    </w:p>
    <w:p>
      <w:pPr>
        <w:ind w:left="3140"/>
        <w:spacing w:after="0"/>
        <w:rPr>
          <w:sz w:val="20"/>
          <w:szCs w:val="20"/>
          <w:color w:val="auto"/>
        </w:rPr>
      </w:pPr>
      <w:r>
        <w:rPr>
          <w:rFonts w:ascii="Times New Roman" w:cs="Times New Roman" w:eastAsia="Times New Roman" w:hAnsi="Times New Roman"/>
          <w:sz w:val="17"/>
          <w:szCs w:val="17"/>
          <w:b w:val="1"/>
          <w:bCs w:val="1"/>
          <w:color w:val="auto"/>
        </w:rPr>
        <w:t>_________________________________________________________</w:t>
      </w: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FORM 10-Q</w:t>
      </w:r>
    </w:p>
    <w:p>
      <w:pPr>
        <w:spacing w:after="0" w:line="8" w:lineRule="exact"/>
        <w:rPr>
          <w:sz w:val="24"/>
          <w:szCs w:val="24"/>
          <w:color w:val="auto"/>
        </w:rPr>
      </w:pPr>
    </w:p>
    <w:p>
      <w:pPr>
        <w:ind w:left="3140"/>
        <w:spacing w:after="0"/>
        <w:rPr>
          <w:sz w:val="20"/>
          <w:szCs w:val="20"/>
          <w:color w:val="auto"/>
        </w:rPr>
      </w:pPr>
      <w:r>
        <w:rPr>
          <w:rFonts w:ascii="Times New Roman" w:cs="Times New Roman" w:eastAsia="Times New Roman" w:hAnsi="Times New Roman"/>
          <w:sz w:val="17"/>
          <w:szCs w:val="17"/>
          <w:b w:val="1"/>
          <w:bCs w:val="1"/>
          <w:color w:val="auto"/>
        </w:rPr>
        <w:t>_________________________________________________________</w:t>
      </w:r>
    </w:p>
    <w:p>
      <w:pPr>
        <w:spacing w:after="0" w:line="12"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111" w:lineRule="exact"/>
        <w:rPr>
          <w:sz w:val="24"/>
          <w:szCs w:val="24"/>
          <w:color w:val="auto"/>
        </w:rPr>
      </w:pPr>
    </w:p>
    <w:p>
      <w:pPr>
        <w:ind w:left="300" w:hanging="278"/>
        <w:spacing w:after="0"/>
        <w:tabs>
          <w:tab w:leader="none" w:pos="30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QUARTERLY REPORT PURSUANT TO SECTION 13 OR 15(d) OF THE SECURITIES EXCHANGE ACT OF 1934</w:t>
      </w:r>
    </w:p>
    <w:p>
      <w:pPr>
        <w:spacing w:after="0" w:line="1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 THE QUARTERLY PERIOD ENDED SEPTEMBER 30, 2024</w:t>
      </w:r>
    </w:p>
    <w:p>
      <w:pPr>
        <w:spacing w:after="0" w:line="6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126" w:lineRule="exact"/>
        <w:rPr>
          <w:sz w:val="24"/>
          <w:szCs w:val="24"/>
          <w:color w:val="auto"/>
        </w:rPr>
      </w:pPr>
    </w:p>
    <w:p>
      <w:pPr>
        <w:ind w:left="300" w:hanging="278"/>
        <w:spacing w:after="0"/>
        <w:tabs>
          <w:tab w:leader="none" w:pos="30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97" w:lineRule="exact"/>
        <w:rPr>
          <w:sz w:val="24"/>
          <w:szCs w:val="24"/>
          <w:color w:val="auto"/>
        </w:rPr>
      </w:pPr>
    </w:p>
    <w:p>
      <w:pPr>
        <w:ind w:left="3220"/>
        <w:spacing w:after="0"/>
        <w:tabs>
          <w:tab w:leader="none" w:pos="6960" w:val="left"/>
        </w:tabs>
        <w:rPr>
          <w:sz w:val="20"/>
          <w:szCs w:val="20"/>
          <w:color w:val="auto"/>
        </w:rPr>
      </w:pPr>
      <w:r>
        <w:rPr>
          <w:rFonts w:ascii="Times New Roman" w:cs="Times New Roman" w:eastAsia="Times New Roman" w:hAnsi="Times New Roman"/>
          <w:sz w:val="16"/>
          <w:szCs w:val="16"/>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3912235</wp:posOffset>
            </wp:positionH>
            <wp:positionV relativeFrom="paragraph">
              <wp:posOffset>-6350</wp:posOffset>
            </wp:positionV>
            <wp:extent cx="119189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91895" cy="8255"/>
                    </a:xfrm>
                    <a:prstGeom prst="rect">
                      <a:avLst/>
                    </a:prstGeom>
                    <a:noFill/>
                  </pic:spPr>
                </pic:pic>
              </a:graphicData>
            </a:graphic>
          </wp:anchor>
        </w:drawing>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COMMISSION FILE NUMBER 001-33089</w:t>
      </w:r>
    </w:p>
    <w:p>
      <w:pPr>
        <w:spacing w:after="0" w:line="17" w:lineRule="exact"/>
        <w:rPr>
          <w:sz w:val="24"/>
          <w:szCs w:val="24"/>
          <w:color w:val="auto"/>
        </w:rPr>
      </w:pPr>
    </w:p>
    <w:p>
      <w:pPr>
        <w:ind w:left="3140"/>
        <w:spacing w:after="0"/>
        <w:rPr>
          <w:sz w:val="20"/>
          <w:szCs w:val="20"/>
          <w:color w:val="auto"/>
        </w:rPr>
      </w:pPr>
      <w:r>
        <w:rPr>
          <w:rFonts w:ascii="Times New Roman" w:cs="Times New Roman" w:eastAsia="Times New Roman" w:hAnsi="Times New Roman"/>
          <w:sz w:val="17"/>
          <w:szCs w:val="17"/>
          <w:b w:val="1"/>
          <w:bCs w:val="1"/>
          <w:color w:val="auto"/>
        </w:rPr>
        <w:t>_________________________________________________________</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5"/>
          <w:szCs w:val="35"/>
          <w:b w:val="1"/>
          <w:bCs w:val="1"/>
          <w:color w:val="auto"/>
        </w:rPr>
        <w:t>EXLSERVICE HOLDINGS, INC.</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ind w:left="3140"/>
        <w:spacing w:after="0"/>
        <w:rPr>
          <w:sz w:val="20"/>
          <w:szCs w:val="20"/>
          <w:color w:val="auto"/>
        </w:rPr>
      </w:pPr>
      <w:r>
        <w:rPr>
          <w:rFonts w:ascii="Times New Roman" w:cs="Times New Roman" w:eastAsia="Times New Roman" w:hAnsi="Times New Roman"/>
          <w:sz w:val="17"/>
          <w:szCs w:val="17"/>
          <w:b w:val="1"/>
          <w:bCs w:val="1"/>
          <w:color w:val="auto"/>
        </w:rPr>
        <w:t>_________________________________________________________</w:t>
      </w:r>
    </w:p>
    <w:p>
      <w:pPr>
        <w:spacing w:after="0" w:line="128" w:lineRule="exact"/>
        <w:rPr>
          <w:sz w:val="24"/>
          <w:szCs w:val="24"/>
          <w:color w:val="auto"/>
        </w:rPr>
      </w:pPr>
    </w:p>
    <w:tbl>
      <w:tblPr>
        <w:tblLayout w:type="fixed"/>
        <w:tblInd w:w="350" w:type="dxa"/>
        <w:tblCellMar>
          <w:top w:w="0" w:type="dxa"/>
          <w:left w:w="0" w:type="dxa"/>
          <w:bottom w:w="0" w:type="dxa"/>
          <w:right w:w="0" w:type="dxa"/>
        </w:tblCellMar>
      </w:tblPr>
      <w:tr>
        <w:trPr>
          <w:trHeight w:val="201"/>
        </w:trPr>
        <w:tc>
          <w:tcPr>
            <w:tcW w:w="1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40" w:type="dxa"/>
            <w:vAlign w:val="bottom"/>
            <w:gridSpan w:val="2"/>
          </w:tcPr>
          <w:p>
            <w:pPr>
              <w:jc w:val="center"/>
              <w:ind w:right="1040"/>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80" w:type="dxa"/>
            <w:vAlign w:val="bottom"/>
            <w:gridSpan w:val="2"/>
          </w:tcPr>
          <w:p>
            <w:pPr>
              <w:jc w:val="right"/>
              <w:ind w:right="2006"/>
              <w:spacing w:after="0"/>
              <w:rPr>
                <w:sz w:val="20"/>
                <w:szCs w:val="20"/>
                <w:color w:val="auto"/>
              </w:rPr>
            </w:pPr>
            <w:r>
              <w:rPr>
                <w:rFonts w:ascii="Times New Roman" w:cs="Times New Roman" w:eastAsia="Times New Roman" w:hAnsi="Times New Roman"/>
                <w:sz w:val="16"/>
                <w:szCs w:val="16"/>
                <w:b w:val="1"/>
                <w:bCs w:val="1"/>
                <w:color w:val="auto"/>
              </w:rPr>
              <w:t>82-0572194</w:t>
            </w:r>
          </w:p>
        </w:tc>
        <w:tc>
          <w:tcPr>
            <w:tcW w:w="600" w:type="dxa"/>
            <w:vAlign w:val="bottom"/>
          </w:tcPr>
          <w:p>
            <w:pPr>
              <w:spacing w:after="0"/>
              <w:rPr>
                <w:sz w:val="17"/>
                <w:szCs w:val="17"/>
                <w:color w:val="auto"/>
              </w:rPr>
            </w:pPr>
          </w:p>
        </w:tc>
      </w:tr>
      <w:tr>
        <w:trPr>
          <w:trHeight w:val="144"/>
        </w:trPr>
        <w:tc>
          <w:tcPr>
            <w:tcW w:w="1320" w:type="dxa"/>
            <w:vAlign w:val="bottom"/>
          </w:tcPr>
          <w:p>
            <w:pPr>
              <w:spacing w:after="0"/>
              <w:rPr>
                <w:sz w:val="12"/>
                <w:szCs w:val="12"/>
                <w:color w:val="auto"/>
              </w:rPr>
            </w:pPr>
          </w:p>
        </w:tc>
        <w:tc>
          <w:tcPr>
            <w:tcW w:w="3000" w:type="dxa"/>
            <w:vAlign w:val="bottom"/>
            <w:gridSpan w:val="3"/>
          </w:tcPr>
          <w:p>
            <w:pPr>
              <w:jc w:val="center"/>
              <w:ind w:left="67"/>
              <w:spacing w:after="0" w:line="145" w:lineRule="exact"/>
              <w:rPr>
                <w:sz w:val="20"/>
                <w:szCs w:val="20"/>
                <w:color w:val="auto"/>
              </w:rPr>
            </w:pPr>
            <w:r>
              <w:rPr>
                <w:rFonts w:ascii="Times New Roman" w:cs="Times New Roman" w:eastAsia="Times New Roman" w:hAnsi="Times New Roman"/>
                <w:sz w:val="14"/>
                <w:szCs w:val="14"/>
                <w:b w:val="1"/>
                <w:bCs w:val="1"/>
                <w:color w:val="auto"/>
                <w:w w:val="99"/>
              </w:rPr>
              <w:t>(State or other jurisdiction of</w:t>
            </w:r>
          </w:p>
        </w:tc>
        <w:tc>
          <w:tcPr>
            <w:tcW w:w="2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80" w:type="dxa"/>
            <w:vAlign w:val="bottom"/>
            <w:gridSpan w:val="3"/>
          </w:tcPr>
          <w:p>
            <w:pPr>
              <w:jc w:val="center"/>
              <w:ind w:right="2440"/>
              <w:spacing w:after="0" w:line="145" w:lineRule="exact"/>
              <w:rPr>
                <w:sz w:val="20"/>
                <w:szCs w:val="20"/>
                <w:color w:val="auto"/>
              </w:rPr>
            </w:pPr>
            <w:r>
              <w:rPr>
                <w:rFonts w:ascii="Times New Roman" w:cs="Times New Roman" w:eastAsia="Times New Roman" w:hAnsi="Times New Roman"/>
                <w:sz w:val="14"/>
                <w:szCs w:val="14"/>
                <w:b w:val="1"/>
                <w:bCs w:val="1"/>
                <w:color w:val="auto"/>
                <w:w w:val="98"/>
              </w:rPr>
              <w:t>(I.R.S. Employer</w:t>
            </w:r>
          </w:p>
        </w:tc>
      </w:tr>
      <w:tr>
        <w:trPr>
          <w:trHeight w:val="185"/>
        </w:trPr>
        <w:tc>
          <w:tcPr>
            <w:tcW w:w="1320" w:type="dxa"/>
            <w:vAlign w:val="bottom"/>
          </w:tcPr>
          <w:p>
            <w:pPr>
              <w:spacing w:after="0"/>
              <w:rPr>
                <w:sz w:val="16"/>
                <w:szCs w:val="16"/>
                <w:color w:val="auto"/>
              </w:rPr>
            </w:pPr>
          </w:p>
        </w:tc>
        <w:tc>
          <w:tcPr>
            <w:tcW w:w="3000" w:type="dxa"/>
            <w:vAlign w:val="bottom"/>
            <w:gridSpan w:val="3"/>
          </w:tcPr>
          <w:p>
            <w:pPr>
              <w:jc w:val="center"/>
              <w:ind w:left="67"/>
              <w:spacing w:after="0"/>
              <w:rPr>
                <w:sz w:val="20"/>
                <w:szCs w:val="20"/>
                <w:color w:val="auto"/>
              </w:rPr>
            </w:pPr>
            <w:r>
              <w:rPr>
                <w:rFonts w:ascii="Times New Roman" w:cs="Times New Roman" w:eastAsia="Times New Roman" w:hAnsi="Times New Roman"/>
                <w:sz w:val="14"/>
                <w:szCs w:val="14"/>
                <w:b w:val="1"/>
                <w:bCs w:val="1"/>
                <w:color w:val="auto"/>
                <w:w w:val="99"/>
              </w:rPr>
              <w:t>incorporation or organization)</w:t>
            </w:r>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80" w:type="dxa"/>
            <w:vAlign w:val="bottom"/>
            <w:gridSpan w:val="3"/>
          </w:tcPr>
          <w:p>
            <w:pPr>
              <w:jc w:val="center"/>
              <w:ind w:right="2440"/>
              <w:spacing w:after="0"/>
              <w:rPr>
                <w:sz w:val="20"/>
                <w:szCs w:val="20"/>
                <w:color w:val="auto"/>
              </w:rPr>
            </w:pPr>
            <w:r>
              <w:rPr>
                <w:rFonts w:ascii="Times New Roman" w:cs="Times New Roman" w:eastAsia="Times New Roman" w:hAnsi="Times New Roman"/>
                <w:sz w:val="14"/>
                <w:szCs w:val="14"/>
                <w:b w:val="1"/>
                <w:bCs w:val="1"/>
                <w:color w:val="auto"/>
                <w:w w:val="98"/>
              </w:rPr>
              <w:t>Identification No.)</w:t>
            </w:r>
          </w:p>
        </w:tc>
      </w:tr>
      <w:tr>
        <w:trPr>
          <w:trHeight w:val="268"/>
        </w:trPr>
        <w:tc>
          <w:tcPr>
            <w:tcW w:w="1320" w:type="dxa"/>
            <w:vAlign w:val="bottom"/>
          </w:tcPr>
          <w:p>
            <w:pPr>
              <w:spacing w:after="0"/>
              <w:rPr>
                <w:sz w:val="23"/>
                <w:szCs w:val="23"/>
                <w:color w:val="auto"/>
              </w:rPr>
            </w:pPr>
          </w:p>
        </w:tc>
        <w:tc>
          <w:tcPr>
            <w:tcW w:w="3000" w:type="dxa"/>
            <w:vAlign w:val="bottom"/>
            <w:gridSpan w:val="3"/>
          </w:tcPr>
          <w:p>
            <w:pPr>
              <w:jc w:val="center"/>
              <w:ind w:left="67"/>
              <w:spacing w:after="0"/>
              <w:rPr>
                <w:sz w:val="20"/>
                <w:szCs w:val="20"/>
                <w:color w:val="auto"/>
              </w:rPr>
            </w:pPr>
            <w:r>
              <w:rPr>
                <w:rFonts w:ascii="Times New Roman" w:cs="Times New Roman" w:eastAsia="Times New Roman" w:hAnsi="Times New Roman"/>
                <w:sz w:val="16"/>
                <w:szCs w:val="16"/>
                <w:b w:val="1"/>
                <w:bCs w:val="1"/>
                <w:color w:val="auto"/>
                <w:w w:val="96"/>
              </w:rPr>
              <w:t>320 Park Avenue, 29th Floor,</w:t>
            </w:r>
          </w:p>
        </w:tc>
        <w:tc>
          <w:tcPr>
            <w:tcW w:w="2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800" w:type="dxa"/>
            <w:vAlign w:val="bottom"/>
          </w:tcPr>
          <w:p>
            <w:pPr>
              <w:spacing w:after="0"/>
              <w:rPr>
                <w:sz w:val="23"/>
                <w:szCs w:val="23"/>
                <w:color w:val="auto"/>
              </w:rPr>
            </w:pPr>
          </w:p>
        </w:tc>
        <w:tc>
          <w:tcPr>
            <w:tcW w:w="600" w:type="dxa"/>
            <w:vAlign w:val="bottom"/>
          </w:tcPr>
          <w:p>
            <w:pPr>
              <w:spacing w:after="0"/>
              <w:rPr>
                <w:sz w:val="23"/>
                <w:szCs w:val="23"/>
                <w:color w:val="auto"/>
              </w:rPr>
            </w:pPr>
          </w:p>
        </w:tc>
      </w:tr>
      <w:tr>
        <w:trPr>
          <w:trHeight w:val="203"/>
        </w:trPr>
        <w:tc>
          <w:tcPr>
            <w:tcW w:w="1320" w:type="dxa"/>
            <w:vAlign w:val="bottom"/>
          </w:tcPr>
          <w:p>
            <w:pPr>
              <w:spacing w:after="0"/>
              <w:rPr>
                <w:sz w:val="17"/>
                <w:szCs w:val="17"/>
                <w:color w:val="auto"/>
              </w:rPr>
            </w:pPr>
          </w:p>
        </w:tc>
        <w:tc>
          <w:tcPr>
            <w:tcW w:w="3000" w:type="dxa"/>
            <w:vAlign w:val="bottom"/>
            <w:gridSpan w:val="3"/>
          </w:tcPr>
          <w:p>
            <w:pPr>
              <w:ind w:left="1080"/>
              <w:spacing w:after="0"/>
              <w:rPr>
                <w:sz w:val="20"/>
                <w:szCs w:val="20"/>
                <w:color w:val="auto"/>
              </w:rPr>
            </w:pPr>
            <w:r>
              <w:rPr>
                <w:rFonts w:ascii="Times New Roman" w:cs="Times New Roman" w:eastAsia="Times New Roman" w:hAnsi="Times New Roman"/>
                <w:sz w:val="16"/>
                <w:szCs w:val="16"/>
                <w:b w:val="1"/>
                <w:bCs w:val="1"/>
                <w:color w:val="auto"/>
              </w:rPr>
              <w:t>New York, New York</w:t>
            </w: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80" w:type="dxa"/>
            <w:vAlign w:val="bottom"/>
            <w:gridSpan w:val="2"/>
          </w:tcPr>
          <w:p>
            <w:pPr>
              <w:jc w:val="right"/>
              <w:ind w:right="2186"/>
              <w:spacing w:after="0"/>
              <w:rPr>
                <w:sz w:val="20"/>
                <w:szCs w:val="20"/>
                <w:color w:val="auto"/>
              </w:rPr>
            </w:pPr>
            <w:r>
              <w:rPr>
                <w:rFonts w:ascii="Times New Roman" w:cs="Times New Roman" w:eastAsia="Times New Roman" w:hAnsi="Times New Roman"/>
                <w:sz w:val="16"/>
                <w:szCs w:val="16"/>
                <w:b w:val="1"/>
                <w:bCs w:val="1"/>
                <w:color w:val="auto"/>
              </w:rPr>
              <w:t>10022</w:t>
            </w:r>
          </w:p>
        </w:tc>
        <w:tc>
          <w:tcPr>
            <w:tcW w:w="600" w:type="dxa"/>
            <w:vAlign w:val="bottom"/>
          </w:tcPr>
          <w:p>
            <w:pPr>
              <w:spacing w:after="0"/>
              <w:rPr>
                <w:sz w:val="17"/>
                <w:szCs w:val="17"/>
                <w:color w:val="auto"/>
              </w:rPr>
            </w:pPr>
          </w:p>
        </w:tc>
      </w:tr>
      <w:tr>
        <w:trPr>
          <w:trHeight w:val="185"/>
        </w:trPr>
        <w:tc>
          <w:tcPr>
            <w:tcW w:w="1320" w:type="dxa"/>
            <w:vAlign w:val="bottom"/>
          </w:tcPr>
          <w:p>
            <w:pPr>
              <w:spacing w:after="0"/>
              <w:rPr>
                <w:sz w:val="16"/>
                <w:szCs w:val="16"/>
                <w:color w:val="auto"/>
              </w:rPr>
            </w:pPr>
          </w:p>
        </w:tc>
        <w:tc>
          <w:tcPr>
            <w:tcW w:w="3000" w:type="dxa"/>
            <w:vAlign w:val="bottom"/>
            <w:gridSpan w:val="3"/>
          </w:tcPr>
          <w:p>
            <w:pPr>
              <w:jc w:val="center"/>
              <w:ind w:left="47"/>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00" w:type="dxa"/>
            <w:vAlign w:val="bottom"/>
            <w:gridSpan w:val="2"/>
          </w:tcPr>
          <w:p>
            <w:pPr>
              <w:jc w:val="center"/>
              <w:ind w:right="2720"/>
              <w:spacing w:after="0"/>
              <w:rPr>
                <w:sz w:val="20"/>
                <w:szCs w:val="20"/>
                <w:color w:val="auto"/>
              </w:rPr>
            </w:pPr>
            <w:r>
              <w:rPr>
                <w:rFonts w:ascii="Times New Roman" w:cs="Times New Roman" w:eastAsia="Times New Roman" w:hAnsi="Times New Roman"/>
                <w:sz w:val="14"/>
                <w:szCs w:val="14"/>
                <w:b w:val="1"/>
                <w:bCs w:val="1"/>
                <w:color w:val="auto"/>
                <w:w w:val="98"/>
              </w:rPr>
              <w:t>(Zip code)</w:t>
            </w:r>
          </w:p>
        </w:tc>
      </w:tr>
      <w:tr>
        <w:trPr>
          <w:trHeight w:val="308"/>
        </w:trPr>
        <w:tc>
          <w:tcPr>
            <w:tcW w:w="1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500" w:type="dxa"/>
            <w:vAlign w:val="bottom"/>
            <w:gridSpan w:val="2"/>
          </w:tcPr>
          <w:p>
            <w:pPr>
              <w:jc w:val="center"/>
              <w:ind w:left="364"/>
              <w:spacing w:after="0"/>
              <w:rPr>
                <w:sz w:val="20"/>
                <w:szCs w:val="20"/>
                <w:color w:val="auto"/>
              </w:rPr>
            </w:pPr>
            <w:r>
              <w:rPr>
                <w:rFonts w:ascii="Times New Roman" w:cs="Times New Roman" w:eastAsia="Times New Roman" w:hAnsi="Times New Roman"/>
                <w:sz w:val="16"/>
                <w:szCs w:val="16"/>
                <w:b w:val="1"/>
                <w:bCs w:val="1"/>
                <w:color w:val="auto"/>
                <w:w w:val="97"/>
              </w:rPr>
              <w:t>(212) 277-7100</w:t>
            </w: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204"/>
        </w:trPr>
        <w:tc>
          <w:tcPr>
            <w:tcW w:w="1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440" w:type="dxa"/>
            <w:vAlign w:val="bottom"/>
            <w:gridSpan w:val="6"/>
          </w:tcPr>
          <w:p>
            <w:pPr>
              <w:jc w:val="center"/>
              <w:ind w:left="1084"/>
              <w:spacing w:after="0"/>
              <w:rPr>
                <w:sz w:val="20"/>
                <w:szCs w:val="20"/>
                <w:color w:val="auto"/>
              </w:rPr>
            </w:pPr>
            <w:r>
              <w:rPr>
                <w:rFonts w:ascii="Times New Roman" w:cs="Times New Roman" w:eastAsia="Times New Roman" w:hAnsi="Times New Roman"/>
                <w:sz w:val="14"/>
                <w:szCs w:val="14"/>
                <w:b w:val="1"/>
                <w:bCs w:val="1"/>
                <w:color w:val="auto"/>
                <w:w w:val="99"/>
              </w:rPr>
              <w:t>(Registrant’s telephone number, including area code)</w:t>
            </w:r>
          </w:p>
        </w:tc>
        <w:tc>
          <w:tcPr>
            <w:tcW w:w="28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89"/>
        </w:trPr>
        <w:tc>
          <w:tcPr>
            <w:tcW w:w="132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2120" w:type="dxa"/>
            <w:vAlign w:val="bottom"/>
            <w:tcBorders>
              <w:bottom w:val="single" w:sz="8" w:color="auto"/>
            </w:tcBorders>
            <w:gridSpan w:val="3"/>
          </w:tcPr>
          <w:p>
            <w:pPr>
              <w:spacing w:after="0"/>
              <w:rPr>
                <w:sz w:val="7"/>
                <w:szCs w:val="7"/>
                <w:color w:val="auto"/>
              </w:rPr>
            </w:pPr>
          </w:p>
        </w:tc>
        <w:tc>
          <w:tcPr>
            <w:tcW w:w="1220" w:type="dxa"/>
            <w:vAlign w:val="bottom"/>
            <w:tcBorders>
              <w:bottom w:val="single" w:sz="8" w:color="auto"/>
            </w:tcBorders>
          </w:tcPr>
          <w:p>
            <w:pPr>
              <w:spacing w:after="0"/>
              <w:rPr>
                <w:sz w:val="7"/>
                <w:szCs w:val="7"/>
                <w:color w:val="auto"/>
              </w:rPr>
            </w:pPr>
          </w:p>
        </w:tc>
        <w:tc>
          <w:tcPr>
            <w:tcW w:w="1380" w:type="dxa"/>
            <w:vAlign w:val="bottom"/>
            <w:tcBorders>
              <w:bottom w:val="single" w:sz="8" w:color="auto"/>
            </w:tcBorders>
            <w:gridSpan w:val="3"/>
          </w:tcPr>
          <w:p>
            <w:pPr>
              <w:spacing w:after="0"/>
              <w:rPr>
                <w:sz w:val="7"/>
                <w:szCs w:val="7"/>
                <w:color w:val="auto"/>
              </w:rPr>
            </w:pPr>
          </w:p>
        </w:tc>
        <w:tc>
          <w:tcPr>
            <w:tcW w:w="280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r>
      <w:tr>
        <w:trPr>
          <w:trHeight w:val="202"/>
        </w:trPr>
        <w:tc>
          <w:tcPr>
            <w:tcW w:w="1320" w:type="dxa"/>
            <w:vAlign w:val="bottom"/>
            <w:tcBorders>
              <w:left w:val="single" w:sz="8" w:color="auto"/>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8120" w:type="dxa"/>
            <w:vAlign w:val="bottom"/>
            <w:tcBorders>
              <w:bottom w:val="single" w:sz="8" w:color="auto"/>
              <w:right w:val="single" w:sz="8" w:color="auto"/>
            </w:tcBorders>
            <w:gridSpan w:val="9"/>
          </w:tcPr>
          <w:p>
            <w:pPr>
              <w:jc w:val="center"/>
              <w:ind w:right="2500"/>
              <w:spacing w:after="0"/>
              <w:rPr>
                <w:sz w:val="20"/>
                <w:szCs w:val="20"/>
                <w:color w:val="auto"/>
              </w:rPr>
            </w:pPr>
            <w:r>
              <w:rPr>
                <w:rFonts w:ascii="Times New Roman" w:cs="Times New Roman" w:eastAsia="Times New Roman" w:hAnsi="Times New Roman"/>
                <w:sz w:val="16"/>
                <w:szCs w:val="16"/>
                <w:b w:val="1"/>
                <w:bCs w:val="1"/>
                <w:color w:val="auto"/>
                <w:w w:val="98"/>
              </w:rPr>
              <w:t>Securities registered pursuant to Section 12(b) of the Act:</w:t>
            </w:r>
          </w:p>
        </w:tc>
      </w:tr>
      <w:tr>
        <w:trPr>
          <w:trHeight w:val="171"/>
        </w:trPr>
        <w:tc>
          <w:tcPr>
            <w:tcW w:w="3820" w:type="dxa"/>
            <w:vAlign w:val="bottom"/>
            <w:tcBorders>
              <w:left w:val="single" w:sz="8" w:color="auto"/>
              <w:right w:val="single" w:sz="8" w:color="auto"/>
            </w:tcBorders>
            <w:gridSpan w:val="3"/>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w w:val="99"/>
              </w:rPr>
              <w:t>Title of Each Class:</w:t>
            </w:r>
          </w:p>
        </w:tc>
        <w:tc>
          <w:tcPr>
            <w:tcW w:w="500" w:type="dxa"/>
            <w:vAlign w:val="bottom"/>
          </w:tcPr>
          <w:p>
            <w:pPr>
              <w:spacing w:after="0"/>
              <w:rPr>
                <w:sz w:val="14"/>
                <w:szCs w:val="14"/>
                <w:color w:val="auto"/>
              </w:rPr>
            </w:pPr>
          </w:p>
        </w:tc>
        <w:tc>
          <w:tcPr>
            <w:tcW w:w="2320" w:type="dxa"/>
            <w:vAlign w:val="bottom"/>
            <w:tcBorders>
              <w:right w:val="single" w:sz="8" w:color="auto"/>
            </w:tcBorders>
            <w:gridSpan w:val="3"/>
          </w:tcPr>
          <w:p>
            <w:pPr>
              <w:jc w:val="center"/>
              <w:ind w:right="540"/>
              <w:spacing w:after="0" w:line="138" w:lineRule="exact"/>
              <w:rPr>
                <w:sz w:val="20"/>
                <w:szCs w:val="20"/>
                <w:color w:val="auto"/>
              </w:rPr>
            </w:pPr>
            <w:r>
              <w:rPr>
                <w:rFonts w:ascii="Times New Roman" w:cs="Times New Roman" w:eastAsia="Times New Roman" w:hAnsi="Times New Roman"/>
                <w:sz w:val="15"/>
                <w:szCs w:val="15"/>
                <w:b w:val="1"/>
                <w:bCs w:val="1"/>
                <w:color w:val="auto"/>
              </w:rPr>
              <w:t>Trading symbol(s)</w:t>
            </w:r>
          </w:p>
        </w:tc>
        <w:tc>
          <w:tcPr>
            <w:tcW w:w="280" w:type="dxa"/>
            <w:vAlign w:val="bottom"/>
          </w:tcPr>
          <w:p>
            <w:pPr>
              <w:spacing w:after="0"/>
              <w:rPr>
                <w:sz w:val="14"/>
                <w:szCs w:val="14"/>
                <w:color w:val="auto"/>
              </w:rPr>
            </w:pPr>
          </w:p>
        </w:tc>
        <w:tc>
          <w:tcPr>
            <w:tcW w:w="3680" w:type="dxa"/>
            <w:vAlign w:val="bottom"/>
            <w:tcBorders>
              <w:right w:val="single" w:sz="8" w:color="auto"/>
            </w:tcBorders>
            <w:gridSpan w:val="3"/>
          </w:tcPr>
          <w:p>
            <w:pPr>
              <w:jc w:val="center"/>
              <w:ind w:right="320"/>
              <w:spacing w:after="0" w:line="137" w:lineRule="exact"/>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0"/>
        </w:trPr>
        <w:tc>
          <w:tcPr>
            <w:tcW w:w="1320" w:type="dxa"/>
            <w:vAlign w:val="bottom"/>
            <w:tcBorders>
              <w:left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bottom w:val="single" w:sz="8" w:color="auto"/>
              <w:right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bottom w:val="single" w:sz="8" w:color="auto"/>
              <w:right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8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bottom w:val="single" w:sz="8" w:color="auto"/>
              <w:right w:val="single" w:sz="8" w:color="auto"/>
            </w:tcBorders>
          </w:tcPr>
          <w:p>
            <w:pPr>
              <w:spacing w:after="0" w:line="20" w:lineRule="exact"/>
              <w:rPr>
                <w:sz w:val="1"/>
                <w:szCs w:val="1"/>
                <w:color w:val="auto"/>
              </w:rPr>
            </w:pPr>
          </w:p>
        </w:tc>
      </w:tr>
      <w:tr>
        <w:trPr>
          <w:trHeight w:val="194"/>
        </w:trPr>
        <w:tc>
          <w:tcPr>
            <w:tcW w:w="3820" w:type="dxa"/>
            <w:vAlign w:val="bottom"/>
            <w:tcBorders>
              <w:left w:val="single" w:sz="8" w:color="auto"/>
              <w:bottom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color w:val="auto"/>
                <w:w w:val="98"/>
              </w:rPr>
              <w:t>Common Stock, par value $0.001 per share</w:t>
            </w:r>
          </w:p>
        </w:tc>
        <w:tc>
          <w:tcPr>
            <w:tcW w:w="5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040" w:type="dxa"/>
            <w:vAlign w:val="bottom"/>
            <w:tcBorders>
              <w:bottom w:val="single" w:sz="8" w:color="auto"/>
              <w:right w:val="single" w:sz="8" w:color="auto"/>
            </w:tcBorders>
            <w:gridSpan w:val="2"/>
          </w:tcPr>
          <w:p>
            <w:pPr>
              <w:jc w:val="center"/>
              <w:ind w:right="800"/>
              <w:spacing w:after="0"/>
              <w:rPr>
                <w:sz w:val="20"/>
                <w:szCs w:val="20"/>
                <w:color w:val="auto"/>
              </w:rPr>
            </w:pPr>
            <w:r>
              <w:rPr>
                <w:rFonts w:ascii="Times New Roman" w:cs="Times New Roman" w:eastAsia="Times New Roman" w:hAnsi="Times New Roman"/>
                <w:sz w:val="14"/>
                <w:szCs w:val="14"/>
                <w:color w:val="auto"/>
              </w:rPr>
              <w:t>EXLS</w:t>
            </w:r>
          </w:p>
        </w:tc>
        <w:tc>
          <w:tcPr>
            <w:tcW w:w="2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400" w:type="dxa"/>
            <w:vAlign w:val="bottom"/>
            <w:tcBorders>
              <w:bottom w:val="single" w:sz="8" w:color="auto"/>
              <w:right w:val="single" w:sz="8" w:color="auto"/>
            </w:tcBorders>
            <w:gridSpan w:val="2"/>
          </w:tcPr>
          <w:p>
            <w:pPr>
              <w:jc w:val="center"/>
              <w:ind w:right="600"/>
              <w:spacing w:after="0"/>
              <w:rPr>
                <w:sz w:val="20"/>
                <w:szCs w:val="20"/>
                <w:color w:val="auto"/>
              </w:rPr>
            </w:pPr>
            <w:r>
              <w:rPr>
                <w:rFonts w:ascii="Times New Roman" w:cs="Times New Roman" w:eastAsia="Times New Roman" w:hAnsi="Times New Roman"/>
                <w:sz w:val="16"/>
                <w:szCs w:val="16"/>
                <w:color w:val="auto"/>
                <w:w w:val="99"/>
              </w:rPr>
              <w:t>Nasdaq</w:t>
            </w:r>
          </w:p>
        </w:tc>
      </w:tr>
    </w:tbl>
    <w:p>
      <w:pPr>
        <w:spacing w:after="0" w:line="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12(g) of the Act:</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None</w:t>
      </w:r>
    </w:p>
    <w:p>
      <w:pPr>
        <w:spacing w:after="0"/>
        <w:rPr>
          <w:sz w:val="20"/>
          <w:szCs w:val="20"/>
          <w:color w:val="auto"/>
        </w:rPr>
      </w:pPr>
      <w:r>
        <w:rPr>
          <w:rFonts w:ascii="Times New Roman" w:cs="Times New Roman" w:eastAsia="Times New Roman" w:hAnsi="Times New Roman"/>
          <w:sz w:val="17"/>
          <w:szCs w:val="17"/>
          <w:b w:val="1"/>
          <w:bCs w:val="1"/>
          <w:color w:val="auto"/>
        </w:rPr>
        <w:t>________________________________________________________</w:t>
      </w:r>
    </w:p>
    <w:p>
      <w:pPr>
        <w:spacing w:after="0" w:line="222" w:lineRule="exact"/>
        <w:rPr>
          <w:sz w:val="24"/>
          <w:szCs w:val="24"/>
          <w:color w:val="auto"/>
        </w:rPr>
      </w:pPr>
    </w:p>
    <w:p>
      <w:pPr>
        <w:ind w:firstLine="315"/>
        <w:spacing w:after="0" w:line="243"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w:t>
      </w:r>
    </w:p>
    <w:p>
      <w:pPr>
        <w:spacing w:after="0" w:line="1" w:lineRule="exact"/>
        <w:rPr>
          <w:sz w:val="24"/>
          <w:szCs w:val="24"/>
          <w:color w:val="auto"/>
        </w:rPr>
      </w:pPr>
    </w:p>
    <w:p>
      <w:pPr>
        <w:spacing w:after="0" w:line="219" w:lineRule="exact"/>
        <w:tabs>
          <w:tab w:leader="none" w:pos="5020" w:val="left"/>
        </w:tabs>
        <w:rPr>
          <w:sz w:val="20"/>
          <w:szCs w:val="20"/>
          <w:color w:val="auto"/>
        </w:rPr>
      </w:pPr>
      <w:r>
        <w:rPr>
          <w:rFonts w:ascii="Times New Roman" w:cs="Times New Roman" w:eastAsia="Times New Roman" w:hAnsi="Times New Roman"/>
          <w:sz w:val="16"/>
          <w:szCs w:val="16"/>
          <w:color w:val="auto"/>
        </w:rPr>
        <w:t xml:space="preserve">(2) has been subject to such filing requirements for the past 90 days.  Yes </w:t>
      </w:r>
      <w:r>
        <w:rPr>
          <w:rFonts w:ascii="MS PGothic" w:cs="MS PGothic" w:eastAsia="MS PGothic" w:hAnsi="MS PGothic"/>
          <w:sz w:val="19"/>
          <w:szCs w:val="19"/>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9"/>
          <w:szCs w:val="19"/>
          <w:color w:val="auto"/>
        </w:rPr>
        <w:t>☐</w:t>
      </w:r>
    </w:p>
    <w:p>
      <w:pPr>
        <w:spacing w:after="0" w:line="248" w:lineRule="exact"/>
        <w:rPr>
          <w:sz w:val="24"/>
          <w:szCs w:val="24"/>
          <w:color w:val="auto"/>
        </w:rPr>
      </w:pPr>
    </w:p>
    <w:p>
      <w:pPr>
        <w:ind w:firstLine="315"/>
        <w:spacing w:after="0" w:line="228"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9"/>
          <w:szCs w:val="19"/>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9"/>
          <w:szCs w:val="19"/>
          <w:color w:val="auto"/>
        </w:rPr>
        <w:t>☐</w:t>
      </w:r>
    </w:p>
    <w:p>
      <w:pPr>
        <w:spacing w:after="0" w:line="201" w:lineRule="exact"/>
        <w:rPr>
          <w:sz w:val="24"/>
          <w:szCs w:val="24"/>
          <w:color w:val="auto"/>
        </w:rPr>
      </w:pPr>
    </w:p>
    <w:p>
      <w:pPr>
        <w:ind w:firstLine="315"/>
        <w:spacing w:after="0" w:line="271" w:lineRule="auto"/>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340" w:type="dxa"/>
        <w:tblCellMar>
          <w:top w:w="0" w:type="dxa"/>
          <w:left w:w="0" w:type="dxa"/>
          <w:bottom w:w="0" w:type="dxa"/>
          <w:right w:w="0" w:type="dxa"/>
        </w:tblCellMar>
      </w:tblPr>
      <w:tr>
        <w:trPr>
          <w:trHeight w:val="258"/>
        </w:trPr>
        <w:tc>
          <w:tcPr>
            <w:tcW w:w="220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140" w:type="dxa"/>
            <w:vAlign w:val="bottom"/>
          </w:tcPr>
          <w:p>
            <w:pPr>
              <w:ind w:left="480"/>
              <w:spacing w:after="0" w:line="161" w:lineRule="exact"/>
              <w:rPr>
                <w:sz w:val="20"/>
                <w:szCs w:val="20"/>
                <w:color w:val="auto"/>
              </w:rPr>
            </w:pPr>
            <w:r>
              <w:rPr>
                <w:rFonts w:ascii="MS PGothic" w:cs="MS PGothic" w:eastAsia="MS PGothic" w:hAnsi="MS PGothic"/>
                <w:sz w:val="16"/>
                <w:szCs w:val="16"/>
                <w:color w:val="auto"/>
              </w:rPr>
              <w:t>☒</w:t>
            </w:r>
          </w:p>
        </w:tc>
        <w:tc>
          <w:tcPr>
            <w:tcW w:w="4740" w:type="dxa"/>
            <w:vAlign w:val="bottom"/>
          </w:tcPr>
          <w:p>
            <w:pPr>
              <w:ind w:left="2520"/>
              <w:spacing w:after="0"/>
              <w:rPr>
                <w:sz w:val="20"/>
                <w:szCs w:val="20"/>
                <w:color w:val="auto"/>
              </w:rPr>
            </w:pPr>
            <w:r>
              <w:rPr>
                <w:rFonts w:ascii="Times New Roman" w:cs="Times New Roman" w:eastAsia="Times New Roman" w:hAnsi="Times New Roman"/>
                <w:sz w:val="16"/>
                <w:szCs w:val="16"/>
                <w:color w:val="auto"/>
              </w:rPr>
              <w:t>Accelerated filer</w:t>
            </w:r>
          </w:p>
        </w:tc>
        <w:tc>
          <w:tcPr>
            <w:tcW w:w="620" w:type="dxa"/>
            <w:vAlign w:val="bottom"/>
          </w:tcPr>
          <w:p>
            <w:pPr>
              <w:ind w:left="4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62"/>
        </w:trPr>
        <w:tc>
          <w:tcPr>
            <w:tcW w:w="220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140" w:type="dxa"/>
            <w:vAlign w:val="bottom"/>
          </w:tcPr>
          <w:p>
            <w:pPr>
              <w:ind w:left="480"/>
              <w:spacing w:after="0" w:line="161" w:lineRule="exact"/>
              <w:rPr>
                <w:sz w:val="20"/>
                <w:szCs w:val="20"/>
                <w:color w:val="auto"/>
              </w:rPr>
            </w:pPr>
            <w:r>
              <w:rPr>
                <w:rFonts w:ascii="MS PGothic" w:cs="MS PGothic" w:eastAsia="MS PGothic" w:hAnsi="MS PGothic"/>
                <w:sz w:val="16"/>
                <w:szCs w:val="16"/>
                <w:color w:val="auto"/>
              </w:rPr>
              <w:t>☐</w:t>
            </w:r>
          </w:p>
        </w:tc>
        <w:tc>
          <w:tcPr>
            <w:tcW w:w="4740" w:type="dxa"/>
            <w:vAlign w:val="bottom"/>
          </w:tcPr>
          <w:p>
            <w:pPr>
              <w:ind w:left="252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620" w:type="dxa"/>
            <w:vAlign w:val="bottom"/>
          </w:tcPr>
          <w:p>
            <w:pPr>
              <w:ind w:left="4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64"/>
        </w:trPr>
        <w:tc>
          <w:tcPr>
            <w:tcW w:w="220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3140" w:type="dxa"/>
            <w:vAlign w:val="bottom"/>
          </w:tcPr>
          <w:p>
            <w:pPr>
              <w:ind w:left="480"/>
              <w:spacing w:after="0" w:line="161" w:lineRule="exact"/>
              <w:rPr>
                <w:sz w:val="20"/>
                <w:szCs w:val="20"/>
                <w:color w:val="auto"/>
              </w:rPr>
            </w:pPr>
            <w:r>
              <w:rPr>
                <w:rFonts w:ascii="MS PGothic" w:cs="MS PGothic" w:eastAsia="MS PGothic" w:hAnsi="MS PGothic"/>
                <w:sz w:val="16"/>
                <w:szCs w:val="16"/>
                <w:color w:val="auto"/>
              </w:rPr>
              <w:t>☐</w:t>
            </w:r>
          </w:p>
        </w:tc>
        <w:tc>
          <w:tcPr>
            <w:tcW w:w="4740" w:type="dxa"/>
            <w:vAlign w:val="bottom"/>
          </w:tcPr>
          <w:p>
            <w:pPr>
              <w:spacing w:after="0"/>
              <w:rPr>
                <w:sz w:val="22"/>
                <w:szCs w:val="22"/>
                <w:color w:val="auto"/>
              </w:rPr>
            </w:pPr>
          </w:p>
        </w:tc>
        <w:tc>
          <w:tcPr>
            <w:tcW w:w="620" w:type="dxa"/>
            <w:vAlign w:val="bottom"/>
          </w:tcPr>
          <w:p>
            <w:pPr>
              <w:spacing w:after="0"/>
              <w:rPr>
                <w:sz w:val="22"/>
                <w:szCs w:val="22"/>
                <w:color w:val="auto"/>
              </w:rPr>
            </w:pPr>
          </w:p>
        </w:tc>
      </w:tr>
    </w:tbl>
    <w:p>
      <w:pPr>
        <w:spacing w:after="0" w:line="45" w:lineRule="exact"/>
        <w:rPr>
          <w:sz w:val="24"/>
          <w:szCs w:val="24"/>
          <w:color w:val="auto"/>
        </w:rPr>
      </w:pPr>
    </w:p>
    <w:p>
      <w:pPr>
        <w:ind w:firstLine="315"/>
        <w:spacing w:after="0" w:line="214"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56" w:lineRule="exact"/>
        <w:rPr>
          <w:sz w:val="24"/>
          <w:szCs w:val="24"/>
          <w:color w:val="auto"/>
        </w:rPr>
      </w:pPr>
    </w:p>
    <w:p>
      <w:pPr>
        <w:spacing w:after="0" w:line="184" w:lineRule="exact"/>
        <w:tabs>
          <w:tab w:leader="none" w:pos="7780" w:val="left"/>
        </w:tabs>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335" w:lineRule="exact"/>
        <w:rPr>
          <w:sz w:val="24"/>
          <w:szCs w:val="24"/>
          <w:color w:val="auto"/>
        </w:rPr>
      </w:pPr>
    </w:p>
    <w:p>
      <w:pPr>
        <w:ind w:left="320"/>
        <w:spacing w:after="0"/>
        <w:rPr>
          <w:sz w:val="20"/>
          <w:szCs w:val="20"/>
          <w:color w:val="auto"/>
        </w:rPr>
      </w:pPr>
      <w:r>
        <w:rPr>
          <w:rFonts w:ascii="Times New Roman" w:cs="Times New Roman" w:eastAsia="Times New Roman" w:hAnsi="Times New Roman"/>
          <w:sz w:val="16"/>
          <w:szCs w:val="16"/>
          <w:color w:val="auto"/>
        </w:rPr>
        <w:t>As of October 27, 2024, there were 160,882,437 shares of the registrant’s common stock outstanding,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229235</wp:posOffset>
            </wp:positionV>
            <wp:extent cx="7161530"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1530" cy="4191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116840</wp:posOffset>
            </wp:positionV>
            <wp:extent cx="713613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613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83820</wp:posOffset>
            </wp:positionV>
            <wp:extent cx="71361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ectPr>
          <w:pgSz w:w="11900" w:h="16838" w:orient="portrait"/>
          <w:cols w:equalWidth="0" w:num="1">
            <w:col w:w="11240"/>
          </w:cols>
          <w:pgMar w:left="320" w:top="46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TABLE OF CONTENTS</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4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15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ITEM</w:t>
            </w: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540" w:type="dxa"/>
            <w:vAlign w:val="bottom"/>
            <w:gridSpan w:val="2"/>
            <w:vMerge w:val="continue"/>
          </w:tcPr>
          <w:p>
            <w:pPr>
              <w:spacing w:after="0"/>
              <w:rPr>
                <w:sz w:val="17"/>
                <w:szCs w:val="17"/>
                <w:color w:val="auto"/>
              </w:rPr>
            </w:pPr>
          </w:p>
        </w:tc>
        <w:tc>
          <w:tcPr>
            <w:tcW w:w="9040" w:type="dxa"/>
            <w:vAlign w:val="bottom"/>
            <w:gridSpan w:val="20"/>
            <w:vMerge w:val="restart"/>
          </w:tcPr>
          <w:p>
            <w:pPr>
              <w:spacing w:after="0"/>
              <w:rPr>
                <w:sz w:val="20"/>
                <w:szCs w:val="20"/>
                <w:color w:val="auto"/>
              </w:rPr>
            </w:pPr>
            <w:r>
              <w:rPr>
                <w:rFonts w:ascii="Times New Roman" w:cs="Times New Roman" w:eastAsia="Times New Roman" w:hAnsi="Times New Roman"/>
                <w:sz w:val="17"/>
                <w:szCs w:val="17"/>
                <w:color w:val="0000FF"/>
              </w:rPr>
              <w:t>Part I. Financial Information</w:t>
            </w:r>
          </w:p>
        </w:tc>
        <w:tc>
          <w:tcPr>
            <w:tcW w:w="6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3</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040" w:type="dxa"/>
            <w:vAlign w:val="bottom"/>
            <w:gridSpan w:val="20"/>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7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1.</w:t>
            </w:r>
          </w:p>
        </w:tc>
        <w:tc>
          <w:tcPr>
            <w:tcW w:w="800" w:type="dxa"/>
            <w:vAlign w:val="bottom"/>
          </w:tcPr>
          <w:p>
            <w:pPr>
              <w:spacing w:after="0"/>
              <w:rPr>
                <w:sz w:val="22"/>
                <w:szCs w:val="22"/>
                <w:color w:val="auto"/>
              </w:rPr>
            </w:pPr>
          </w:p>
        </w:tc>
        <w:tc>
          <w:tcPr>
            <w:tcW w:w="9040" w:type="dxa"/>
            <w:vAlign w:val="bottom"/>
            <w:gridSpan w:val="20"/>
          </w:tcPr>
          <w:p>
            <w:pPr>
              <w:spacing w:after="0"/>
              <w:rPr>
                <w:sz w:val="20"/>
                <w:szCs w:val="20"/>
                <w:color w:val="auto"/>
              </w:rPr>
            </w:pPr>
            <w:r>
              <w:rPr>
                <w:rFonts w:ascii="Times New Roman" w:cs="Times New Roman" w:eastAsia="Times New Roman" w:hAnsi="Times New Roman"/>
                <w:sz w:val="17"/>
                <w:szCs w:val="17"/>
                <w:color w:val="0000FF"/>
              </w:rPr>
              <w:t>FINANCIAL STATEMENTS (UNAUDITED)</w:t>
            </w:r>
          </w:p>
        </w:tc>
        <w:tc>
          <w:tcPr>
            <w:tcW w:w="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9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58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7"/>
                <w:szCs w:val="17"/>
                <w:color w:val="0000FF"/>
              </w:rPr>
              <w:t>Consolidated Balance Sheets as of September 30, 2024 and December 31, 2023</w:t>
            </w:r>
          </w:p>
        </w:tc>
        <w:tc>
          <w:tcPr>
            <w:tcW w:w="3260" w:type="dxa"/>
            <w:vAlign w:val="bottom"/>
            <w:gridSpan w:val="6"/>
          </w:tcPr>
          <w:p>
            <w:pPr>
              <w:spacing w:after="0"/>
              <w:rPr>
                <w:sz w:val="17"/>
                <w:szCs w:val="17"/>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34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7"/>
                <w:szCs w:val="17"/>
                <w:color w:val="0000FF"/>
              </w:rPr>
              <w:t>Consolidated Statements of Income for the Three and Nine Months Ended September 30, 2024 and 2023</w:t>
            </w:r>
          </w:p>
        </w:tc>
        <w:tc>
          <w:tcPr>
            <w:tcW w:w="1500" w:type="dxa"/>
            <w:vAlign w:val="bottom"/>
            <w:gridSpan w:val="3"/>
          </w:tcPr>
          <w:p>
            <w:pPr>
              <w:spacing w:after="0"/>
              <w:rPr>
                <w:sz w:val="17"/>
                <w:szCs w:val="17"/>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8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7"/>
                <w:szCs w:val="17"/>
                <w:color w:val="0000FF"/>
              </w:rPr>
              <w:t>Consolidated Statements of Comprehensive Income for the Three and Nine Months Ended September 30, 2024 and 2023</w:t>
            </w:r>
          </w:p>
        </w:tc>
        <w:tc>
          <w:tcPr>
            <w:tcW w:w="360" w:type="dxa"/>
            <w:vAlign w:val="bottom"/>
          </w:tcPr>
          <w:p>
            <w:pPr>
              <w:spacing w:after="0"/>
              <w:rPr>
                <w:sz w:val="17"/>
                <w:szCs w:val="17"/>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40" w:type="dxa"/>
            <w:vAlign w:val="bottom"/>
            <w:gridSpan w:val="19"/>
          </w:tcPr>
          <w:p>
            <w:pPr>
              <w:spacing w:after="0"/>
              <w:rPr>
                <w:sz w:val="20"/>
                <w:szCs w:val="20"/>
                <w:color w:val="auto"/>
              </w:rPr>
            </w:pPr>
            <w:r>
              <w:rPr>
                <w:rFonts w:ascii="Times New Roman" w:cs="Times New Roman" w:eastAsia="Times New Roman" w:hAnsi="Times New Roman"/>
                <w:sz w:val="17"/>
                <w:szCs w:val="17"/>
                <w:color w:val="0000FF"/>
              </w:rPr>
              <w:t>Consolidated Statements of Stockholders' Equity for the Three and Nine Months Ended September 30, 2024 and 2023</w:t>
            </w:r>
          </w:p>
        </w:tc>
        <w:tc>
          <w:tcPr>
            <w:tcW w:w="6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60" w:type="dxa"/>
            <w:vAlign w:val="bottom"/>
            <w:tcBorders>
              <w:top w:val="single" w:sz="8" w:color="0000FF"/>
            </w:tcBorders>
            <w:gridSpan w:val="17"/>
          </w:tcPr>
          <w:p>
            <w:pPr>
              <w:spacing w:after="0"/>
              <w:rPr>
                <w:sz w:val="20"/>
                <w:szCs w:val="20"/>
                <w:color w:val="auto"/>
              </w:rPr>
            </w:pPr>
            <w:r>
              <w:rPr>
                <w:rFonts w:ascii="Times New Roman" w:cs="Times New Roman" w:eastAsia="Times New Roman" w:hAnsi="Times New Roman"/>
                <w:sz w:val="17"/>
                <w:szCs w:val="17"/>
                <w:color w:val="0000FF"/>
              </w:rPr>
              <w:t>Consolidated Statements of Cash Flows for the Nine Months Ended September 30, 2024 and 2023</w:t>
            </w:r>
          </w:p>
        </w:tc>
        <w:tc>
          <w:tcPr>
            <w:tcW w:w="580" w:type="dxa"/>
            <w:vAlign w:val="bottom"/>
            <w:gridSpan w:val="2"/>
          </w:tcPr>
          <w:p>
            <w:pPr>
              <w:spacing w:after="0"/>
              <w:rPr>
                <w:sz w:val="17"/>
                <w:szCs w:val="17"/>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80" w:type="dxa"/>
            <w:vAlign w:val="bottom"/>
            <w:tcBorders>
              <w:top w:val="single" w:sz="8" w:color="0000FF"/>
            </w:tcBorders>
            <w:gridSpan w:val="15"/>
          </w:tcPr>
          <w:p>
            <w:pPr>
              <w:spacing w:after="0"/>
              <w:rPr>
                <w:sz w:val="20"/>
                <w:szCs w:val="20"/>
                <w:color w:val="auto"/>
              </w:rPr>
            </w:pPr>
            <w:r>
              <w:rPr>
                <w:rFonts w:ascii="Times New Roman" w:cs="Times New Roman" w:eastAsia="Times New Roman" w:hAnsi="Times New Roman"/>
                <w:sz w:val="17"/>
                <w:szCs w:val="17"/>
                <w:color w:val="0000FF"/>
              </w:rPr>
              <w:t>Notes to Consolidated Financial Statements</w:t>
            </w:r>
          </w:p>
        </w:tc>
        <w:tc>
          <w:tcPr>
            <w:tcW w:w="1960" w:type="dxa"/>
            <w:vAlign w:val="bottom"/>
            <w:gridSpan w:val="4"/>
          </w:tcPr>
          <w:p>
            <w:pPr>
              <w:spacing w:after="0"/>
              <w:rPr>
                <w:sz w:val="17"/>
                <w:szCs w:val="17"/>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2760" w:type="dxa"/>
            <w:vAlign w:val="bottom"/>
            <w:gridSpan w:val="5"/>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7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2.</w:t>
            </w:r>
          </w:p>
        </w:tc>
        <w:tc>
          <w:tcPr>
            <w:tcW w:w="800" w:type="dxa"/>
            <w:vAlign w:val="bottom"/>
          </w:tcPr>
          <w:p>
            <w:pPr>
              <w:spacing w:after="0"/>
              <w:rPr>
                <w:sz w:val="22"/>
                <w:szCs w:val="22"/>
                <w:color w:val="auto"/>
              </w:rPr>
            </w:pPr>
          </w:p>
        </w:tc>
        <w:tc>
          <w:tcPr>
            <w:tcW w:w="9040" w:type="dxa"/>
            <w:vAlign w:val="bottom"/>
            <w:gridSpan w:val="20"/>
          </w:tcPr>
          <w:p>
            <w:pPr>
              <w:spacing w:after="0"/>
              <w:rPr>
                <w:sz w:val="20"/>
                <w:szCs w:val="20"/>
                <w:color w:val="auto"/>
              </w:rPr>
            </w:pPr>
            <w:r>
              <w:rPr>
                <w:rFonts w:ascii="Times New Roman" w:cs="Times New Roman" w:eastAsia="Times New Roman" w:hAnsi="Times New Roman"/>
                <w:sz w:val="17"/>
                <w:szCs w:val="17"/>
                <w:color w:val="0000FF"/>
              </w:rPr>
              <w:t>Management’s Discussion and Analysis of Financial Condition and Results of Operations</w:t>
            </w:r>
          </w:p>
        </w:tc>
        <w:tc>
          <w:tcPr>
            <w:tcW w:w="6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38</w:t>
            </w:r>
          </w:p>
        </w:tc>
        <w:tc>
          <w:tcPr>
            <w:tcW w:w="0" w:type="dxa"/>
            <w:vAlign w:val="bottom"/>
          </w:tcPr>
          <w:p>
            <w:pPr>
              <w:spacing w:after="0"/>
              <w:rPr>
                <w:sz w:val="1"/>
                <w:szCs w:val="1"/>
                <w:color w:val="auto"/>
              </w:rPr>
            </w:pPr>
          </w:p>
        </w:tc>
      </w:tr>
      <w:tr>
        <w:trPr>
          <w:trHeight w:val="255"/>
        </w:trPr>
        <w:tc>
          <w:tcPr>
            <w:tcW w:w="7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3.</w:t>
            </w:r>
          </w:p>
        </w:tc>
        <w:tc>
          <w:tcPr>
            <w:tcW w:w="800" w:type="dxa"/>
            <w:vAlign w:val="bottom"/>
          </w:tcPr>
          <w:p>
            <w:pPr>
              <w:spacing w:after="0"/>
              <w:rPr>
                <w:sz w:val="22"/>
                <w:szCs w:val="22"/>
                <w:color w:val="auto"/>
              </w:rPr>
            </w:pPr>
          </w:p>
        </w:tc>
        <w:tc>
          <w:tcPr>
            <w:tcW w:w="4260" w:type="dxa"/>
            <w:vAlign w:val="bottom"/>
            <w:tcBorders>
              <w:top w:val="single" w:sz="8" w:color="0000FF"/>
              <w:bottom w:val="single" w:sz="8" w:color="0000FF"/>
            </w:tcBorders>
            <w:gridSpan w:val="13"/>
          </w:tcPr>
          <w:p>
            <w:pPr>
              <w:spacing w:after="0"/>
              <w:rPr>
                <w:sz w:val="20"/>
                <w:szCs w:val="20"/>
                <w:color w:val="auto"/>
              </w:rPr>
            </w:pPr>
            <w:r>
              <w:rPr>
                <w:rFonts w:ascii="Times New Roman" w:cs="Times New Roman" w:eastAsia="Times New Roman" w:hAnsi="Times New Roman"/>
                <w:sz w:val="17"/>
                <w:szCs w:val="17"/>
                <w:color w:val="0000FF"/>
              </w:rPr>
              <w:t>Quantitative and Qualitative Disclosures About Market Risk</w:t>
            </w:r>
          </w:p>
        </w:tc>
        <w:tc>
          <w:tcPr>
            <w:tcW w:w="2020" w:type="dxa"/>
            <w:vAlign w:val="bottom"/>
            <w:tcBorders>
              <w:top w:val="single" w:sz="8" w:color="0000FF"/>
            </w:tcBorders>
            <w:gridSpan w:val="2"/>
          </w:tcPr>
          <w:p>
            <w:pPr>
              <w:spacing w:after="0"/>
              <w:rPr>
                <w:sz w:val="22"/>
                <w:szCs w:val="22"/>
                <w:color w:val="auto"/>
              </w:rPr>
            </w:pPr>
          </w:p>
        </w:tc>
        <w:tc>
          <w:tcPr>
            <w:tcW w:w="2760" w:type="dxa"/>
            <w:vAlign w:val="bottom"/>
            <w:gridSpan w:val="5"/>
          </w:tcPr>
          <w:p>
            <w:pPr>
              <w:spacing w:after="0"/>
              <w:rPr>
                <w:sz w:val="22"/>
                <w:szCs w:val="22"/>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55</w:t>
            </w:r>
          </w:p>
        </w:tc>
        <w:tc>
          <w:tcPr>
            <w:tcW w:w="0" w:type="dxa"/>
            <w:vAlign w:val="bottom"/>
          </w:tcPr>
          <w:p>
            <w:pPr>
              <w:spacing w:after="0"/>
              <w:rPr>
                <w:sz w:val="1"/>
                <w:szCs w:val="1"/>
                <w:color w:val="auto"/>
              </w:rPr>
            </w:pPr>
          </w:p>
        </w:tc>
      </w:tr>
      <w:tr>
        <w:trPr>
          <w:trHeight w:val="255"/>
        </w:trPr>
        <w:tc>
          <w:tcPr>
            <w:tcW w:w="7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4.</w:t>
            </w:r>
          </w:p>
        </w:tc>
        <w:tc>
          <w:tcPr>
            <w:tcW w:w="800" w:type="dxa"/>
            <w:vAlign w:val="bottom"/>
          </w:tcPr>
          <w:p>
            <w:pPr>
              <w:spacing w:after="0"/>
              <w:rPr>
                <w:sz w:val="22"/>
                <w:szCs w:val="22"/>
                <w:color w:val="auto"/>
              </w:rPr>
            </w:pPr>
          </w:p>
        </w:tc>
        <w:tc>
          <w:tcPr>
            <w:tcW w:w="174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7"/>
                <w:szCs w:val="17"/>
                <w:color w:val="0000FF"/>
              </w:rPr>
              <w:t>Controls and Procedures</w:t>
            </w:r>
          </w:p>
        </w:tc>
        <w:tc>
          <w:tcPr>
            <w:tcW w:w="7300" w:type="dxa"/>
            <w:vAlign w:val="bottom"/>
            <w:gridSpan w:val="13"/>
          </w:tcPr>
          <w:p>
            <w:pPr>
              <w:spacing w:after="0"/>
              <w:rPr>
                <w:sz w:val="22"/>
                <w:szCs w:val="22"/>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55</w:t>
            </w: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82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7"/>
                <w:szCs w:val="17"/>
                <w:color w:val="0000FF"/>
              </w:rPr>
              <w:t>Part II. Other Information</w:t>
            </w:r>
          </w:p>
        </w:tc>
        <w:tc>
          <w:tcPr>
            <w:tcW w:w="7220" w:type="dxa"/>
            <w:vAlign w:val="bottom"/>
            <w:gridSpan w:val="12"/>
          </w:tcPr>
          <w:p>
            <w:pPr>
              <w:spacing w:after="0"/>
              <w:rPr>
                <w:sz w:val="22"/>
                <w:szCs w:val="22"/>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55</w:t>
            </w:r>
          </w:p>
        </w:tc>
        <w:tc>
          <w:tcPr>
            <w:tcW w:w="0" w:type="dxa"/>
            <w:vAlign w:val="bottom"/>
          </w:tcPr>
          <w:p>
            <w:pPr>
              <w:spacing w:after="0"/>
              <w:rPr>
                <w:sz w:val="1"/>
                <w:szCs w:val="1"/>
                <w:color w:val="auto"/>
              </w:rPr>
            </w:pPr>
          </w:p>
        </w:tc>
      </w:tr>
      <w:tr>
        <w:trPr>
          <w:trHeight w:val="255"/>
        </w:trPr>
        <w:tc>
          <w:tcPr>
            <w:tcW w:w="7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1.</w:t>
            </w:r>
          </w:p>
        </w:tc>
        <w:tc>
          <w:tcPr>
            <w:tcW w:w="800" w:type="dxa"/>
            <w:vAlign w:val="bottom"/>
          </w:tcPr>
          <w:p>
            <w:pPr>
              <w:spacing w:after="0"/>
              <w:rPr>
                <w:sz w:val="22"/>
                <w:szCs w:val="22"/>
                <w:color w:val="auto"/>
              </w:rPr>
            </w:pPr>
          </w:p>
        </w:tc>
        <w:tc>
          <w:tcPr>
            <w:tcW w:w="9040" w:type="dxa"/>
            <w:vAlign w:val="bottom"/>
            <w:gridSpan w:val="20"/>
          </w:tcPr>
          <w:p>
            <w:pPr>
              <w:spacing w:after="0"/>
              <w:rPr>
                <w:sz w:val="20"/>
                <w:szCs w:val="20"/>
                <w:color w:val="auto"/>
              </w:rPr>
            </w:pPr>
            <w:r>
              <w:rPr>
                <w:rFonts w:ascii="Times New Roman" w:cs="Times New Roman" w:eastAsia="Times New Roman" w:hAnsi="Times New Roman"/>
                <w:sz w:val="17"/>
                <w:szCs w:val="17"/>
                <w:color w:val="0000FF"/>
              </w:rPr>
              <w:t>Legal Proceedings</w:t>
            </w:r>
          </w:p>
        </w:tc>
        <w:tc>
          <w:tcPr>
            <w:tcW w:w="6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55</w:t>
            </w: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5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1A.</w:t>
            </w:r>
          </w:p>
        </w:tc>
        <w:tc>
          <w:tcPr>
            <w:tcW w:w="130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7"/>
                <w:szCs w:val="17"/>
                <w:color w:val="0000FF"/>
              </w:rPr>
              <w:t>Risk Factors</w:t>
            </w:r>
          </w:p>
        </w:tc>
        <w:tc>
          <w:tcPr>
            <w:tcW w:w="7740" w:type="dxa"/>
            <w:vAlign w:val="bottom"/>
            <w:gridSpan w:val="15"/>
          </w:tcPr>
          <w:p>
            <w:pPr>
              <w:spacing w:after="0"/>
              <w:rPr>
                <w:sz w:val="22"/>
                <w:szCs w:val="22"/>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4800" w:type="dxa"/>
            <w:vAlign w:val="bottom"/>
            <w:gridSpan w:val="8"/>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7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2.</w:t>
            </w:r>
          </w:p>
        </w:tc>
        <w:tc>
          <w:tcPr>
            <w:tcW w:w="800" w:type="dxa"/>
            <w:vAlign w:val="bottom"/>
          </w:tcPr>
          <w:p>
            <w:pPr>
              <w:spacing w:after="0"/>
              <w:rPr>
                <w:sz w:val="22"/>
                <w:szCs w:val="22"/>
                <w:color w:val="auto"/>
              </w:rPr>
            </w:pPr>
          </w:p>
        </w:tc>
        <w:tc>
          <w:tcPr>
            <w:tcW w:w="424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7"/>
                <w:szCs w:val="17"/>
                <w:color w:val="0000FF"/>
              </w:rPr>
              <w:t>Unregistered Sales of Equity Securities and Use of Proceeds</w:t>
            </w:r>
          </w:p>
        </w:tc>
        <w:tc>
          <w:tcPr>
            <w:tcW w:w="4800" w:type="dxa"/>
            <w:vAlign w:val="bottom"/>
            <w:gridSpan w:val="8"/>
          </w:tcPr>
          <w:p>
            <w:pPr>
              <w:spacing w:after="0"/>
              <w:rPr>
                <w:sz w:val="22"/>
                <w:szCs w:val="22"/>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55</w:t>
            </w:r>
          </w:p>
        </w:tc>
        <w:tc>
          <w:tcPr>
            <w:tcW w:w="0" w:type="dxa"/>
            <w:vAlign w:val="bottom"/>
          </w:tcPr>
          <w:p>
            <w:pPr>
              <w:spacing w:after="0"/>
              <w:rPr>
                <w:sz w:val="1"/>
                <w:szCs w:val="1"/>
                <w:color w:val="auto"/>
              </w:rPr>
            </w:pPr>
          </w:p>
        </w:tc>
      </w:tr>
      <w:tr>
        <w:trPr>
          <w:trHeight w:val="255"/>
        </w:trPr>
        <w:tc>
          <w:tcPr>
            <w:tcW w:w="7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3.</w:t>
            </w:r>
          </w:p>
        </w:tc>
        <w:tc>
          <w:tcPr>
            <w:tcW w:w="800" w:type="dxa"/>
            <w:vAlign w:val="bottom"/>
          </w:tcPr>
          <w:p>
            <w:pPr>
              <w:spacing w:after="0"/>
              <w:rPr>
                <w:sz w:val="22"/>
                <w:szCs w:val="22"/>
                <w:color w:val="auto"/>
              </w:rPr>
            </w:pPr>
          </w:p>
        </w:tc>
        <w:tc>
          <w:tcPr>
            <w:tcW w:w="9040" w:type="dxa"/>
            <w:vAlign w:val="bottom"/>
            <w:gridSpan w:val="20"/>
          </w:tcPr>
          <w:p>
            <w:pPr>
              <w:spacing w:after="0"/>
              <w:rPr>
                <w:sz w:val="20"/>
                <w:szCs w:val="20"/>
                <w:color w:val="auto"/>
              </w:rPr>
            </w:pPr>
            <w:r>
              <w:rPr>
                <w:rFonts w:ascii="Times New Roman" w:cs="Times New Roman" w:eastAsia="Times New Roman" w:hAnsi="Times New Roman"/>
                <w:sz w:val="17"/>
                <w:szCs w:val="17"/>
                <w:color w:val="0000FF"/>
              </w:rPr>
              <w:t>Defaults Upon Senior Securities</w:t>
            </w:r>
          </w:p>
        </w:tc>
        <w:tc>
          <w:tcPr>
            <w:tcW w:w="6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56</w:t>
            </w:r>
          </w:p>
        </w:tc>
        <w:tc>
          <w:tcPr>
            <w:tcW w:w="0" w:type="dxa"/>
            <w:vAlign w:val="bottom"/>
          </w:tcPr>
          <w:p>
            <w:pPr>
              <w:spacing w:after="0"/>
              <w:rPr>
                <w:sz w:val="1"/>
                <w:szCs w:val="1"/>
                <w:color w:val="auto"/>
              </w:rPr>
            </w:pPr>
          </w:p>
        </w:tc>
      </w:tr>
      <w:tr>
        <w:trPr>
          <w:trHeight w:val="255"/>
        </w:trPr>
        <w:tc>
          <w:tcPr>
            <w:tcW w:w="7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4.</w:t>
            </w:r>
          </w:p>
        </w:tc>
        <w:tc>
          <w:tcPr>
            <w:tcW w:w="800" w:type="dxa"/>
            <w:vAlign w:val="bottom"/>
          </w:tcPr>
          <w:p>
            <w:pPr>
              <w:spacing w:after="0"/>
              <w:rPr>
                <w:sz w:val="22"/>
                <w:szCs w:val="22"/>
                <w:color w:val="auto"/>
              </w:rPr>
            </w:pPr>
          </w:p>
        </w:tc>
        <w:tc>
          <w:tcPr>
            <w:tcW w:w="2260" w:type="dxa"/>
            <w:vAlign w:val="bottom"/>
            <w:tcBorders>
              <w:top w:val="single" w:sz="8" w:color="0000FF"/>
            </w:tcBorders>
            <w:gridSpan w:val="10"/>
          </w:tcPr>
          <w:p>
            <w:pPr>
              <w:spacing w:after="0"/>
              <w:rPr>
                <w:sz w:val="20"/>
                <w:szCs w:val="20"/>
                <w:color w:val="auto"/>
              </w:rPr>
            </w:pPr>
            <w:r>
              <w:rPr>
                <w:rFonts w:ascii="Times New Roman" w:cs="Times New Roman" w:eastAsia="Times New Roman" w:hAnsi="Times New Roman"/>
                <w:sz w:val="17"/>
                <w:szCs w:val="17"/>
                <w:color w:val="0000FF"/>
              </w:rPr>
              <w:t>Mine Safety Disclosures</w:t>
            </w:r>
          </w:p>
        </w:tc>
        <w:tc>
          <w:tcPr>
            <w:tcW w:w="6780" w:type="dxa"/>
            <w:vAlign w:val="bottom"/>
            <w:gridSpan w:val="10"/>
          </w:tcPr>
          <w:p>
            <w:pPr>
              <w:spacing w:after="0"/>
              <w:rPr>
                <w:sz w:val="22"/>
                <w:szCs w:val="22"/>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56</w:t>
            </w:r>
          </w:p>
        </w:tc>
        <w:tc>
          <w:tcPr>
            <w:tcW w:w="0" w:type="dxa"/>
            <w:vAlign w:val="bottom"/>
          </w:tcPr>
          <w:p>
            <w:pPr>
              <w:spacing w:after="0"/>
              <w:rPr>
                <w:sz w:val="1"/>
                <w:szCs w:val="1"/>
                <w:color w:val="auto"/>
              </w:rPr>
            </w:pPr>
          </w:p>
        </w:tc>
      </w:tr>
      <w:tr>
        <w:trPr>
          <w:trHeight w:val="255"/>
        </w:trPr>
        <w:tc>
          <w:tcPr>
            <w:tcW w:w="7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5.</w:t>
            </w:r>
          </w:p>
        </w:tc>
        <w:tc>
          <w:tcPr>
            <w:tcW w:w="800" w:type="dxa"/>
            <w:vAlign w:val="bottom"/>
          </w:tcPr>
          <w:p>
            <w:pPr>
              <w:spacing w:after="0"/>
              <w:rPr>
                <w:sz w:val="22"/>
                <w:szCs w:val="22"/>
                <w:color w:val="auto"/>
              </w:rPr>
            </w:pPr>
          </w:p>
        </w:tc>
        <w:tc>
          <w:tcPr>
            <w:tcW w:w="172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7"/>
                <w:szCs w:val="17"/>
                <w:color w:val="0000FF"/>
              </w:rPr>
              <w:t>Other Information</w:t>
            </w:r>
          </w:p>
        </w:tc>
        <w:tc>
          <w:tcPr>
            <w:tcW w:w="7320" w:type="dxa"/>
            <w:vAlign w:val="bottom"/>
            <w:gridSpan w:val="14"/>
          </w:tcPr>
          <w:p>
            <w:pPr>
              <w:spacing w:after="0"/>
              <w:rPr>
                <w:sz w:val="22"/>
                <w:szCs w:val="22"/>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56</w:t>
            </w:r>
          </w:p>
        </w:tc>
        <w:tc>
          <w:tcPr>
            <w:tcW w:w="0" w:type="dxa"/>
            <w:vAlign w:val="bottom"/>
          </w:tcPr>
          <w:p>
            <w:pPr>
              <w:spacing w:after="0"/>
              <w:rPr>
                <w:sz w:val="1"/>
                <w:szCs w:val="1"/>
                <w:color w:val="auto"/>
              </w:rPr>
            </w:pPr>
          </w:p>
        </w:tc>
      </w:tr>
      <w:tr>
        <w:trPr>
          <w:trHeight w:val="255"/>
        </w:trPr>
        <w:tc>
          <w:tcPr>
            <w:tcW w:w="7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6.</w:t>
            </w:r>
          </w:p>
        </w:tc>
        <w:tc>
          <w:tcPr>
            <w:tcW w:w="800" w:type="dxa"/>
            <w:vAlign w:val="bottom"/>
          </w:tcPr>
          <w:p>
            <w:pPr>
              <w:spacing w:after="0"/>
              <w:rPr>
                <w:sz w:val="22"/>
                <w:szCs w:val="22"/>
                <w:color w:val="auto"/>
              </w:rPr>
            </w:pPr>
          </w:p>
        </w:tc>
        <w:tc>
          <w:tcPr>
            <w:tcW w:w="128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7"/>
                <w:szCs w:val="17"/>
                <w:color w:val="0000FF"/>
              </w:rPr>
              <w:t>Exhibits</w:t>
            </w:r>
          </w:p>
        </w:tc>
        <w:tc>
          <w:tcPr>
            <w:tcW w:w="7760" w:type="dxa"/>
            <w:vAlign w:val="bottom"/>
            <w:gridSpan w:val="16"/>
          </w:tcPr>
          <w:p>
            <w:pPr>
              <w:spacing w:after="0"/>
              <w:rPr>
                <w:sz w:val="22"/>
                <w:szCs w:val="22"/>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57</w:t>
            </w: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5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Signatures</w:t>
            </w:r>
          </w:p>
        </w:tc>
        <w:tc>
          <w:tcPr>
            <w:tcW w:w="200" w:type="dxa"/>
            <w:vAlign w:val="bottom"/>
            <w:tcBorders>
              <w:top w:val="single" w:sz="8" w:color="0000FF"/>
            </w:tcBorders>
          </w:tcPr>
          <w:p>
            <w:pPr>
              <w:spacing w:after="0"/>
              <w:rPr>
                <w:sz w:val="22"/>
                <w:szCs w:val="22"/>
                <w:color w:val="auto"/>
              </w:rPr>
            </w:pPr>
          </w:p>
        </w:tc>
        <w:tc>
          <w:tcPr>
            <w:tcW w:w="400" w:type="dxa"/>
            <w:vAlign w:val="bottom"/>
            <w:tcBorders>
              <w:top w:val="single" w:sz="8" w:color="0000FF"/>
            </w:tcBorders>
          </w:tcPr>
          <w:p>
            <w:pPr>
              <w:spacing w:after="0"/>
              <w:rPr>
                <w:sz w:val="22"/>
                <w:szCs w:val="22"/>
                <w:color w:val="auto"/>
              </w:rPr>
            </w:pPr>
          </w:p>
        </w:tc>
        <w:tc>
          <w:tcPr>
            <w:tcW w:w="2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58</w:t>
            </w:r>
          </w:p>
        </w:tc>
        <w:tc>
          <w:tcPr>
            <w:tcW w:w="0" w:type="dxa"/>
            <w:vAlign w:val="bottom"/>
          </w:tcPr>
          <w:p>
            <w:pPr>
              <w:spacing w:after="0"/>
              <w:rPr>
                <w:sz w:val="1"/>
                <w:szCs w:val="1"/>
                <w:color w:val="auto"/>
              </w:rPr>
            </w:pPr>
          </w:p>
        </w:tc>
      </w:tr>
      <w:tr>
        <w:trPr>
          <w:trHeight w:val="884"/>
        </w:trPr>
        <w:tc>
          <w:tcPr>
            <w:tcW w:w="20" w:type="dxa"/>
            <w:vAlign w:val="bottom"/>
          </w:tcPr>
          <w:p>
            <w:pPr>
              <w:spacing w:after="0"/>
              <w:rPr>
                <w:sz w:val="24"/>
                <w:szCs w:val="24"/>
                <w:color w:val="auto"/>
              </w:rPr>
            </w:pPr>
          </w:p>
        </w:tc>
        <w:tc>
          <w:tcPr>
            <w:tcW w:w="740" w:type="dxa"/>
            <w:vAlign w:val="bottom"/>
            <w:tcBorders>
              <w:top w:val="single" w:sz="8" w:color="0000FF"/>
            </w:tcBorders>
          </w:tcPr>
          <w:p>
            <w:pPr>
              <w:spacing w:after="0"/>
              <w:rPr>
                <w:sz w:val="24"/>
                <w:szCs w:val="24"/>
                <w:color w:val="auto"/>
              </w:rPr>
            </w:pPr>
          </w:p>
        </w:tc>
        <w:tc>
          <w:tcPr>
            <w:tcW w:w="800" w:type="dxa"/>
            <w:vAlign w:val="bottom"/>
          </w:tcPr>
          <w:p>
            <w:pPr>
              <w:spacing w:after="0"/>
              <w:rPr>
                <w:sz w:val="24"/>
                <w:szCs w:val="24"/>
                <w:color w:val="auto"/>
              </w:rPr>
            </w:pPr>
          </w:p>
        </w:tc>
        <w:tc>
          <w:tcPr>
            <w:tcW w:w="4240" w:type="dxa"/>
            <w:vAlign w:val="bottom"/>
            <w:gridSpan w:val="12"/>
          </w:tcPr>
          <w:p>
            <w:pPr>
              <w:ind w:left="4020"/>
              <w:spacing w:after="0"/>
              <w:rPr>
                <w:sz w:val="20"/>
                <w:szCs w:val="20"/>
                <w:color w:val="auto"/>
              </w:rPr>
            </w:pPr>
            <w:r>
              <w:rPr>
                <w:rFonts w:ascii="Times New Roman" w:cs="Times New Roman" w:eastAsia="Times New Roman" w:hAnsi="Times New Roman"/>
                <w:sz w:val="17"/>
                <w:szCs w:val="17"/>
                <w:color w:val="auto"/>
              </w:rPr>
              <w:t>2</w:t>
            </w:r>
          </w:p>
        </w:tc>
        <w:tc>
          <w:tcPr>
            <w:tcW w:w="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2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52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5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b w:val="1"/>
          <w:bCs w:val="1"/>
          <w:color w:val="auto"/>
        </w:rPr>
        <w:t>PART I. FINANCIAL INFORMATION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 FINANCIAL STATEMENTS</w:t>
      </w:r>
    </w:p>
    <w:p>
      <w:pPr>
        <w:spacing w:after="0" w:line="3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b w:val="1"/>
          <w:bCs w:val="1"/>
          <w:color w:val="auto"/>
        </w:rPr>
        <w:t>EXLSERVICE HOLDINGS, INC.</w:t>
      </w:r>
    </w:p>
    <w:p>
      <w:pPr>
        <w:spacing w:after="0" w:line="14"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7"/>
          <w:szCs w:val="17"/>
          <w:b w:val="1"/>
          <w:bCs w:val="1"/>
          <w:color w:val="auto"/>
        </w:rPr>
        <w:t>CONSOLIDATED BALANCE SHEETS (UNAUDITED)</w:t>
      </w:r>
    </w:p>
    <w:p>
      <w:pPr>
        <w:spacing w:after="0" w:line="14"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7"/>
          <w:szCs w:val="17"/>
          <w:b w:val="1"/>
          <w:bCs w:val="1"/>
          <w:color w:val="auto"/>
        </w:rPr>
        <w:t>(In thousands, except per share amount and share count)</w:t>
      </w:r>
    </w:p>
    <w:p>
      <w:pPr>
        <w:spacing w:after="0" w:line="34" w:lineRule="exact"/>
        <w:rPr>
          <w:sz w:val="20"/>
          <w:szCs w:val="20"/>
          <w:color w:val="auto"/>
        </w:rPr>
      </w:pPr>
    </w:p>
    <w:tbl>
      <w:tblPr>
        <w:tblLayout w:type="fixed"/>
        <w:tblInd w:w="140" w:type="dxa"/>
        <w:tblCellMar>
          <w:top w:w="0" w:type="dxa"/>
          <w:left w:w="0" w:type="dxa"/>
          <w:bottom w:w="0" w:type="dxa"/>
          <w:right w:w="0" w:type="dxa"/>
        </w:tblCellMar>
      </w:tblPr>
      <w:tr>
        <w:trPr>
          <w:trHeight w:val="171"/>
        </w:trPr>
        <w:tc>
          <w:tcPr>
            <w:tcW w:w="748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jc w:val="right"/>
              <w:ind w:right="6"/>
              <w:spacing w:after="0"/>
              <w:rPr>
                <w:sz w:val="20"/>
                <w:szCs w:val="20"/>
                <w:color w:val="auto"/>
              </w:rPr>
            </w:pPr>
            <w:r>
              <w:rPr>
                <w:rFonts w:ascii="Times New Roman" w:cs="Times New Roman" w:eastAsia="Times New Roman" w:hAnsi="Times New Roman"/>
                <w:sz w:val="12"/>
                <w:szCs w:val="12"/>
                <w:b w:val="1"/>
                <w:bCs w:val="1"/>
                <w:color w:val="auto"/>
              </w:rPr>
              <w:t>As of</w:t>
            </w:r>
          </w:p>
        </w:tc>
        <w:tc>
          <w:tcPr>
            <w:tcW w:w="12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7480" w:type="dxa"/>
            <w:vAlign w:val="bottom"/>
          </w:tcPr>
          <w:p>
            <w:pPr>
              <w:spacing w:after="0"/>
              <w:rPr>
                <w:sz w:val="14"/>
                <w:szCs w:val="14"/>
                <w:color w:val="auto"/>
              </w:rPr>
            </w:pPr>
          </w:p>
        </w:tc>
        <w:tc>
          <w:tcPr>
            <w:tcW w:w="500" w:type="dxa"/>
            <w:vAlign w:val="bottom"/>
          </w:tcPr>
          <w:p>
            <w:pPr>
              <w:ind w:left="100"/>
              <w:spacing w:after="0"/>
              <w:rPr>
                <w:sz w:val="20"/>
                <w:szCs w:val="20"/>
                <w:color w:val="auto"/>
              </w:rPr>
            </w:pPr>
            <w:r>
              <w:rPr>
                <w:rFonts w:ascii="Times New Roman" w:cs="Times New Roman" w:eastAsia="Times New Roman" w:hAnsi="Times New Roman"/>
                <w:sz w:val="12"/>
                <w:szCs w:val="12"/>
                <w:b w:val="1"/>
                <w:bCs w:val="1"/>
                <w:color w:val="auto"/>
              </w:rPr>
              <w:t>Notes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September 30, 2024</w:t>
            </w:r>
          </w:p>
        </w:tc>
        <w:tc>
          <w:tcPr>
            <w:tcW w:w="140" w:type="dxa"/>
            <w:vAlign w:val="bottom"/>
          </w:tcPr>
          <w:p>
            <w:pPr>
              <w:spacing w:after="0"/>
              <w:rPr>
                <w:sz w:val="14"/>
                <w:szCs w:val="14"/>
                <w:color w:val="auto"/>
              </w:rPr>
            </w:pPr>
          </w:p>
        </w:tc>
        <w:tc>
          <w:tcPr>
            <w:tcW w:w="1240" w:type="dxa"/>
            <w:vAlign w:val="bottom"/>
          </w:tcPr>
          <w:p>
            <w:pPr>
              <w:jc w:val="right"/>
              <w:ind w:right="126"/>
              <w:spacing w:after="0"/>
              <w:rPr>
                <w:sz w:val="20"/>
                <w:szCs w:val="20"/>
                <w:color w:val="auto"/>
              </w:rPr>
            </w:pPr>
            <w:r>
              <w:rPr>
                <w:rFonts w:ascii="Times New Roman" w:cs="Times New Roman" w:eastAsia="Times New Roman" w:hAnsi="Times New Roman"/>
                <w:sz w:val="12"/>
                <w:szCs w:val="12"/>
                <w:b w:val="1"/>
                <w:bCs w:val="1"/>
                <w:color w:val="auto"/>
              </w:rPr>
              <w:t>December 31, 2023</w:t>
            </w:r>
          </w:p>
        </w:tc>
        <w:tc>
          <w:tcPr>
            <w:tcW w:w="0" w:type="dxa"/>
            <w:vAlign w:val="bottom"/>
          </w:tcPr>
          <w:p>
            <w:pPr>
              <w:spacing w:after="0"/>
              <w:rPr>
                <w:sz w:val="1"/>
                <w:szCs w:val="1"/>
                <w:color w:val="auto"/>
              </w:rPr>
            </w:pPr>
          </w:p>
        </w:tc>
      </w:tr>
      <w:tr>
        <w:trPr>
          <w:trHeight w:val="181"/>
        </w:trPr>
        <w:tc>
          <w:tcPr>
            <w:tcW w:w="7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Assets</w:t>
            </w:r>
          </w:p>
        </w:tc>
        <w:tc>
          <w:tcPr>
            <w:tcW w:w="5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2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748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Current assets:</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7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Cash and cash equivalents</w:t>
            </w: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150,102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136,953</w:t>
            </w:r>
          </w:p>
        </w:tc>
        <w:tc>
          <w:tcPr>
            <w:tcW w:w="0" w:type="dxa"/>
            <w:vAlign w:val="bottom"/>
          </w:tcPr>
          <w:p>
            <w:pPr>
              <w:spacing w:after="0"/>
              <w:rPr>
                <w:sz w:val="1"/>
                <w:szCs w:val="1"/>
                <w:color w:val="auto"/>
              </w:rPr>
            </w:pPr>
          </w:p>
        </w:tc>
      </w:tr>
      <w:tr>
        <w:trPr>
          <w:trHeight w:val="195"/>
        </w:trPr>
        <w:tc>
          <w:tcPr>
            <w:tcW w:w="748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Short-term investments</w:t>
            </w:r>
          </w:p>
        </w:tc>
        <w:tc>
          <w:tcPr>
            <w:tcW w:w="5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175,648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153,881</w:t>
            </w:r>
          </w:p>
        </w:tc>
        <w:tc>
          <w:tcPr>
            <w:tcW w:w="0" w:type="dxa"/>
            <w:vAlign w:val="bottom"/>
          </w:tcPr>
          <w:p>
            <w:pPr>
              <w:spacing w:after="0"/>
              <w:rPr>
                <w:sz w:val="1"/>
                <w:szCs w:val="1"/>
                <w:color w:val="auto"/>
              </w:rPr>
            </w:pPr>
          </w:p>
        </w:tc>
      </w:tr>
      <w:tr>
        <w:trPr>
          <w:trHeight w:val="199"/>
        </w:trPr>
        <w:tc>
          <w:tcPr>
            <w:tcW w:w="7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Restricted cash</w:t>
            </w: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7,342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4,062</w:t>
            </w:r>
          </w:p>
        </w:tc>
        <w:tc>
          <w:tcPr>
            <w:tcW w:w="0" w:type="dxa"/>
            <w:vAlign w:val="bottom"/>
          </w:tcPr>
          <w:p>
            <w:pPr>
              <w:spacing w:after="0"/>
              <w:rPr>
                <w:sz w:val="1"/>
                <w:szCs w:val="1"/>
                <w:color w:val="auto"/>
              </w:rPr>
            </w:pPr>
          </w:p>
        </w:tc>
      </w:tr>
      <w:tr>
        <w:trPr>
          <w:trHeight w:val="195"/>
        </w:trPr>
        <w:tc>
          <w:tcPr>
            <w:tcW w:w="748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Accounts receivable, net</w:t>
            </w:r>
          </w:p>
        </w:tc>
        <w:tc>
          <w:tcPr>
            <w:tcW w:w="5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340,904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308,108</w:t>
            </w:r>
          </w:p>
        </w:tc>
        <w:tc>
          <w:tcPr>
            <w:tcW w:w="0" w:type="dxa"/>
            <w:vAlign w:val="bottom"/>
          </w:tcPr>
          <w:p>
            <w:pPr>
              <w:spacing w:after="0"/>
              <w:rPr>
                <w:sz w:val="1"/>
                <w:szCs w:val="1"/>
                <w:color w:val="auto"/>
              </w:rPr>
            </w:pPr>
          </w:p>
        </w:tc>
      </w:tr>
      <w:tr>
        <w:trPr>
          <w:trHeight w:val="199"/>
        </w:trPr>
        <w:tc>
          <w:tcPr>
            <w:tcW w:w="7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Other current assets</w:t>
            </w: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11</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93,693</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76,669</w:t>
            </w:r>
          </w:p>
        </w:tc>
        <w:tc>
          <w:tcPr>
            <w:tcW w:w="0" w:type="dxa"/>
            <w:vAlign w:val="bottom"/>
          </w:tcPr>
          <w:p>
            <w:pPr>
              <w:spacing w:after="0"/>
              <w:rPr>
                <w:sz w:val="1"/>
                <w:szCs w:val="1"/>
                <w:color w:val="auto"/>
              </w:rPr>
            </w:pPr>
          </w:p>
        </w:tc>
      </w:tr>
      <w:tr>
        <w:trPr>
          <w:trHeight w:val="190"/>
        </w:trPr>
        <w:tc>
          <w:tcPr>
            <w:tcW w:w="748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Total current assets</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767,689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jc w:val="right"/>
              <w:ind w:right="6"/>
              <w:spacing w:after="0"/>
              <w:rPr>
                <w:sz w:val="20"/>
                <w:szCs w:val="20"/>
                <w:color w:val="auto"/>
              </w:rPr>
            </w:pPr>
            <w:r>
              <w:rPr>
                <w:rFonts w:ascii="Times New Roman" w:cs="Times New Roman" w:eastAsia="Times New Roman" w:hAnsi="Times New Roman"/>
                <w:sz w:val="15"/>
                <w:szCs w:val="15"/>
                <w:b w:val="1"/>
                <w:bCs w:val="1"/>
                <w:color w:val="auto"/>
              </w:rPr>
              <w:t>679,673</w:t>
            </w:r>
          </w:p>
        </w:tc>
        <w:tc>
          <w:tcPr>
            <w:tcW w:w="0" w:type="dxa"/>
            <w:vAlign w:val="bottom"/>
          </w:tcPr>
          <w:p>
            <w:pPr>
              <w:spacing w:after="0"/>
              <w:rPr>
                <w:sz w:val="1"/>
                <w:szCs w:val="1"/>
                <w:color w:val="auto"/>
              </w:rPr>
            </w:pPr>
          </w:p>
        </w:tc>
      </w:tr>
      <w:tr>
        <w:trPr>
          <w:trHeight w:val="197"/>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Property and equipment, net</w:t>
            </w: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107,395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100,373</w:t>
            </w:r>
          </w:p>
        </w:tc>
        <w:tc>
          <w:tcPr>
            <w:tcW w:w="0" w:type="dxa"/>
            <w:vAlign w:val="bottom"/>
          </w:tcPr>
          <w:p>
            <w:pPr>
              <w:spacing w:after="0"/>
              <w:rPr>
                <w:sz w:val="1"/>
                <w:szCs w:val="1"/>
                <w:color w:val="auto"/>
              </w:rPr>
            </w:pPr>
          </w:p>
        </w:tc>
      </w:tr>
      <w:tr>
        <w:trPr>
          <w:trHeight w:val="195"/>
        </w:trPr>
        <w:tc>
          <w:tcPr>
            <w:tcW w:w="74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Operating lease right-of-use assets</w:t>
            </w:r>
          </w:p>
        </w:tc>
        <w:tc>
          <w:tcPr>
            <w:tcW w:w="5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21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71,796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64,856</w:t>
            </w:r>
          </w:p>
        </w:tc>
        <w:tc>
          <w:tcPr>
            <w:tcW w:w="0" w:type="dxa"/>
            <w:vAlign w:val="bottom"/>
          </w:tcPr>
          <w:p>
            <w:pPr>
              <w:spacing w:after="0"/>
              <w:rPr>
                <w:sz w:val="1"/>
                <w:szCs w:val="1"/>
                <w:color w:val="auto"/>
              </w:rPr>
            </w:pPr>
          </w:p>
        </w:tc>
      </w:tr>
      <w:tr>
        <w:trPr>
          <w:trHeight w:val="199"/>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Restricted cash</w:t>
            </w: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5,820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4,386</w:t>
            </w:r>
          </w:p>
        </w:tc>
        <w:tc>
          <w:tcPr>
            <w:tcW w:w="0" w:type="dxa"/>
            <w:vAlign w:val="bottom"/>
          </w:tcPr>
          <w:p>
            <w:pPr>
              <w:spacing w:after="0"/>
              <w:rPr>
                <w:sz w:val="1"/>
                <w:szCs w:val="1"/>
                <w:color w:val="auto"/>
              </w:rPr>
            </w:pPr>
          </w:p>
        </w:tc>
      </w:tr>
      <w:tr>
        <w:trPr>
          <w:trHeight w:val="195"/>
        </w:trPr>
        <w:tc>
          <w:tcPr>
            <w:tcW w:w="74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Deferred tax assets, net</w:t>
            </w:r>
          </w:p>
        </w:tc>
        <w:tc>
          <w:tcPr>
            <w:tcW w:w="5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22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106,881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82,927</w:t>
            </w:r>
          </w:p>
        </w:tc>
        <w:tc>
          <w:tcPr>
            <w:tcW w:w="0" w:type="dxa"/>
            <w:vAlign w:val="bottom"/>
          </w:tcPr>
          <w:p>
            <w:pPr>
              <w:spacing w:after="0"/>
              <w:rPr>
                <w:sz w:val="1"/>
                <w:szCs w:val="1"/>
                <w:color w:val="auto"/>
              </w:rPr>
            </w:pPr>
          </w:p>
        </w:tc>
      </w:tr>
      <w:tr>
        <w:trPr>
          <w:trHeight w:val="199"/>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Goodwill</w:t>
            </w: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10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427,663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405,639</w:t>
            </w:r>
          </w:p>
        </w:tc>
        <w:tc>
          <w:tcPr>
            <w:tcW w:w="0" w:type="dxa"/>
            <w:vAlign w:val="bottom"/>
          </w:tcPr>
          <w:p>
            <w:pPr>
              <w:spacing w:after="0"/>
              <w:rPr>
                <w:sz w:val="1"/>
                <w:szCs w:val="1"/>
                <w:color w:val="auto"/>
              </w:rPr>
            </w:pPr>
          </w:p>
        </w:tc>
      </w:tr>
      <w:tr>
        <w:trPr>
          <w:trHeight w:val="195"/>
        </w:trPr>
        <w:tc>
          <w:tcPr>
            <w:tcW w:w="74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Other intangible assets, net</w:t>
            </w:r>
          </w:p>
        </w:tc>
        <w:tc>
          <w:tcPr>
            <w:tcW w:w="5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51,291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50,164</w:t>
            </w:r>
          </w:p>
        </w:tc>
        <w:tc>
          <w:tcPr>
            <w:tcW w:w="0" w:type="dxa"/>
            <w:vAlign w:val="bottom"/>
          </w:tcPr>
          <w:p>
            <w:pPr>
              <w:spacing w:after="0"/>
              <w:rPr>
                <w:sz w:val="1"/>
                <w:szCs w:val="1"/>
                <w:color w:val="auto"/>
              </w:rPr>
            </w:pPr>
          </w:p>
        </w:tc>
      </w:tr>
      <w:tr>
        <w:trPr>
          <w:trHeight w:val="199"/>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Long-term investments</w:t>
            </w: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14,184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4,430</w:t>
            </w:r>
          </w:p>
        </w:tc>
        <w:tc>
          <w:tcPr>
            <w:tcW w:w="0" w:type="dxa"/>
            <w:vAlign w:val="bottom"/>
          </w:tcPr>
          <w:p>
            <w:pPr>
              <w:spacing w:after="0"/>
              <w:rPr>
                <w:sz w:val="1"/>
                <w:szCs w:val="1"/>
                <w:color w:val="auto"/>
              </w:rPr>
            </w:pPr>
          </w:p>
        </w:tc>
      </w:tr>
      <w:tr>
        <w:trPr>
          <w:trHeight w:val="195"/>
        </w:trPr>
        <w:tc>
          <w:tcPr>
            <w:tcW w:w="7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Other assets</w:t>
            </w:r>
          </w:p>
        </w:tc>
        <w:tc>
          <w:tcPr>
            <w:tcW w:w="50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5"/>
                <w:szCs w:val="15"/>
                <w:color w:val="auto"/>
              </w:rPr>
              <w:t>12</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57,113</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5"/>
                <w:szCs w:val="15"/>
                <w:color w:val="auto"/>
              </w:rPr>
              <w:t>49,524</w:t>
            </w:r>
          </w:p>
        </w:tc>
        <w:tc>
          <w:tcPr>
            <w:tcW w:w="0" w:type="dxa"/>
            <w:vAlign w:val="bottom"/>
          </w:tcPr>
          <w:p>
            <w:pPr>
              <w:spacing w:after="0"/>
              <w:rPr>
                <w:sz w:val="1"/>
                <w:szCs w:val="1"/>
                <w:color w:val="auto"/>
              </w:rPr>
            </w:pPr>
          </w:p>
        </w:tc>
      </w:tr>
      <w:tr>
        <w:trPr>
          <w:trHeight w:val="217"/>
        </w:trPr>
        <w:tc>
          <w:tcPr>
            <w:tcW w:w="7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Total assets</w:t>
            </w:r>
          </w:p>
        </w:tc>
        <w:tc>
          <w:tcPr>
            <w:tcW w:w="5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1,609,832</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124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b w:val="1"/>
                <w:bCs w:val="1"/>
                <w:color w:val="auto"/>
              </w:rPr>
              <w:t>1,441,972</w:t>
            </w:r>
          </w:p>
        </w:tc>
        <w:tc>
          <w:tcPr>
            <w:tcW w:w="0" w:type="dxa"/>
            <w:vAlign w:val="bottom"/>
          </w:tcPr>
          <w:p>
            <w:pPr>
              <w:spacing w:after="0"/>
              <w:rPr>
                <w:sz w:val="1"/>
                <w:szCs w:val="1"/>
                <w:color w:val="auto"/>
              </w:rPr>
            </w:pPr>
          </w:p>
        </w:tc>
      </w:tr>
      <w:tr>
        <w:trPr>
          <w:trHeight w:val="20"/>
        </w:trPr>
        <w:tc>
          <w:tcPr>
            <w:tcW w:w="74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5"/>
                <w:szCs w:val="15"/>
                <w:b w:val="1"/>
                <w:bCs w:val="1"/>
                <w:color w:val="auto"/>
              </w:rPr>
              <w:t>Liabilities and stockholders’ equity</w:t>
            </w:r>
          </w:p>
        </w:tc>
        <w:tc>
          <w:tcPr>
            <w:tcW w:w="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480" w:type="dxa"/>
            <w:vAlign w:val="bottom"/>
            <w:vMerge w:val="continue"/>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7"/>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Current liabilities:</w:t>
            </w: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748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Accounts payable</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4,082</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5,055</w:t>
            </w:r>
          </w:p>
        </w:tc>
        <w:tc>
          <w:tcPr>
            <w:tcW w:w="0" w:type="dxa"/>
            <w:vAlign w:val="bottom"/>
          </w:tcPr>
          <w:p>
            <w:pPr>
              <w:spacing w:after="0"/>
              <w:rPr>
                <w:sz w:val="1"/>
                <w:szCs w:val="1"/>
                <w:color w:val="auto"/>
              </w:rPr>
            </w:pPr>
          </w:p>
        </w:tc>
      </w:tr>
      <w:tr>
        <w:trPr>
          <w:trHeight w:val="199"/>
        </w:trPr>
        <w:tc>
          <w:tcPr>
            <w:tcW w:w="7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Current portion of long-term borrowings</w:t>
            </w: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18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4,891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65,000</w:t>
            </w:r>
          </w:p>
        </w:tc>
        <w:tc>
          <w:tcPr>
            <w:tcW w:w="0" w:type="dxa"/>
            <w:vAlign w:val="bottom"/>
          </w:tcPr>
          <w:p>
            <w:pPr>
              <w:spacing w:after="0"/>
              <w:rPr>
                <w:sz w:val="1"/>
                <w:szCs w:val="1"/>
                <w:color w:val="auto"/>
              </w:rPr>
            </w:pPr>
          </w:p>
        </w:tc>
      </w:tr>
      <w:tr>
        <w:trPr>
          <w:trHeight w:val="195"/>
        </w:trPr>
        <w:tc>
          <w:tcPr>
            <w:tcW w:w="748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Deferred revenue</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12,472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12,318</w:t>
            </w:r>
          </w:p>
        </w:tc>
        <w:tc>
          <w:tcPr>
            <w:tcW w:w="0" w:type="dxa"/>
            <w:vAlign w:val="bottom"/>
          </w:tcPr>
          <w:p>
            <w:pPr>
              <w:spacing w:after="0"/>
              <w:rPr>
                <w:sz w:val="1"/>
                <w:szCs w:val="1"/>
                <w:color w:val="auto"/>
              </w:rPr>
            </w:pPr>
          </w:p>
        </w:tc>
      </w:tr>
      <w:tr>
        <w:trPr>
          <w:trHeight w:val="199"/>
        </w:trPr>
        <w:tc>
          <w:tcPr>
            <w:tcW w:w="7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Accrued employee costs</w:t>
            </w: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110,677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117,137</w:t>
            </w:r>
          </w:p>
        </w:tc>
        <w:tc>
          <w:tcPr>
            <w:tcW w:w="0" w:type="dxa"/>
            <w:vAlign w:val="bottom"/>
          </w:tcPr>
          <w:p>
            <w:pPr>
              <w:spacing w:after="0"/>
              <w:rPr>
                <w:sz w:val="1"/>
                <w:szCs w:val="1"/>
                <w:color w:val="auto"/>
              </w:rPr>
            </w:pPr>
          </w:p>
        </w:tc>
      </w:tr>
      <w:tr>
        <w:trPr>
          <w:trHeight w:val="195"/>
        </w:trPr>
        <w:tc>
          <w:tcPr>
            <w:tcW w:w="748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Accrued expenses and other current liabilities</w:t>
            </w:r>
          </w:p>
        </w:tc>
        <w:tc>
          <w:tcPr>
            <w:tcW w:w="5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105,159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114,113</w:t>
            </w:r>
          </w:p>
        </w:tc>
        <w:tc>
          <w:tcPr>
            <w:tcW w:w="0" w:type="dxa"/>
            <w:vAlign w:val="bottom"/>
          </w:tcPr>
          <w:p>
            <w:pPr>
              <w:spacing w:after="0"/>
              <w:rPr>
                <w:sz w:val="1"/>
                <w:szCs w:val="1"/>
                <w:color w:val="auto"/>
              </w:rPr>
            </w:pPr>
          </w:p>
        </w:tc>
      </w:tr>
      <w:tr>
        <w:trPr>
          <w:trHeight w:val="199"/>
        </w:trPr>
        <w:tc>
          <w:tcPr>
            <w:tcW w:w="7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Current portion of operating lease liabilities</w:t>
            </w: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21</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16,904</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12,780</w:t>
            </w:r>
          </w:p>
        </w:tc>
        <w:tc>
          <w:tcPr>
            <w:tcW w:w="0" w:type="dxa"/>
            <w:vAlign w:val="bottom"/>
          </w:tcPr>
          <w:p>
            <w:pPr>
              <w:spacing w:after="0"/>
              <w:rPr>
                <w:sz w:val="1"/>
                <w:szCs w:val="1"/>
                <w:color w:val="auto"/>
              </w:rPr>
            </w:pPr>
          </w:p>
        </w:tc>
      </w:tr>
      <w:tr>
        <w:trPr>
          <w:trHeight w:val="190"/>
        </w:trPr>
        <w:tc>
          <w:tcPr>
            <w:tcW w:w="748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Total current liabilities</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254,185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jc w:val="right"/>
              <w:ind w:right="6"/>
              <w:spacing w:after="0"/>
              <w:rPr>
                <w:sz w:val="20"/>
                <w:szCs w:val="20"/>
                <w:color w:val="auto"/>
              </w:rPr>
            </w:pPr>
            <w:r>
              <w:rPr>
                <w:rFonts w:ascii="Times New Roman" w:cs="Times New Roman" w:eastAsia="Times New Roman" w:hAnsi="Times New Roman"/>
                <w:sz w:val="15"/>
                <w:szCs w:val="15"/>
                <w:b w:val="1"/>
                <w:bCs w:val="1"/>
                <w:color w:val="auto"/>
              </w:rPr>
              <w:t>326,403</w:t>
            </w:r>
          </w:p>
        </w:tc>
        <w:tc>
          <w:tcPr>
            <w:tcW w:w="0" w:type="dxa"/>
            <w:vAlign w:val="bottom"/>
          </w:tcPr>
          <w:p>
            <w:pPr>
              <w:spacing w:after="0"/>
              <w:rPr>
                <w:sz w:val="1"/>
                <w:szCs w:val="1"/>
                <w:color w:val="auto"/>
              </w:rPr>
            </w:pPr>
          </w:p>
        </w:tc>
      </w:tr>
      <w:tr>
        <w:trPr>
          <w:trHeight w:val="197"/>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Long-term borrowings, less current portion</w:t>
            </w: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18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339,828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135,000</w:t>
            </w:r>
          </w:p>
        </w:tc>
        <w:tc>
          <w:tcPr>
            <w:tcW w:w="0" w:type="dxa"/>
            <w:vAlign w:val="bottom"/>
          </w:tcPr>
          <w:p>
            <w:pPr>
              <w:spacing w:after="0"/>
              <w:rPr>
                <w:sz w:val="1"/>
                <w:szCs w:val="1"/>
                <w:color w:val="auto"/>
              </w:rPr>
            </w:pPr>
          </w:p>
        </w:tc>
      </w:tr>
      <w:tr>
        <w:trPr>
          <w:trHeight w:val="195"/>
        </w:trPr>
        <w:tc>
          <w:tcPr>
            <w:tcW w:w="74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Operating lease liabilities, less current portion</w:t>
            </w:r>
          </w:p>
        </w:tc>
        <w:tc>
          <w:tcPr>
            <w:tcW w:w="5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21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62,336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58,175</w:t>
            </w:r>
          </w:p>
        </w:tc>
        <w:tc>
          <w:tcPr>
            <w:tcW w:w="0" w:type="dxa"/>
            <w:vAlign w:val="bottom"/>
          </w:tcPr>
          <w:p>
            <w:pPr>
              <w:spacing w:after="0"/>
              <w:rPr>
                <w:sz w:val="1"/>
                <w:szCs w:val="1"/>
                <w:color w:val="auto"/>
              </w:rPr>
            </w:pPr>
          </w:p>
        </w:tc>
      </w:tr>
      <w:tr>
        <w:trPr>
          <w:trHeight w:val="199"/>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Deferred tax liabilities, net</w:t>
            </w: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22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3,245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1,495</w:t>
            </w:r>
          </w:p>
        </w:tc>
        <w:tc>
          <w:tcPr>
            <w:tcW w:w="0" w:type="dxa"/>
            <w:vAlign w:val="bottom"/>
          </w:tcPr>
          <w:p>
            <w:pPr>
              <w:spacing w:after="0"/>
              <w:rPr>
                <w:sz w:val="1"/>
                <w:szCs w:val="1"/>
                <w:color w:val="auto"/>
              </w:rPr>
            </w:pPr>
          </w:p>
        </w:tc>
      </w:tr>
      <w:tr>
        <w:trPr>
          <w:trHeight w:val="192"/>
        </w:trPr>
        <w:tc>
          <w:tcPr>
            <w:tcW w:w="74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Other non-current liabilities</w:t>
            </w:r>
          </w:p>
        </w:tc>
        <w:tc>
          <w:tcPr>
            <w:tcW w:w="5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14</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42,675</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5"/>
                <w:szCs w:val="15"/>
                <w:color w:val="auto"/>
              </w:rPr>
              <w:t>31,462</w:t>
            </w:r>
          </w:p>
        </w:tc>
        <w:tc>
          <w:tcPr>
            <w:tcW w:w="0" w:type="dxa"/>
            <w:vAlign w:val="bottom"/>
          </w:tcPr>
          <w:p>
            <w:pPr>
              <w:spacing w:after="0"/>
              <w:rPr>
                <w:sz w:val="1"/>
                <w:szCs w:val="1"/>
                <w:color w:val="auto"/>
              </w:rPr>
            </w:pPr>
          </w:p>
        </w:tc>
      </w:tr>
      <w:tr>
        <w:trPr>
          <w:trHeight w:val="194"/>
        </w:trPr>
        <w:tc>
          <w:tcPr>
            <w:tcW w:w="7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Total liabilities</w:t>
            </w:r>
          </w:p>
        </w:tc>
        <w:tc>
          <w:tcPr>
            <w:tcW w:w="5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702,269</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5"/>
                <w:szCs w:val="15"/>
                <w:b w:val="1"/>
                <w:bCs w:val="1"/>
                <w:color w:val="auto"/>
              </w:rPr>
              <w:t>552,535</w:t>
            </w:r>
          </w:p>
        </w:tc>
        <w:tc>
          <w:tcPr>
            <w:tcW w:w="0" w:type="dxa"/>
            <w:vAlign w:val="bottom"/>
          </w:tcPr>
          <w:p>
            <w:pPr>
              <w:spacing w:after="0"/>
              <w:rPr>
                <w:sz w:val="1"/>
                <w:szCs w:val="1"/>
                <w:color w:val="auto"/>
              </w:rPr>
            </w:pPr>
          </w:p>
        </w:tc>
      </w:tr>
      <w:tr>
        <w:trPr>
          <w:trHeight w:val="177"/>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Commitments and contingencies</w:t>
            </w: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25</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74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Stockholders’ equity:</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7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Preferred stock, $0.001 par value; 15,000,000 shares authorized, none issued</w:t>
            </w: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b w:val="1"/>
                <w:bCs w:val="1"/>
                <w:color w:val="auto"/>
              </w:rPr>
              <w:t>—</w:t>
            </w: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135"/>
        </w:trPr>
        <w:tc>
          <w:tcPr>
            <w:tcW w:w="7480" w:type="dxa"/>
            <w:vAlign w:val="bottom"/>
          </w:tcPr>
          <w:p>
            <w:pPr>
              <w:ind w:left="220"/>
              <w:spacing w:after="0" w:line="135" w:lineRule="exact"/>
              <w:rPr>
                <w:sz w:val="20"/>
                <w:szCs w:val="20"/>
                <w:color w:val="auto"/>
              </w:rPr>
            </w:pPr>
            <w:r>
              <w:rPr>
                <w:rFonts w:ascii="Times New Roman" w:cs="Times New Roman" w:eastAsia="Times New Roman" w:hAnsi="Times New Roman"/>
                <w:sz w:val="14"/>
                <w:szCs w:val="14"/>
                <w:color w:val="auto"/>
              </w:rPr>
              <w:t>Common stock, $0.001 par value; 400,000,000 shares authorized, 205,317,002 shares issued and 160,880,592 shares outstanding</w:t>
            </w: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auto"/>
              </w:rPr>
              <w:t>19</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205</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vMerge w:val="restart"/>
          </w:tcPr>
          <w:p>
            <w:pPr>
              <w:jc w:val="right"/>
              <w:ind w:right="6"/>
              <w:spacing w:after="0"/>
              <w:rPr>
                <w:sz w:val="20"/>
                <w:szCs w:val="20"/>
                <w:color w:val="auto"/>
              </w:rPr>
            </w:pPr>
            <w:r>
              <w:rPr>
                <w:rFonts w:ascii="Times New Roman" w:cs="Times New Roman" w:eastAsia="Times New Roman" w:hAnsi="Times New Roman"/>
                <w:sz w:val="15"/>
                <w:szCs w:val="15"/>
                <w:color w:val="auto"/>
              </w:rPr>
              <w:t>203</w:t>
            </w:r>
          </w:p>
        </w:tc>
        <w:tc>
          <w:tcPr>
            <w:tcW w:w="0" w:type="dxa"/>
            <w:vAlign w:val="bottom"/>
          </w:tcPr>
          <w:p>
            <w:pPr>
              <w:spacing w:after="0"/>
              <w:rPr>
                <w:sz w:val="1"/>
                <w:szCs w:val="1"/>
                <w:color w:val="auto"/>
              </w:rPr>
            </w:pPr>
          </w:p>
        </w:tc>
      </w:tr>
      <w:tr>
        <w:trPr>
          <w:trHeight w:val="189"/>
        </w:trPr>
        <w:tc>
          <w:tcPr>
            <w:tcW w:w="74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as of September 30, 2024 and 203,410,038 shares issued and 165,277,880 shares outstanding as of December 31, 2023</w:t>
            </w:r>
          </w:p>
        </w:tc>
        <w:tc>
          <w:tcPr>
            <w:tcW w:w="5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7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Additional paid-in capital</w:t>
            </w: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572,430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508,028</w:t>
            </w:r>
          </w:p>
        </w:tc>
        <w:tc>
          <w:tcPr>
            <w:tcW w:w="0" w:type="dxa"/>
            <w:vAlign w:val="bottom"/>
          </w:tcPr>
          <w:p>
            <w:pPr>
              <w:spacing w:after="0"/>
              <w:rPr>
                <w:sz w:val="1"/>
                <w:szCs w:val="1"/>
                <w:color w:val="auto"/>
              </w:rPr>
            </w:pPr>
          </w:p>
        </w:tc>
      </w:tr>
      <w:tr>
        <w:trPr>
          <w:trHeight w:val="195"/>
        </w:trPr>
        <w:tc>
          <w:tcPr>
            <w:tcW w:w="748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Retained earnings</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1,231,288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1,083,663</w:t>
            </w:r>
          </w:p>
        </w:tc>
        <w:tc>
          <w:tcPr>
            <w:tcW w:w="0" w:type="dxa"/>
            <w:vAlign w:val="bottom"/>
          </w:tcPr>
          <w:p>
            <w:pPr>
              <w:spacing w:after="0"/>
              <w:rPr>
                <w:sz w:val="1"/>
                <w:szCs w:val="1"/>
                <w:color w:val="auto"/>
              </w:rPr>
            </w:pPr>
          </w:p>
        </w:tc>
      </w:tr>
      <w:tr>
        <w:trPr>
          <w:trHeight w:val="199"/>
        </w:trPr>
        <w:tc>
          <w:tcPr>
            <w:tcW w:w="7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Accumulated other comprehensive loss</w:t>
            </w: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15</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(122,593)</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(127,040)</w:t>
            </w:r>
          </w:p>
        </w:tc>
        <w:tc>
          <w:tcPr>
            <w:tcW w:w="0" w:type="dxa"/>
            <w:vAlign w:val="bottom"/>
          </w:tcPr>
          <w:p>
            <w:pPr>
              <w:spacing w:after="0"/>
              <w:rPr>
                <w:sz w:val="1"/>
                <w:szCs w:val="1"/>
                <w:color w:val="auto"/>
              </w:rPr>
            </w:pPr>
          </w:p>
        </w:tc>
      </w:tr>
      <w:tr>
        <w:trPr>
          <w:trHeight w:val="190"/>
        </w:trPr>
        <w:tc>
          <w:tcPr>
            <w:tcW w:w="7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Total including shares held in treasury</w:t>
            </w:r>
          </w:p>
        </w:tc>
        <w:tc>
          <w:tcPr>
            <w:tcW w:w="5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1,681,330</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5"/>
                <w:szCs w:val="15"/>
                <w:b w:val="1"/>
                <w:bCs w:val="1"/>
                <w:color w:val="auto"/>
              </w:rPr>
              <w:t>1,464,854</w:t>
            </w:r>
          </w:p>
        </w:tc>
        <w:tc>
          <w:tcPr>
            <w:tcW w:w="0" w:type="dxa"/>
            <w:vAlign w:val="bottom"/>
          </w:tcPr>
          <w:p>
            <w:pPr>
              <w:spacing w:after="0"/>
              <w:rPr>
                <w:sz w:val="1"/>
                <w:szCs w:val="1"/>
                <w:color w:val="auto"/>
              </w:rPr>
            </w:pPr>
          </w:p>
        </w:tc>
      </w:tr>
      <w:tr>
        <w:trPr>
          <w:trHeight w:val="190"/>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44,436,410 shares as of September 30, 2024 and 38,132,158 shares as of December 31, 2023, held in treasury, at cost</w:t>
            </w: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19</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(773,767)</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(575,417)</w:t>
            </w:r>
          </w:p>
        </w:tc>
        <w:tc>
          <w:tcPr>
            <w:tcW w:w="0" w:type="dxa"/>
            <w:vAlign w:val="bottom"/>
          </w:tcPr>
          <w:p>
            <w:pPr>
              <w:spacing w:after="0"/>
              <w:rPr>
                <w:sz w:val="1"/>
                <w:szCs w:val="1"/>
                <w:color w:val="auto"/>
              </w:rPr>
            </w:pPr>
          </w:p>
        </w:tc>
      </w:tr>
      <w:tr>
        <w:trPr>
          <w:trHeight w:val="190"/>
        </w:trPr>
        <w:tc>
          <w:tcPr>
            <w:tcW w:w="7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Total stockholders’ equity</w:t>
            </w:r>
          </w:p>
        </w:tc>
        <w:tc>
          <w:tcPr>
            <w:tcW w:w="5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907,563</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5"/>
                <w:szCs w:val="15"/>
                <w:b w:val="1"/>
                <w:bCs w:val="1"/>
                <w:color w:val="auto"/>
              </w:rPr>
              <w:t>889,437</w:t>
            </w:r>
          </w:p>
        </w:tc>
        <w:tc>
          <w:tcPr>
            <w:tcW w:w="0" w:type="dxa"/>
            <w:vAlign w:val="bottom"/>
          </w:tcPr>
          <w:p>
            <w:pPr>
              <w:spacing w:after="0"/>
              <w:rPr>
                <w:sz w:val="1"/>
                <w:szCs w:val="1"/>
                <w:color w:val="auto"/>
              </w:rPr>
            </w:pPr>
          </w:p>
        </w:tc>
      </w:tr>
      <w:tr>
        <w:trPr>
          <w:trHeight w:val="215"/>
        </w:trPr>
        <w:tc>
          <w:tcPr>
            <w:tcW w:w="7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Total liabilities and stockholders’ equity</w:t>
            </w:r>
          </w:p>
        </w:tc>
        <w:tc>
          <w:tcPr>
            <w:tcW w:w="5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1,609,832</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124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b w:val="1"/>
                <w:bCs w:val="1"/>
                <w:color w:val="auto"/>
              </w:rPr>
              <w:t>1,441,972</w:t>
            </w:r>
          </w:p>
        </w:tc>
        <w:tc>
          <w:tcPr>
            <w:tcW w:w="0" w:type="dxa"/>
            <w:vAlign w:val="bottom"/>
          </w:tcPr>
          <w:p>
            <w:pPr>
              <w:spacing w:after="0"/>
              <w:rPr>
                <w:sz w:val="1"/>
                <w:szCs w:val="1"/>
                <w:color w:val="auto"/>
              </w:rPr>
            </w:pP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i w:val="1"/>
          <w:iCs w:val="1"/>
          <w:color w:val="auto"/>
        </w:rPr>
        <w:t>See accompanying notes to unaudited consolidated financial statements.</w:t>
      </w:r>
    </w:p>
    <w:p>
      <w:pPr>
        <w:spacing w:after="0" w:line="200" w:lineRule="exact"/>
        <w:rPr>
          <w:sz w:val="20"/>
          <w:szCs w:val="20"/>
          <w:color w:val="auto"/>
        </w:rPr>
      </w:pPr>
    </w:p>
    <w:p>
      <w:pPr>
        <w:spacing w:after="0" w:line="39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20"/>
          </w:cols>
          <w:pgMar w:left="320" w:top="355" w:right="4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16"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7"/>
          <w:szCs w:val="17"/>
          <w:b w:val="1"/>
          <w:bCs w:val="1"/>
          <w:color w:val="auto"/>
        </w:rPr>
        <w:t>EXLSERVICE HOLDINGS, INC.</w:t>
      </w:r>
    </w:p>
    <w:p>
      <w:pPr>
        <w:spacing w:after="0" w:line="119"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7"/>
          <w:szCs w:val="17"/>
          <w:b w:val="1"/>
          <w:bCs w:val="1"/>
          <w:color w:val="auto"/>
        </w:rPr>
        <w:t>CONSOLIDATED STATEMENTS OF INCOME (UNAUDITED)</w:t>
      </w:r>
    </w:p>
    <w:p>
      <w:pPr>
        <w:spacing w:after="0" w:line="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(In thousands, except per share amount and share count)</w:t>
      </w:r>
    </w:p>
    <w:p>
      <w:pPr>
        <w:spacing w:after="0" w:line="266" w:lineRule="exact"/>
        <w:rPr>
          <w:sz w:val="20"/>
          <w:szCs w:val="20"/>
          <w:color w:val="auto"/>
        </w:rPr>
      </w:pPr>
    </w:p>
    <w:tbl>
      <w:tblPr>
        <w:tblLayout w:type="fixed"/>
        <w:tblInd w:w="60" w:type="dxa"/>
        <w:tblCellMar>
          <w:top w:w="0" w:type="dxa"/>
          <w:left w:w="0" w:type="dxa"/>
          <w:bottom w:w="0" w:type="dxa"/>
          <w:right w:w="0" w:type="dxa"/>
        </w:tblCellMar>
      </w:tblPr>
      <w:tr>
        <w:trPr>
          <w:trHeight w:val="185"/>
        </w:trPr>
        <w:tc>
          <w:tcPr>
            <w:tcW w:w="46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8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60" w:type="dxa"/>
            <w:vAlign w:val="bottom"/>
          </w:tcPr>
          <w:p>
            <w:pPr>
              <w:spacing w:after="0"/>
              <w:rPr>
                <w:sz w:val="16"/>
                <w:szCs w:val="16"/>
                <w:color w:val="auto"/>
              </w:rPr>
            </w:pPr>
          </w:p>
        </w:tc>
        <w:tc>
          <w:tcPr>
            <w:tcW w:w="2600" w:type="dxa"/>
            <w:vAlign w:val="bottom"/>
            <w:gridSpan w:val="4"/>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4"/>
        </w:trPr>
        <w:tc>
          <w:tcPr>
            <w:tcW w:w="462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620" w:type="dxa"/>
            <w:vAlign w:val="bottom"/>
            <w:tcBorders>
              <w:bottom w:val="single" w:sz="8" w:color="CCEEFF"/>
            </w:tcBorders>
          </w:tcPr>
          <w:p>
            <w:pPr>
              <w:spacing w:after="0"/>
              <w:rPr>
                <w:sz w:val="15"/>
                <w:szCs w:val="15"/>
                <w:color w:val="auto"/>
              </w:rPr>
            </w:pPr>
          </w:p>
        </w:tc>
        <w:tc>
          <w:tcPr>
            <w:tcW w:w="640" w:type="dxa"/>
            <w:vAlign w:val="bottom"/>
            <w:tcBorders>
              <w:top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Notes</w:t>
            </w:r>
          </w:p>
        </w:tc>
        <w:tc>
          <w:tcPr>
            <w:tcW w:w="120" w:type="dxa"/>
            <w:vAlign w:val="bottom"/>
            <w:tcBorders>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1120" w:type="dxa"/>
            <w:vAlign w:val="bottom"/>
            <w:tcBorders>
              <w:top w:val="single" w:sz="8" w:color="auto"/>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bottom w:val="single" w:sz="8" w:color="CCEEFF"/>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1120" w:type="dxa"/>
            <w:vAlign w:val="bottom"/>
            <w:tcBorders>
              <w:top w:val="single" w:sz="8" w:color="auto"/>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bottom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2"/>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Revenues, net</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3, 4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472,073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410,971</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1,356,946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1,216,610</w:t>
            </w:r>
          </w:p>
        </w:tc>
        <w:tc>
          <w:tcPr>
            <w:tcW w:w="0" w:type="dxa"/>
            <w:vAlign w:val="bottom"/>
          </w:tcPr>
          <w:p>
            <w:pPr>
              <w:spacing w:after="0"/>
              <w:rPr>
                <w:sz w:val="1"/>
                <w:szCs w:val="1"/>
                <w:color w:val="auto"/>
              </w:rPr>
            </w:pPr>
          </w:p>
        </w:tc>
      </w:tr>
      <w:tr>
        <w:trPr>
          <w:trHeight w:val="223"/>
        </w:trPr>
        <w:tc>
          <w:tcPr>
            <w:tcW w:w="4620" w:type="dxa"/>
            <w:vAlign w:val="bottom"/>
            <w:tcBorders>
              <w:bottom w:val="single" w:sz="8" w:color="CCEEFF"/>
            </w:tcBorders>
          </w:tcPr>
          <w:p>
            <w:pPr>
              <w:ind w:left="20"/>
              <w:spacing w:after="0" w:line="223" w:lineRule="exact"/>
              <w:rPr>
                <w:sz w:val="20"/>
                <w:szCs w:val="20"/>
                <w:color w:val="auto"/>
              </w:rPr>
            </w:pPr>
            <w:r>
              <w:rPr>
                <w:rFonts w:ascii="Times New Roman" w:cs="Times New Roman" w:eastAsia="Times New Roman" w:hAnsi="Times New Roman"/>
                <w:sz w:val="17"/>
                <w:szCs w:val="17"/>
                <w:color w:val="auto"/>
              </w:rPr>
              <w:t xml:space="preserve">Cost of revenues </w:t>
            </w:r>
            <w:r>
              <w:rPr>
                <w:rFonts w:ascii="Times New Roman" w:cs="Times New Roman" w:eastAsia="Times New Roman" w:hAnsi="Times New Roman"/>
                <w:sz w:val="22"/>
                <w:szCs w:val="22"/>
                <w:color w:val="auto"/>
                <w:vertAlign w:val="superscript"/>
              </w:rPr>
              <w:t>(1)</w:t>
            </w:r>
          </w:p>
        </w:tc>
        <w:tc>
          <w:tcPr>
            <w:tcW w:w="6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293,806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256,002</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849,336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760,691</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7"/>
                <w:szCs w:val="17"/>
                <w:b w:val="1"/>
                <w:bCs w:val="1"/>
                <w:color w:val="auto"/>
              </w:rPr>
              <w:t xml:space="preserve">Gross profit </w:t>
            </w:r>
            <w:r>
              <w:rPr>
                <w:rFonts w:ascii="Times New Roman" w:cs="Times New Roman" w:eastAsia="Times New Roman" w:hAnsi="Times New Roman"/>
                <w:sz w:val="22"/>
                <w:szCs w:val="22"/>
                <w:b w:val="1"/>
                <w:bCs w:val="1"/>
                <w:color w:val="auto"/>
                <w:vertAlign w:val="superscript"/>
              </w:rPr>
              <w:t>(1)</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178,267</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154,969</w:t>
            </w: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507,610</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455,919</w:t>
            </w:r>
          </w:p>
        </w:tc>
        <w:tc>
          <w:tcPr>
            <w:tcW w:w="0" w:type="dxa"/>
            <w:vAlign w:val="bottom"/>
          </w:tcPr>
          <w:p>
            <w:pPr>
              <w:spacing w:after="0"/>
              <w:rPr>
                <w:sz w:val="1"/>
                <w:szCs w:val="1"/>
                <w:color w:val="auto"/>
              </w:rPr>
            </w:pPr>
          </w:p>
        </w:tc>
      </w:tr>
      <w:tr>
        <w:trPr>
          <w:trHeight w:val="203"/>
        </w:trPr>
        <w:tc>
          <w:tcPr>
            <w:tcW w:w="4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expenses:</w:t>
            </w: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6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General and administrative expenses</w:t>
            </w: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57,495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52,213</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167,195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144,564</w:t>
            </w:r>
          </w:p>
        </w:tc>
        <w:tc>
          <w:tcPr>
            <w:tcW w:w="0" w:type="dxa"/>
            <w:vAlign w:val="bottom"/>
          </w:tcPr>
          <w:p>
            <w:pPr>
              <w:spacing w:after="0"/>
              <w:rPr>
                <w:sz w:val="1"/>
                <w:szCs w:val="1"/>
                <w:color w:val="auto"/>
              </w:rPr>
            </w:pPr>
          </w:p>
        </w:tc>
      </w:tr>
      <w:tr>
        <w:trPr>
          <w:trHeight w:val="223"/>
        </w:trPr>
        <w:tc>
          <w:tcPr>
            <w:tcW w:w="46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Selling and marketing expenses</w:t>
            </w: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37,568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30,943</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108,982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88,674</w:t>
            </w:r>
          </w:p>
        </w:tc>
        <w:tc>
          <w:tcPr>
            <w:tcW w:w="0" w:type="dxa"/>
            <w:vAlign w:val="bottom"/>
          </w:tcPr>
          <w:p>
            <w:pPr>
              <w:spacing w:after="0"/>
              <w:rPr>
                <w:sz w:val="1"/>
                <w:szCs w:val="1"/>
                <w:color w:val="auto"/>
              </w:rPr>
            </w:pPr>
          </w:p>
        </w:tc>
      </w:tr>
      <w:tr>
        <w:trPr>
          <w:trHeight w:val="223"/>
        </w:trPr>
        <w:tc>
          <w:tcPr>
            <w:tcW w:w="46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Depreciation and amortization expense</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9, 10</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13,799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11,583</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39,055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38,192</w:t>
            </w:r>
          </w:p>
        </w:tc>
        <w:tc>
          <w:tcPr>
            <w:tcW w:w="0" w:type="dxa"/>
            <w:vAlign w:val="bottom"/>
          </w:tcPr>
          <w:p>
            <w:pPr>
              <w:spacing w:after="0"/>
              <w:rPr>
                <w:sz w:val="1"/>
                <w:szCs w:val="1"/>
                <w:color w:val="auto"/>
              </w:rPr>
            </w:pPr>
          </w:p>
        </w:tc>
      </w:tr>
      <w:tr>
        <w:trPr>
          <w:trHeight w:val="216"/>
        </w:trPr>
        <w:tc>
          <w:tcPr>
            <w:tcW w:w="4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Total operating expenses</w:t>
            </w:r>
          </w:p>
        </w:tc>
        <w:tc>
          <w:tcPr>
            <w:tcW w:w="6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108,862</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94,739</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315,232</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271,430</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Income from operations</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69,405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60,230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192,378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184,489</w:t>
            </w:r>
          </w:p>
        </w:tc>
        <w:tc>
          <w:tcPr>
            <w:tcW w:w="0" w:type="dxa"/>
            <w:vAlign w:val="bottom"/>
          </w:tcPr>
          <w:p>
            <w:pPr>
              <w:spacing w:after="0"/>
              <w:rPr>
                <w:sz w:val="1"/>
                <w:szCs w:val="1"/>
                <w:color w:val="auto"/>
              </w:rPr>
            </w:pPr>
          </w:p>
        </w:tc>
      </w:tr>
      <w:tr>
        <w:trPr>
          <w:trHeight w:val="223"/>
        </w:trPr>
        <w:tc>
          <w:tcPr>
            <w:tcW w:w="4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Foreign exchange gain, net</w:t>
            </w: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409</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838</w:t>
            </w:r>
          </w:p>
        </w:tc>
        <w:tc>
          <w:tcPr>
            <w:tcW w:w="0" w:type="dxa"/>
            <w:vAlign w:val="bottom"/>
          </w:tcPr>
          <w:p>
            <w:pPr>
              <w:spacing w:after="0"/>
              <w:rPr>
                <w:sz w:val="1"/>
                <w:szCs w:val="1"/>
                <w:color w:val="auto"/>
              </w:rPr>
            </w:pPr>
          </w:p>
        </w:tc>
      </w:tr>
      <w:tr>
        <w:trPr>
          <w:trHeight w:val="223"/>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expense</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(5,526)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(3,405)</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(14,145)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(10,030)</w:t>
            </w:r>
          </w:p>
        </w:tc>
        <w:tc>
          <w:tcPr>
            <w:tcW w:w="0" w:type="dxa"/>
            <w:vAlign w:val="bottom"/>
          </w:tcPr>
          <w:p>
            <w:pPr>
              <w:spacing w:after="0"/>
              <w:rPr>
                <w:sz w:val="1"/>
                <w:szCs w:val="1"/>
                <w:color w:val="auto"/>
              </w:rPr>
            </w:pPr>
          </w:p>
        </w:tc>
      </w:tr>
      <w:tr>
        <w:trPr>
          <w:trHeight w:val="223"/>
        </w:trPr>
        <w:tc>
          <w:tcPr>
            <w:tcW w:w="4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 income, net</w:t>
            </w:r>
          </w:p>
        </w:tc>
        <w:tc>
          <w:tcPr>
            <w:tcW w:w="64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7"/>
                <w:szCs w:val="17"/>
                <w:color w:val="auto"/>
              </w:rPr>
              <w:t>6</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4,374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778</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11,876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6,594</w:t>
            </w:r>
          </w:p>
        </w:tc>
        <w:tc>
          <w:tcPr>
            <w:tcW w:w="0" w:type="dxa"/>
            <w:vAlign w:val="bottom"/>
          </w:tcPr>
          <w:p>
            <w:pPr>
              <w:spacing w:after="0"/>
              <w:rPr>
                <w:sz w:val="1"/>
                <w:szCs w:val="1"/>
                <w:color w:val="auto"/>
              </w:rPr>
            </w:pPr>
          </w:p>
        </w:tc>
      </w:tr>
      <w:tr>
        <w:trPr>
          <w:trHeight w:val="150"/>
        </w:trPr>
        <w:tc>
          <w:tcPr>
            <w:tcW w:w="4620" w:type="dxa"/>
            <w:vAlign w:val="bottom"/>
            <w:shd w:val="clear" w:color="auto" w:fill="CCEEFF"/>
          </w:tcPr>
          <w:p>
            <w:pPr>
              <w:ind w:left="20"/>
              <w:spacing w:after="0" w:line="150" w:lineRule="exact"/>
              <w:rPr>
                <w:sz w:val="20"/>
                <w:szCs w:val="20"/>
                <w:color w:val="auto"/>
              </w:rPr>
            </w:pPr>
            <w:r>
              <w:rPr>
                <w:rFonts w:ascii="Times New Roman" w:cs="Times New Roman" w:eastAsia="Times New Roman" w:hAnsi="Times New Roman"/>
                <w:sz w:val="17"/>
                <w:szCs w:val="17"/>
                <w:b w:val="1"/>
                <w:bCs w:val="1"/>
                <w:color w:val="auto"/>
              </w:rPr>
              <w:t>Income before income tax expense and earnings from equity</w:t>
            </w: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68,531</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58,012</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190,782</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181,891</w:t>
            </w:r>
          </w:p>
        </w:tc>
        <w:tc>
          <w:tcPr>
            <w:tcW w:w="0" w:type="dxa"/>
            <w:vAlign w:val="bottom"/>
          </w:tcPr>
          <w:p>
            <w:pPr>
              <w:spacing w:after="0"/>
              <w:rPr>
                <w:sz w:val="1"/>
                <w:szCs w:val="1"/>
                <w:color w:val="auto"/>
              </w:rPr>
            </w:pPr>
          </w:p>
        </w:tc>
      </w:tr>
      <w:tr>
        <w:trPr>
          <w:trHeight w:val="236"/>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affiliates</w:t>
            </w:r>
          </w:p>
        </w:tc>
        <w:tc>
          <w:tcPr>
            <w:tcW w:w="6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2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8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2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0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Income tax expense</w:t>
            </w:r>
          </w:p>
        </w:tc>
        <w:tc>
          <w:tcPr>
            <w:tcW w:w="64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7"/>
                <w:szCs w:val="17"/>
                <w:color w:val="auto"/>
              </w:rPr>
              <w:t>22</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15,460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14,161</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43,086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37,773</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Income before earnings from equity affiliates</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53,071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43,851</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147,696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144,118</w:t>
            </w:r>
          </w:p>
        </w:tc>
        <w:tc>
          <w:tcPr>
            <w:tcW w:w="0" w:type="dxa"/>
            <w:vAlign w:val="bottom"/>
          </w:tcPr>
          <w:p>
            <w:pPr>
              <w:spacing w:after="0"/>
              <w:rPr>
                <w:sz w:val="1"/>
                <w:szCs w:val="1"/>
                <w:color w:val="auto"/>
              </w:rPr>
            </w:pPr>
          </w:p>
        </w:tc>
      </w:tr>
      <w:tr>
        <w:trPr>
          <w:trHeight w:val="223"/>
        </w:trPr>
        <w:tc>
          <w:tcPr>
            <w:tcW w:w="4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Gain/(loss) from equity-method investment</w:t>
            </w:r>
          </w:p>
        </w:tc>
        <w:tc>
          <w:tcPr>
            <w:tcW w:w="6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157</w:t>
            </w:r>
          </w:p>
        </w:tc>
        <w:tc>
          <w:tcPr>
            <w:tcW w:w="0" w:type="dxa"/>
            <w:vAlign w:val="bottom"/>
          </w:tcPr>
          <w:p>
            <w:pPr>
              <w:spacing w:after="0"/>
              <w:rPr>
                <w:sz w:val="1"/>
                <w:szCs w:val="1"/>
                <w:color w:val="auto"/>
              </w:rPr>
            </w:pPr>
          </w:p>
        </w:tc>
      </w:tr>
      <w:tr>
        <w:trPr>
          <w:trHeight w:val="241"/>
        </w:trPr>
        <w:tc>
          <w:tcPr>
            <w:tcW w:w="4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Net income</w:t>
            </w:r>
          </w:p>
        </w:tc>
        <w:tc>
          <w:tcPr>
            <w:tcW w:w="6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53,037</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43,876</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147,625</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144,275</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Earnings per share:</w:t>
            </w:r>
          </w:p>
        </w:tc>
        <w:tc>
          <w:tcPr>
            <w:tcW w:w="640" w:type="dxa"/>
            <w:vAlign w:val="bottom"/>
            <w:tcBorders>
              <w:top w:val="single" w:sz="8" w:color="CCEEFF"/>
              <w:bottom w:val="single" w:sz="8" w:color="CCEEFF"/>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5</w:t>
            </w: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62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6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Basic</w:t>
            </w: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0.26</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0.90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0.87</w:t>
            </w:r>
          </w:p>
        </w:tc>
        <w:tc>
          <w:tcPr>
            <w:tcW w:w="0" w:type="dxa"/>
            <w:vAlign w:val="bottom"/>
          </w:tcPr>
          <w:p>
            <w:pPr>
              <w:spacing w:after="0"/>
              <w:rPr>
                <w:sz w:val="1"/>
                <w:szCs w:val="1"/>
                <w:color w:val="auto"/>
              </w:rPr>
            </w:pPr>
          </w:p>
        </w:tc>
      </w:tr>
      <w:tr>
        <w:trPr>
          <w:trHeight w:val="223"/>
        </w:trPr>
        <w:tc>
          <w:tcPr>
            <w:tcW w:w="46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Diluted</w:t>
            </w: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0.33</w:t>
            </w:r>
          </w:p>
        </w:tc>
        <w:tc>
          <w:tcPr>
            <w:tcW w:w="100" w:type="dxa"/>
            <w:vAlign w:val="bottom"/>
          </w:tcPr>
          <w:p>
            <w:pPr>
              <w:spacing w:after="0"/>
              <w:rPr>
                <w:sz w:val="19"/>
                <w:szCs w:val="19"/>
                <w:color w:val="auto"/>
              </w:rPr>
            </w:pPr>
          </w:p>
        </w:tc>
        <w:tc>
          <w:tcPr>
            <w:tcW w:w="30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0.26</w:t>
            </w:r>
          </w:p>
        </w:tc>
        <w:tc>
          <w:tcPr>
            <w:tcW w:w="80" w:type="dxa"/>
            <w:vAlign w:val="bottom"/>
          </w:tcPr>
          <w:p>
            <w:pPr>
              <w:spacing w:after="0"/>
              <w:rPr>
                <w:sz w:val="19"/>
                <w:szCs w:val="19"/>
                <w:color w:val="auto"/>
              </w:rPr>
            </w:pPr>
          </w:p>
        </w:tc>
        <w:tc>
          <w:tcPr>
            <w:tcW w:w="26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0.90</w:t>
            </w:r>
          </w:p>
        </w:tc>
        <w:tc>
          <w:tcPr>
            <w:tcW w:w="100" w:type="dxa"/>
            <w:vAlign w:val="bottom"/>
          </w:tcPr>
          <w:p>
            <w:pPr>
              <w:spacing w:after="0"/>
              <w:rPr>
                <w:sz w:val="19"/>
                <w:szCs w:val="19"/>
                <w:color w:val="auto"/>
              </w:rPr>
            </w:pPr>
          </w:p>
        </w:tc>
        <w:tc>
          <w:tcPr>
            <w:tcW w:w="28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0.86</w:t>
            </w:r>
          </w:p>
        </w:tc>
        <w:tc>
          <w:tcPr>
            <w:tcW w:w="0" w:type="dxa"/>
            <w:vAlign w:val="bottom"/>
          </w:tcPr>
          <w:p>
            <w:pPr>
              <w:spacing w:after="0"/>
              <w:rPr>
                <w:sz w:val="1"/>
                <w:szCs w:val="1"/>
                <w:color w:val="auto"/>
              </w:rPr>
            </w:pPr>
          </w:p>
        </w:tc>
      </w:tr>
      <w:tr>
        <w:trPr>
          <w:trHeight w:val="170"/>
        </w:trPr>
        <w:tc>
          <w:tcPr>
            <w:tcW w:w="4620" w:type="dxa"/>
            <w:vAlign w:val="bottom"/>
            <w:shd w:val="clear" w:color="auto" w:fill="CCEEFF"/>
          </w:tcPr>
          <w:p>
            <w:pPr>
              <w:ind w:left="20"/>
              <w:spacing w:after="0" w:line="171" w:lineRule="exact"/>
              <w:rPr>
                <w:sz w:val="20"/>
                <w:szCs w:val="20"/>
                <w:color w:val="auto"/>
              </w:rPr>
            </w:pPr>
            <w:r>
              <w:rPr>
                <w:rFonts w:ascii="Times New Roman" w:cs="Times New Roman" w:eastAsia="Times New Roman" w:hAnsi="Times New Roman"/>
                <w:sz w:val="17"/>
                <w:szCs w:val="17"/>
                <w:color w:val="auto"/>
              </w:rPr>
              <w:t>Weighted average number of shares used in computing earnings</w:t>
            </w: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per share:</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5</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6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Basic</w:t>
            </w: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161,732,872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166,159,619</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163,197,767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166,707,599</w:t>
            </w:r>
          </w:p>
        </w:tc>
        <w:tc>
          <w:tcPr>
            <w:tcW w:w="0" w:type="dxa"/>
            <w:vAlign w:val="bottom"/>
          </w:tcPr>
          <w:p>
            <w:pPr>
              <w:spacing w:after="0"/>
              <w:rPr>
                <w:sz w:val="1"/>
                <w:szCs w:val="1"/>
                <w:color w:val="auto"/>
              </w:rPr>
            </w:pPr>
          </w:p>
        </w:tc>
      </w:tr>
      <w:tr>
        <w:trPr>
          <w:trHeight w:val="223"/>
        </w:trPr>
        <w:tc>
          <w:tcPr>
            <w:tcW w:w="46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Diluted</w:t>
            </w: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163,187,733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167,688,374</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164,620,081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168,591,612</w:t>
            </w:r>
          </w:p>
        </w:tc>
        <w:tc>
          <w:tcPr>
            <w:tcW w:w="0" w:type="dxa"/>
            <w:vAlign w:val="bottom"/>
          </w:tcPr>
          <w:p>
            <w:pPr>
              <w:spacing w:after="0"/>
              <w:rPr>
                <w:sz w:val="1"/>
                <w:szCs w:val="1"/>
                <w:color w:val="auto"/>
              </w:rPr>
            </w:pPr>
          </w:p>
        </w:tc>
      </w:tr>
    </w:tbl>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(1) Exclusive of depreciation and amortization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i w:val="1"/>
          <w:iCs w:val="1"/>
          <w:color w:val="auto"/>
        </w:rPr>
        <w:t>See accompanying notes to unaudited consolidated financial statements.</w:t>
      </w: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355" w:right="3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55"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7"/>
          <w:szCs w:val="17"/>
          <w:b w:val="1"/>
          <w:bCs w:val="1"/>
          <w:color w:val="auto"/>
        </w:rPr>
        <w:t>EXLSERVICE HOLDINGS, INC.</w:t>
      </w:r>
    </w:p>
    <w:p>
      <w:pPr>
        <w:spacing w:after="0" w:line="119"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7"/>
          <w:szCs w:val="17"/>
          <w:b w:val="1"/>
          <w:bCs w:val="1"/>
          <w:color w:val="auto"/>
        </w:rPr>
        <w:t>CONSOLIDATED STATEMENTS OF COMPREHENSIVE INCOME (UNAUDITED)</w:t>
      </w:r>
    </w:p>
    <w:p>
      <w:pPr>
        <w:spacing w:after="0" w:line="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(In thousands)</w:t>
      </w:r>
    </w:p>
    <w:p>
      <w:pPr>
        <w:spacing w:after="0" w:line="121" w:lineRule="exact"/>
        <w:rPr>
          <w:sz w:val="20"/>
          <w:szCs w:val="20"/>
          <w:color w:val="auto"/>
        </w:rPr>
      </w:pPr>
    </w:p>
    <w:tbl>
      <w:tblPr>
        <w:tblLayout w:type="fixed"/>
        <w:tblInd w:w="160" w:type="dxa"/>
        <w:tblCellMar>
          <w:top w:w="0" w:type="dxa"/>
          <w:left w:w="0" w:type="dxa"/>
          <w:bottom w:w="0" w:type="dxa"/>
          <w:right w:w="0" w:type="dxa"/>
        </w:tblCellMar>
      </w:tblPr>
      <w:tr>
        <w:trPr>
          <w:trHeight w:val="185"/>
        </w:trPr>
        <w:tc>
          <w:tcPr>
            <w:tcW w:w="44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8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60" w:type="dxa"/>
            <w:vAlign w:val="bottom"/>
          </w:tcPr>
          <w:p>
            <w:pPr>
              <w:spacing w:after="0"/>
              <w:rPr>
                <w:sz w:val="16"/>
                <w:szCs w:val="16"/>
                <w:color w:val="auto"/>
              </w:rPr>
            </w:pPr>
          </w:p>
        </w:tc>
        <w:tc>
          <w:tcPr>
            <w:tcW w:w="2620" w:type="dxa"/>
            <w:vAlign w:val="bottom"/>
            <w:gridSpan w:val="4"/>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4"/>
        </w:trPr>
        <w:tc>
          <w:tcPr>
            <w:tcW w:w="440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184"/>
        </w:trPr>
        <w:tc>
          <w:tcPr>
            <w:tcW w:w="4400" w:type="dxa"/>
            <w:vAlign w:val="bottom"/>
            <w:tcBorders>
              <w:bottom w:val="single" w:sz="8" w:color="CCEEFF"/>
            </w:tcBorders>
          </w:tcPr>
          <w:p>
            <w:pPr>
              <w:spacing w:after="0"/>
              <w:rPr>
                <w:sz w:val="15"/>
                <w:szCs w:val="15"/>
                <w:color w:val="auto"/>
              </w:rPr>
            </w:pPr>
          </w:p>
        </w:tc>
        <w:tc>
          <w:tcPr>
            <w:tcW w:w="6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Notes</w:t>
            </w:r>
          </w:p>
        </w:tc>
        <w:tc>
          <w:tcPr>
            <w:tcW w:w="100" w:type="dxa"/>
            <w:vAlign w:val="bottom"/>
            <w:tcBorders>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bottom w:val="single" w:sz="8" w:color="CCEEFF"/>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1140" w:type="dxa"/>
            <w:vAlign w:val="bottom"/>
            <w:tcBorders>
              <w:top w:val="single" w:sz="8" w:color="auto"/>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top w:val="single" w:sz="8" w:color="auto"/>
              <w:bottom w:val="single" w:sz="8" w:color="CCEEFF"/>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2"/>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53,037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43,876</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147,625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144,275</w:t>
            </w:r>
          </w:p>
        </w:tc>
      </w:tr>
      <w:tr>
        <w:trPr>
          <w:trHeight w:val="209"/>
        </w:trPr>
        <w:tc>
          <w:tcPr>
            <w:tcW w:w="440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Other comprehensive income/(loss):</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24"/>
        </w:trPr>
        <w:tc>
          <w:tcPr>
            <w:tcW w:w="44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Unrealized gain/(loss) on cash flow hedges</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10,097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(7,903)</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7,257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8,242</w:t>
            </w:r>
          </w:p>
        </w:tc>
      </w:tr>
      <w:tr>
        <w:trPr>
          <w:trHeight w:val="223"/>
        </w:trPr>
        <w:tc>
          <w:tcPr>
            <w:tcW w:w="44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Currency translation adjustments</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5,770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(7,782)</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(483)</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(2,605)</w:t>
            </w:r>
          </w:p>
        </w:tc>
      </w:tr>
      <w:tr>
        <w:trPr>
          <w:trHeight w:val="210"/>
        </w:trPr>
        <w:tc>
          <w:tcPr>
            <w:tcW w:w="4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Reclassification adjustments:</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23"/>
        </w:trPr>
        <w:tc>
          <w:tcPr>
            <w:tcW w:w="4400" w:type="dxa"/>
            <w:vAlign w:val="bottom"/>
          </w:tcPr>
          <w:p>
            <w:pPr>
              <w:ind w:left="320"/>
              <w:spacing w:after="0" w:line="223" w:lineRule="exact"/>
              <w:rPr>
                <w:sz w:val="20"/>
                <w:szCs w:val="20"/>
                <w:color w:val="auto"/>
              </w:rPr>
            </w:pPr>
            <w:r>
              <w:rPr>
                <w:rFonts w:ascii="Times New Roman" w:cs="Times New Roman" w:eastAsia="Times New Roman" w:hAnsi="Times New Roman"/>
                <w:sz w:val="16"/>
                <w:szCs w:val="16"/>
                <w:color w:val="auto"/>
              </w:rPr>
              <w:t xml:space="preserve">(Gain)/loss on cash flow hedges </w:t>
            </w:r>
            <w:r>
              <w:rPr>
                <w:rFonts w:ascii="Times New Roman" w:cs="Times New Roman" w:eastAsia="Times New Roman" w:hAnsi="Times New Roman"/>
                <w:sz w:val="20"/>
                <w:szCs w:val="20"/>
                <w:color w:val="auto"/>
                <w:vertAlign w:val="superscript"/>
              </w:rPr>
              <w:t>(1)</w:t>
            </w:r>
          </w:p>
        </w:tc>
        <w:tc>
          <w:tcPr>
            <w:tcW w:w="6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4,261</w:t>
            </w:r>
          </w:p>
        </w:tc>
      </w:tr>
      <w:tr>
        <w:trPr>
          <w:trHeight w:val="223"/>
        </w:trPr>
        <w:tc>
          <w:tcPr>
            <w:tcW w:w="4400" w:type="dxa"/>
            <w:vAlign w:val="bottom"/>
            <w:shd w:val="clear" w:color="auto" w:fill="CCEEFF"/>
          </w:tcPr>
          <w:p>
            <w:pPr>
              <w:ind w:left="320"/>
              <w:spacing w:after="0" w:line="223" w:lineRule="exact"/>
              <w:rPr>
                <w:sz w:val="20"/>
                <w:szCs w:val="20"/>
                <w:color w:val="auto"/>
              </w:rPr>
            </w:pPr>
            <w:r>
              <w:rPr>
                <w:rFonts w:ascii="Times New Roman" w:cs="Times New Roman" w:eastAsia="Times New Roman" w:hAnsi="Times New Roman"/>
                <w:sz w:val="16"/>
                <w:szCs w:val="16"/>
                <w:color w:val="auto"/>
              </w:rPr>
              <w:t xml:space="preserve">Retirement benefits </w:t>
            </w:r>
            <w:r>
              <w:rPr>
                <w:rFonts w:ascii="Times New Roman" w:cs="Times New Roman" w:eastAsia="Times New Roman" w:hAnsi="Times New Roman"/>
                <w:sz w:val="20"/>
                <w:szCs w:val="20"/>
                <w:color w:val="auto"/>
                <w:vertAlign w:val="superscript"/>
              </w:rPr>
              <w:t>(2)</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w:t>
            </w:r>
          </w:p>
        </w:tc>
      </w:tr>
      <w:tr>
        <w:trPr>
          <w:trHeight w:val="223"/>
        </w:trPr>
        <w:tc>
          <w:tcPr>
            <w:tcW w:w="4400" w:type="dxa"/>
            <w:vAlign w:val="bottom"/>
            <w:tcBorders>
              <w:bottom w:val="single" w:sz="8" w:color="CCEEFF"/>
            </w:tcBorders>
          </w:tcPr>
          <w:p>
            <w:pPr>
              <w:ind w:left="140"/>
              <w:spacing w:after="0" w:line="223" w:lineRule="exact"/>
              <w:rPr>
                <w:sz w:val="20"/>
                <w:szCs w:val="20"/>
                <w:color w:val="auto"/>
              </w:rPr>
            </w:pPr>
            <w:r>
              <w:rPr>
                <w:rFonts w:ascii="Times New Roman" w:cs="Times New Roman" w:eastAsia="Times New Roman" w:hAnsi="Times New Roman"/>
                <w:sz w:val="16"/>
                <w:szCs w:val="16"/>
                <w:b w:val="1"/>
                <w:bCs w:val="1"/>
                <w:color w:val="auto"/>
              </w:rPr>
              <w:t xml:space="preserve">Income tax effects relating to above </w:t>
            </w:r>
            <w:r>
              <w:rPr>
                <w:rFonts w:ascii="Times New Roman" w:cs="Times New Roman" w:eastAsia="Times New Roman" w:hAnsi="Times New Roman"/>
                <w:sz w:val="20"/>
                <w:szCs w:val="20"/>
                <w:b w:val="1"/>
                <w:bCs w:val="1"/>
                <w:color w:val="auto"/>
                <w:vertAlign w:val="superscript"/>
              </w:rPr>
              <w:t>(3)</w:t>
            </w:r>
          </w:p>
        </w:tc>
        <w:tc>
          <w:tcPr>
            <w:tcW w:w="66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7"/>
                <w:szCs w:val="17"/>
                <w:color w:val="auto"/>
              </w:rPr>
              <w:t>22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(1,317)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3,017</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(1,022)</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(2,490)</w:t>
            </w:r>
          </w:p>
        </w:tc>
      </w:tr>
      <w:tr>
        <w:trPr>
          <w:trHeight w:val="216"/>
        </w:trPr>
        <w:tc>
          <w:tcPr>
            <w:tcW w:w="44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b w:val="1"/>
                <w:bCs w:val="1"/>
                <w:color w:val="auto"/>
              </w:rPr>
              <w:t>Total other comprehensive income/(loss)</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13,515</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(12,658)</w:t>
            </w: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4,447</w:t>
            </w: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7,338</w:t>
            </w:r>
          </w:p>
        </w:tc>
      </w:tr>
      <w:tr>
        <w:trPr>
          <w:trHeight w:val="216"/>
        </w:trPr>
        <w:tc>
          <w:tcPr>
            <w:tcW w:w="44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comprehensive income</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66,552</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31,218</w:t>
            </w:r>
          </w:p>
        </w:tc>
        <w:tc>
          <w:tcPr>
            <w:tcW w:w="80" w:type="dxa"/>
            <w:vAlign w:val="bottom"/>
          </w:tcPr>
          <w:p>
            <w:pPr>
              <w:spacing w:after="0"/>
              <w:rPr>
                <w:sz w:val="18"/>
                <w:szCs w:val="18"/>
                <w:color w:val="auto"/>
              </w:rPr>
            </w:pPr>
          </w:p>
        </w:tc>
        <w:tc>
          <w:tcPr>
            <w:tcW w:w="26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152,072</w:t>
            </w:r>
          </w:p>
        </w:tc>
        <w:tc>
          <w:tcPr>
            <w:tcW w:w="80" w:type="dxa"/>
            <w:vAlign w:val="bottom"/>
          </w:tcPr>
          <w:p>
            <w:pPr>
              <w:spacing w:after="0"/>
              <w:rPr>
                <w:sz w:val="18"/>
                <w:szCs w:val="18"/>
                <w:color w:val="auto"/>
              </w:rPr>
            </w:pPr>
          </w:p>
        </w:tc>
        <w:tc>
          <w:tcPr>
            <w:tcW w:w="34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151,613</w:t>
            </w:r>
          </w:p>
        </w:tc>
      </w:tr>
      <w:tr>
        <w:trPr>
          <w:trHeight w:val="20"/>
        </w:trPr>
        <w:tc>
          <w:tcPr>
            <w:tcW w:w="4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560" w:hanging="555"/>
        <w:spacing w:after="0" w:line="271" w:lineRule="auto"/>
        <w:tabs>
          <w:tab w:leader="none" w:pos="552" w:val="left"/>
        </w:tabs>
        <w:numPr>
          <w:ilvl w:val="0"/>
          <w:numId w:val="3"/>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6"/>
          <w:szCs w:val="16"/>
          <w:i w:val="1"/>
          <w:iCs w:val="1"/>
          <w:color w:val="auto"/>
        </w:rPr>
        <w:t>These are reclassified to net income and are included in cost of revenues, operating expenses and interest expense, as applicable in the unaudited consolidated statements of income.</w:t>
      </w:r>
    </w:p>
    <w:p>
      <w:pPr>
        <w:spacing w:after="0" w:line="187" w:lineRule="exact"/>
        <w:rPr>
          <w:rFonts w:ascii="Times New Roman" w:cs="Times New Roman" w:eastAsia="Times New Roman" w:hAnsi="Times New Roman"/>
          <w:sz w:val="14"/>
          <w:szCs w:val="14"/>
          <w:i w:val="1"/>
          <w:iCs w:val="1"/>
          <w:color w:val="auto"/>
        </w:rPr>
      </w:pPr>
    </w:p>
    <w:p>
      <w:pPr>
        <w:ind w:left="540" w:hanging="535"/>
        <w:spacing w:after="0"/>
        <w:tabs>
          <w:tab w:leader="none" w:pos="540" w:val="left"/>
        </w:tabs>
        <w:numPr>
          <w:ilvl w:val="0"/>
          <w:numId w:val="3"/>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6"/>
          <w:szCs w:val="16"/>
          <w:i w:val="1"/>
          <w:iCs w:val="1"/>
          <w:color w:val="auto"/>
        </w:rPr>
        <w:t>These are reclassified to net income and are included in other income, net in the unaudited consolidated statements of income.</w:t>
      </w:r>
    </w:p>
    <w:p>
      <w:pPr>
        <w:spacing w:after="0" w:line="222" w:lineRule="exact"/>
        <w:rPr>
          <w:rFonts w:ascii="Times New Roman" w:cs="Times New Roman" w:eastAsia="Times New Roman" w:hAnsi="Times New Roman"/>
          <w:sz w:val="14"/>
          <w:szCs w:val="14"/>
          <w:i w:val="1"/>
          <w:iCs w:val="1"/>
          <w:color w:val="auto"/>
        </w:rPr>
      </w:pPr>
    </w:p>
    <w:p>
      <w:pPr>
        <w:ind w:left="540" w:hanging="535"/>
        <w:spacing w:after="0"/>
        <w:tabs>
          <w:tab w:leader="none" w:pos="540" w:val="left"/>
        </w:tabs>
        <w:numPr>
          <w:ilvl w:val="0"/>
          <w:numId w:val="3"/>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6"/>
          <w:szCs w:val="16"/>
          <w:i w:val="1"/>
          <w:iCs w:val="1"/>
          <w:color w:val="auto"/>
        </w:rPr>
        <w:t>These are income tax effects recognized on cash flow hedges, retirement benefits and currency translation adjustments.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See accompanying notes to unaudited consolidated financial statements.</w:t>
      </w: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EXLSERVICE HOLDINGS, INC.</w:t>
      </w:r>
    </w:p>
    <w:p>
      <w:pPr>
        <w:spacing w:after="0" w:line="34"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7"/>
          <w:szCs w:val="17"/>
          <w:b w:val="1"/>
          <w:bCs w:val="1"/>
          <w:color w:val="auto"/>
        </w:rPr>
        <w:t>CONSOLIDATED STATEMENTS OF STOCKHOLDERS’ EQUITY (UNAUDITED)</w:t>
      </w:r>
    </w:p>
    <w:p>
      <w:pPr>
        <w:spacing w:after="0" w:line="3"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7"/>
          <w:szCs w:val="17"/>
          <w:b w:val="1"/>
          <w:bCs w:val="1"/>
          <w:color w:val="auto"/>
        </w:rPr>
        <w:t>For the three months ended September 30, 2024 and 2023</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share count)</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80" w:type="dxa"/>
            <w:vAlign w:val="bottom"/>
            <w:gridSpan w:val="5"/>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20" w:type="dxa"/>
            <w:vAlign w:val="bottom"/>
          </w:tcPr>
          <w:p>
            <w:pPr>
              <w:spacing w:after="0"/>
              <w:rPr>
                <w:sz w:val="13"/>
                <w:szCs w:val="13"/>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2120" w:type="dxa"/>
            <w:vAlign w:val="bottom"/>
            <w:gridSpan w:val="5"/>
            <w:vMerge w:val="restart"/>
          </w:tcPr>
          <w:p>
            <w:pPr>
              <w:ind w:left="54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4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80" w:type="dxa"/>
            <w:vAlign w:val="bottom"/>
            <w:gridSpan w:val="5"/>
            <w:vMerge w:val="continue"/>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gridSpan w:val="2"/>
            <w:vMerge w:val="restart"/>
          </w:tcPr>
          <w:p>
            <w:pPr>
              <w:jc w:val="center"/>
              <w:ind w:right="200"/>
              <w:spacing w:after="0" w:line="123" w:lineRule="exact"/>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9"/>
                <w:szCs w:val="9"/>
                <w:color w:val="auto"/>
              </w:rPr>
            </w:pPr>
          </w:p>
        </w:tc>
        <w:tc>
          <w:tcPr>
            <w:tcW w:w="840" w:type="dxa"/>
            <w:vAlign w:val="bottom"/>
            <w:gridSpan w:val="2"/>
            <w:vMerge w:val="restart"/>
          </w:tcPr>
          <w:p>
            <w:pPr>
              <w:ind w:left="40"/>
              <w:spacing w:after="0" w:line="123"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140" w:type="dxa"/>
            <w:vAlign w:val="bottom"/>
          </w:tcPr>
          <w:p>
            <w:pPr>
              <w:spacing w:after="0"/>
              <w:rPr>
                <w:sz w:val="9"/>
                <w:szCs w:val="9"/>
                <w:color w:val="auto"/>
              </w:rPr>
            </w:pPr>
          </w:p>
        </w:tc>
        <w:tc>
          <w:tcPr>
            <w:tcW w:w="1260" w:type="dxa"/>
            <w:vAlign w:val="bottom"/>
            <w:gridSpan w:val="2"/>
            <w:vMerge w:val="restart"/>
          </w:tcPr>
          <w:p>
            <w:pPr>
              <w:jc w:val="center"/>
              <w:ind w:right="260"/>
              <w:spacing w:after="0" w:line="123" w:lineRule="exact"/>
              <w:rPr>
                <w:sz w:val="20"/>
                <w:szCs w:val="20"/>
                <w:color w:val="auto"/>
              </w:rPr>
            </w:pPr>
            <w:r>
              <w:rPr>
                <w:rFonts w:ascii="Times New Roman" w:cs="Times New Roman" w:eastAsia="Times New Roman" w:hAnsi="Times New Roman"/>
                <w:sz w:val="14"/>
                <w:szCs w:val="14"/>
                <w:b w:val="1"/>
                <w:bCs w:val="1"/>
                <w:color w:val="auto"/>
                <w:w w:val="98"/>
              </w:rPr>
              <w:t>Comprehensive</w:t>
            </w:r>
          </w:p>
        </w:tc>
        <w:tc>
          <w:tcPr>
            <w:tcW w:w="2120" w:type="dxa"/>
            <w:vAlign w:val="bottom"/>
            <w:gridSpan w:val="5"/>
            <w:vMerge w:val="continue"/>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
        </w:trPr>
        <w:tc>
          <w:tcPr>
            <w:tcW w:w="2400" w:type="dxa"/>
            <w:vAlign w:val="bottom"/>
          </w:tcPr>
          <w:p>
            <w:pPr>
              <w:spacing w:after="0"/>
              <w:rPr>
                <w:sz w:val="2"/>
                <w:szCs w:val="2"/>
                <w:color w:val="auto"/>
              </w:rPr>
            </w:pPr>
          </w:p>
        </w:tc>
        <w:tc>
          <w:tcPr>
            <w:tcW w:w="6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Notes</w:t>
            </w: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gridSpan w:val="2"/>
            <w:vMerge w:val="continue"/>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vMerge w:val="restart"/>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5"/>
        </w:trPr>
        <w:tc>
          <w:tcPr>
            <w:tcW w:w="240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104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6"/>
                <w:szCs w:val="16"/>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6"/>
                <w:szCs w:val="16"/>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40" w:type="dxa"/>
            <w:vAlign w:val="bottom"/>
          </w:tcPr>
          <w:p>
            <w:pPr>
              <w:spacing w:after="0"/>
              <w:rPr>
                <w:sz w:val="16"/>
                <w:szCs w:val="16"/>
                <w:color w:val="auto"/>
              </w:rPr>
            </w:pPr>
          </w:p>
        </w:tc>
        <w:tc>
          <w:tcPr>
            <w:tcW w:w="8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40" w:type="dxa"/>
            <w:vAlign w:val="bottom"/>
          </w:tcPr>
          <w:p>
            <w:pPr>
              <w:spacing w:after="0"/>
              <w:rPr>
                <w:sz w:val="16"/>
                <w:szCs w:val="16"/>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Income/(loss)</w:t>
            </w:r>
          </w:p>
        </w:tc>
        <w:tc>
          <w:tcPr>
            <w:tcW w:w="108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6"/>
                <w:szCs w:val="16"/>
                <w:color w:val="auto"/>
              </w:rPr>
            </w:pP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June 30, 2024</w:t>
            </w:r>
          </w:p>
        </w:tc>
        <w:tc>
          <w:tcPr>
            <w:tcW w:w="5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204,783,113</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204</w:t>
            </w: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520,922</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1,178,251</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(136,108)</w:t>
            </w:r>
          </w:p>
        </w:tc>
        <w:tc>
          <w:tcPr>
            <w:tcW w:w="140" w:type="dxa"/>
            <w:vAlign w:val="bottom"/>
            <w:tcBorders>
              <w:top w:val="single" w:sz="8" w:color="CCEEFF"/>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(42,606,731)</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(710,663)</w:t>
            </w: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852,606</w:t>
            </w:r>
          </w:p>
        </w:tc>
        <w:tc>
          <w:tcPr>
            <w:tcW w:w="0" w:type="dxa"/>
            <w:vAlign w:val="bottom"/>
          </w:tcPr>
          <w:p>
            <w:pPr>
              <w:spacing w:after="0"/>
              <w:rPr>
                <w:sz w:val="1"/>
                <w:szCs w:val="1"/>
                <w:color w:val="auto"/>
              </w:rPr>
            </w:pPr>
          </w:p>
        </w:tc>
      </w:tr>
      <w:tr>
        <w:trPr>
          <w:trHeight w:val="135"/>
        </w:trPr>
        <w:tc>
          <w:tcPr>
            <w:tcW w:w="240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Stock issued against stock-based</w:t>
            </w: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23</w:t>
            </w:r>
          </w:p>
        </w:tc>
        <w:tc>
          <w:tcPr>
            <w:tcW w:w="10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533,889</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2,414</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12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vMerge w:val="restart"/>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900" w:type="dxa"/>
            <w:vAlign w:val="bottom"/>
            <w:gridSpan w:val="2"/>
            <w:vMerge w:val="restart"/>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2,415</w:t>
            </w:r>
          </w:p>
        </w:tc>
        <w:tc>
          <w:tcPr>
            <w:tcW w:w="0" w:type="dxa"/>
            <w:vAlign w:val="bottom"/>
          </w:tcPr>
          <w:p>
            <w:pPr>
              <w:spacing w:after="0"/>
              <w:rPr>
                <w:sz w:val="1"/>
                <w:szCs w:val="1"/>
                <w:color w:val="auto"/>
              </w:rPr>
            </w:pPr>
          </w:p>
        </w:tc>
      </w:tr>
      <w:tr>
        <w:trPr>
          <w:trHeight w:val="188"/>
        </w:trPr>
        <w:tc>
          <w:tcPr>
            <w:tcW w:w="2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compensation plans</w:t>
            </w:r>
          </w:p>
        </w:tc>
        <w:tc>
          <w:tcPr>
            <w:tcW w:w="5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23</w:t>
            </w: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21,232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21,232</w:t>
            </w:r>
          </w:p>
        </w:tc>
        <w:tc>
          <w:tcPr>
            <w:tcW w:w="0" w:type="dxa"/>
            <w:vAlign w:val="bottom"/>
          </w:tcPr>
          <w:p>
            <w:pPr>
              <w:spacing w:after="0"/>
              <w:rPr>
                <w:sz w:val="1"/>
                <w:szCs w:val="1"/>
                <w:color w:val="auto"/>
              </w:rPr>
            </w:pPr>
          </w:p>
        </w:tc>
      </w:tr>
      <w:tr>
        <w:trPr>
          <w:trHeight w:val="190"/>
        </w:trPr>
        <w:tc>
          <w:tcPr>
            <w:tcW w:w="2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Acquisition of treasury stock</w:t>
            </w:r>
          </w:p>
        </w:tc>
        <w:tc>
          <w:tcPr>
            <w:tcW w:w="5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19</w:t>
            </w:r>
          </w:p>
        </w:tc>
        <w:tc>
          <w:tcPr>
            <w:tcW w:w="10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(1,009,246)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(34,830)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(34,830)</w:t>
            </w:r>
          </w:p>
        </w:tc>
        <w:tc>
          <w:tcPr>
            <w:tcW w:w="0" w:type="dxa"/>
            <w:vAlign w:val="bottom"/>
          </w:tcPr>
          <w:p>
            <w:pPr>
              <w:spacing w:after="0"/>
              <w:rPr>
                <w:sz w:val="1"/>
                <w:szCs w:val="1"/>
                <w:color w:val="auto"/>
              </w:rPr>
            </w:pPr>
          </w:p>
        </w:tc>
      </w:tr>
      <w:tr>
        <w:trPr>
          <w:trHeight w:val="142"/>
        </w:trPr>
        <w:tc>
          <w:tcPr>
            <w:tcW w:w="240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Excise tax on repurchase of common</w:t>
            </w:r>
          </w:p>
        </w:tc>
        <w:tc>
          <w:tcPr>
            <w:tcW w:w="5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19</w:t>
            </w:r>
          </w:p>
        </w:tc>
        <w:tc>
          <w:tcPr>
            <w:tcW w:w="100" w:type="dxa"/>
            <w:vAlign w:val="bottom"/>
            <w:shd w:val="clear" w:color="auto" w:fill="CCEEFF"/>
          </w:tcPr>
          <w:p>
            <w:pPr>
              <w:spacing w:after="0"/>
              <w:rPr>
                <w:sz w:val="12"/>
                <w:szCs w:val="12"/>
                <w:color w:val="auto"/>
              </w:rPr>
            </w:pPr>
          </w:p>
        </w:tc>
        <w:tc>
          <w:tcPr>
            <w:tcW w:w="10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2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vMerge w:val="restart"/>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(412)</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(412)</w:t>
            </w:r>
          </w:p>
        </w:tc>
        <w:tc>
          <w:tcPr>
            <w:tcW w:w="0" w:type="dxa"/>
            <w:vAlign w:val="bottom"/>
          </w:tcPr>
          <w:p>
            <w:pPr>
              <w:spacing w:after="0"/>
              <w:rPr>
                <w:sz w:val="1"/>
                <w:szCs w:val="1"/>
                <w:color w:val="auto"/>
              </w:rPr>
            </w:pPr>
          </w:p>
        </w:tc>
      </w:tr>
      <w:tr>
        <w:trPr>
          <w:trHeight w:val="193"/>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 net of stock issuances</w:t>
            </w:r>
          </w:p>
        </w:tc>
        <w:tc>
          <w:tcPr>
            <w:tcW w:w="5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60" w:type="dxa"/>
            <w:vAlign w:val="bottom"/>
            <w:gridSpan w:val="2"/>
            <w:vMerge w:val="continue"/>
            <w:shd w:val="clear" w:color="auto" w:fill="CCEEFF"/>
          </w:tcPr>
          <w:p>
            <w:pPr>
              <w:spacing w:after="0"/>
              <w:rPr>
                <w:sz w:val="16"/>
                <w:szCs w:val="16"/>
                <w:color w:val="auto"/>
              </w:rPr>
            </w:pPr>
          </w:p>
        </w:tc>
        <w:tc>
          <w:tcPr>
            <w:tcW w:w="10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Accelerated share repurchase</w:t>
            </w:r>
          </w:p>
        </w:tc>
        <w:tc>
          <w:tcPr>
            <w:tcW w:w="5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19</w:t>
            </w:r>
          </w:p>
        </w:tc>
        <w:tc>
          <w:tcPr>
            <w:tcW w:w="10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27,862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(820,433)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(27,862)</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4"/>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15</w:t>
            </w: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13,515</w:t>
            </w: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13,515</w:t>
            </w:r>
          </w:p>
        </w:tc>
        <w:tc>
          <w:tcPr>
            <w:tcW w:w="0" w:type="dxa"/>
            <w:vAlign w:val="bottom"/>
          </w:tcPr>
          <w:p>
            <w:pPr>
              <w:spacing w:after="0"/>
              <w:rPr>
                <w:sz w:val="1"/>
                <w:szCs w:val="1"/>
                <w:color w:val="auto"/>
              </w:rPr>
            </w:pPr>
          </w:p>
        </w:tc>
      </w:tr>
      <w:tr>
        <w:trPr>
          <w:trHeight w:val="190"/>
        </w:trPr>
        <w:tc>
          <w:tcPr>
            <w:tcW w:w="2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53,037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0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53,037</w:t>
            </w:r>
          </w:p>
        </w:tc>
        <w:tc>
          <w:tcPr>
            <w:tcW w:w="0" w:type="dxa"/>
            <w:vAlign w:val="bottom"/>
          </w:tcPr>
          <w:p>
            <w:pPr>
              <w:spacing w:after="0"/>
              <w:rPr>
                <w:sz w:val="1"/>
                <w:szCs w:val="1"/>
                <w:color w:val="auto"/>
              </w:rPr>
            </w:pPr>
          </w:p>
        </w:tc>
      </w:tr>
      <w:tr>
        <w:trPr>
          <w:trHeight w:val="222"/>
        </w:trPr>
        <w:tc>
          <w:tcPr>
            <w:tcW w:w="24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September 30, 2024</w:t>
            </w:r>
          </w:p>
        </w:tc>
        <w:tc>
          <w:tcPr>
            <w:tcW w:w="5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205,317,002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205</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572,430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1,231,288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(122,593)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(44,436,410)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(773,767)</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907,563</w:t>
            </w:r>
          </w:p>
        </w:tc>
        <w:tc>
          <w:tcPr>
            <w:tcW w:w="0" w:type="dxa"/>
            <w:vAlign w:val="bottom"/>
          </w:tcPr>
          <w:p>
            <w:pPr>
              <w:spacing w:after="0"/>
              <w:rPr>
                <w:sz w:val="1"/>
                <w:szCs w:val="1"/>
                <w:color w:val="auto"/>
              </w:rPr>
            </w:pPr>
          </w:p>
        </w:tc>
      </w:tr>
      <w:tr>
        <w:trPr>
          <w:trHeight w:val="20"/>
        </w:trPr>
        <w:tc>
          <w:tcPr>
            <w:tcW w:w="24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60" w:type="dxa"/>
            <w:vAlign w:val="bottom"/>
            <w:gridSpan w:val="5"/>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tcPr>
          <w:p>
            <w:pPr>
              <w:spacing w:after="0"/>
              <w:rPr>
                <w:sz w:val="13"/>
                <w:szCs w:val="13"/>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2200" w:type="dxa"/>
            <w:vAlign w:val="bottom"/>
            <w:gridSpan w:val="5"/>
            <w:vMerge w:val="restart"/>
          </w:tcPr>
          <w:p>
            <w:pPr>
              <w:ind w:left="60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4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1860" w:type="dxa"/>
            <w:vAlign w:val="bottom"/>
            <w:gridSpan w:val="5"/>
            <w:vMerge w:val="continue"/>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gridSpan w:val="2"/>
            <w:vMerge w:val="restart"/>
          </w:tcPr>
          <w:p>
            <w:pPr>
              <w:jc w:val="center"/>
              <w:ind w:right="200"/>
              <w:spacing w:after="0" w:line="123" w:lineRule="exact"/>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9"/>
                <w:szCs w:val="9"/>
                <w:color w:val="auto"/>
              </w:rPr>
            </w:pPr>
          </w:p>
        </w:tc>
        <w:tc>
          <w:tcPr>
            <w:tcW w:w="860" w:type="dxa"/>
            <w:vAlign w:val="bottom"/>
            <w:gridSpan w:val="2"/>
            <w:vMerge w:val="restart"/>
          </w:tcPr>
          <w:p>
            <w:pPr>
              <w:ind w:left="60"/>
              <w:spacing w:after="0" w:line="123"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120" w:type="dxa"/>
            <w:vAlign w:val="bottom"/>
          </w:tcPr>
          <w:p>
            <w:pPr>
              <w:spacing w:after="0"/>
              <w:rPr>
                <w:sz w:val="9"/>
                <w:szCs w:val="9"/>
                <w:color w:val="auto"/>
              </w:rPr>
            </w:pPr>
          </w:p>
        </w:tc>
        <w:tc>
          <w:tcPr>
            <w:tcW w:w="1220" w:type="dxa"/>
            <w:vAlign w:val="bottom"/>
            <w:gridSpan w:val="2"/>
            <w:vMerge w:val="restart"/>
          </w:tcPr>
          <w:p>
            <w:pPr>
              <w:jc w:val="center"/>
              <w:ind w:right="220"/>
              <w:spacing w:after="0" w:line="123" w:lineRule="exact"/>
              <w:rPr>
                <w:sz w:val="20"/>
                <w:szCs w:val="20"/>
                <w:color w:val="auto"/>
              </w:rPr>
            </w:pPr>
            <w:r>
              <w:rPr>
                <w:rFonts w:ascii="Times New Roman" w:cs="Times New Roman" w:eastAsia="Times New Roman" w:hAnsi="Times New Roman"/>
                <w:sz w:val="14"/>
                <w:szCs w:val="14"/>
                <w:b w:val="1"/>
                <w:bCs w:val="1"/>
                <w:color w:val="auto"/>
                <w:w w:val="98"/>
              </w:rPr>
              <w:t>Comprehensive</w:t>
            </w:r>
          </w:p>
        </w:tc>
        <w:tc>
          <w:tcPr>
            <w:tcW w:w="2200" w:type="dxa"/>
            <w:vAlign w:val="bottom"/>
            <w:gridSpan w:val="5"/>
            <w:vMerge w:val="continue"/>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
        </w:trPr>
        <w:tc>
          <w:tcPr>
            <w:tcW w:w="2400" w:type="dxa"/>
            <w:vAlign w:val="bottom"/>
          </w:tcPr>
          <w:p>
            <w:pPr>
              <w:spacing w:after="0"/>
              <w:rPr>
                <w:sz w:val="2"/>
                <w:szCs w:val="2"/>
                <w:color w:val="auto"/>
              </w:rPr>
            </w:pPr>
          </w:p>
        </w:tc>
        <w:tc>
          <w:tcPr>
            <w:tcW w:w="6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Notes</w:t>
            </w: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gridSpan w:val="2"/>
            <w:vMerge w:val="continue"/>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vMerge w:val="restart"/>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5"/>
        </w:trPr>
        <w:tc>
          <w:tcPr>
            <w:tcW w:w="2400" w:type="dxa"/>
            <w:vAlign w:val="bottom"/>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104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6"/>
                <w:szCs w:val="16"/>
                <w:color w:val="auto"/>
              </w:rPr>
            </w:pPr>
          </w:p>
        </w:tc>
        <w:tc>
          <w:tcPr>
            <w:tcW w:w="7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6"/>
                <w:szCs w:val="16"/>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20" w:type="dxa"/>
            <w:vAlign w:val="bottom"/>
          </w:tcPr>
          <w:p>
            <w:pPr>
              <w:spacing w:after="0"/>
              <w:rPr>
                <w:sz w:val="16"/>
                <w:szCs w:val="16"/>
                <w:color w:val="auto"/>
              </w:rPr>
            </w:pP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Pr>
          <w:p>
            <w:pPr>
              <w:spacing w:after="0"/>
              <w:rPr>
                <w:sz w:val="16"/>
                <w:szCs w:val="16"/>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Income/(loss)</w:t>
            </w:r>
          </w:p>
        </w:tc>
        <w:tc>
          <w:tcPr>
            <w:tcW w:w="108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tcPr>
          <w:p>
            <w:pPr>
              <w:spacing w:after="0"/>
              <w:rPr>
                <w:sz w:val="16"/>
                <w:szCs w:val="16"/>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June 30, 2023</w:t>
            </w:r>
          </w:p>
        </w:tc>
        <w:tc>
          <w:tcPr>
            <w:tcW w:w="5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201,748,635</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202</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471,962</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999,504</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(124,147)</w:t>
            </w:r>
          </w:p>
        </w:tc>
        <w:tc>
          <w:tcPr>
            <w:tcW w:w="100" w:type="dxa"/>
            <w:vAlign w:val="bottom"/>
            <w:tcBorders>
              <w:top w:val="single" w:sz="8" w:color="CCEEFF"/>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(35,985,285)</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(513,307)</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834,214</w:t>
            </w:r>
          </w:p>
        </w:tc>
        <w:tc>
          <w:tcPr>
            <w:tcW w:w="0" w:type="dxa"/>
            <w:vAlign w:val="bottom"/>
          </w:tcPr>
          <w:p>
            <w:pPr>
              <w:spacing w:after="0"/>
              <w:rPr>
                <w:sz w:val="1"/>
                <w:szCs w:val="1"/>
                <w:color w:val="auto"/>
              </w:rPr>
            </w:pPr>
          </w:p>
        </w:tc>
      </w:tr>
      <w:tr>
        <w:trPr>
          <w:trHeight w:val="135"/>
        </w:trPr>
        <w:tc>
          <w:tcPr>
            <w:tcW w:w="240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Stock issued against stock-based</w:t>
            </w: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23</w:t>
            </w:r>
          </w:p>
        </w:tc>
        <w:tc>
          <w:tcPr>
            <w:tcW w:w="8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375,550</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3,548</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1220" w:type="dxa"/>
            <w:vAlign w:val="bottom"/>
            <w:gridSpan w:val="2"/>
            <w:vMerge w:val="restart"/>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vMerge w:val="restart"/>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1"/>
                <w:szCs w:val="11"/>
                <w:color w:val="auto"/>
              </w:rPr>
            </w:pPr>
          </w:p>
        </w:tc>
        <w:tc>
          <w:tcPr>
            <w:tcW w:w="940" w:type="dxa"/>
            <w:vAlign w:val="bottom"/>
            <w:gridSpan w:val="2"/>
            <w:vMerge w:val="restart"/>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3,548</w:t>
            </w:r>
          </w:p>
        </w:tc>
        <w:tc>
          <w:tcPr>
            <w:tcW w:w="0" w:type="dxa"/>
            <w:vAlign w:val="bottom"/>
          </w:tcPr>
          <w:p>
            <w:pPr>
              <w:spacing w:after="0"/>
              <w:rPr>
                <w:sz w:val="1"/>
                <w:szCs w:val="1"/>
                <w:color w:val="auto"/>
              </w:rPr>
            </w:pPr>
          </w:p>
        </w:tc>
      </w:tr>
      <w:tr>
        <w:trPr>
          <w:trHeight w:val="188"/>
        </w:trPr>
        <w:tc>
          <w:tcPr>
            <w:tcW w:w="2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compensation plans</w:t>
            </w:r>
          </w:p>
        </w:tc>
        <w:tc>
          <w:tcPr>
            <w:tcW w:w="5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23</w:t>
            </w:r>
          </w:p>
        </w:tc>
        <w:tc>
          <w:tcPr>
            <w:tcW w:w="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17,067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17,067</w:t>
            </w:r>
          </w:p>
        </w:tc>
        <w:tc>
          <w:tcPr>
            <w:tcW w:w="0" w:type="dxa"/>
            <w:vAlign w:val="bottom"/>
          </w:tcPr>
          <w:p>
            <w:pPr>
              <w:spacing w:after="0"/>
              <w:rPr>
                <w:sz w:val="1"/>
                <w:szCs w:val="1"/>
                <w:color w:val="auto"/>
              </w:rPr>
            </w:pPr>
          </w:p>
        </w:tc>
      </w:tr>
      <w:tr>
        <w:trPr>
          <w:trHeight w:val="190"/>
        </w:trPr>
        <w:tc>
          <w:tcPr>
            <w:tcW w:w="2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Acquisition of treasury stock</w:t>
            </w:r>
          </w:p>
        </w:tc>
        <w:tc>
          <w:tcPr>
            <w:tcW w:w="5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19</w:t>
            </w:r>
          </w:p>
        </w:tc>
        <w:tc>
          <w:tcPr>
            <w:tcW w:w="8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20" w:type="dxa"/>
            <w:vAlign w:val="bottom"/>
            <w:gridSpan w:val="2"/>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(1,021,041)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(29,960)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(29,960)</w:t>
            </w:r>
          </w:p>
        </w:tc>
        <w:tc>
          <w:tcPr>
            <w:tcW w:w="0" w:type="dxa"/>
            <w:vAlign w:val="bottom"/>
          </w:tcPr>
          <w:p>
            <w:pPr>
              <w:spacing w:after="0"/>
              <w:rPr>
                <w:sz w:val="1"/>
                <w:szCs w:val="1"/>
                <w:color w:val="auto"/>
              </w:rPr>
            </w:pPr>
          </w:p>
        </w:tc>
      </w:tr>
      <w:tr>
        <w:trPr>
          <w:trHeight w:val="204"/>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loss</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15</w:t>
            </w:r>
          </w:p>
        </w:tc>
        <w:tc>
          <w:tcPr>
            <w:tcW w:w="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(12,658)</w:t>
            </w: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(12,658)</w:t>
            </w:r>
          </w:p>
        </w:tc>
        <w:tc>
          <w:tcPr>
            <w:tcW w:w="0" w:type="dxa"/>
            <w:vAlign w:val="bottom"/>
          </w:tcPr>
          <w:p>
            <w:pPr>
              <w:spacing w:after="0"/>
              <w:rPr>
                <w:sz w:val="1"/>
                <w:szCs w:val="1"/>
                <w:color w:val="auto"/>
              </w:rPr>
            </w:pPr>
          </w:p>
        </w:tc>
      </w:tr>
      <w:tr>
        <w:trPr>
          <w:trHeight w:val="190"/>
        </w:trPr>
        <w:tc>
          <w:tcPr>
            <w:tcW w:w="2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43,876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40" w:type="dxa"/>
            <w:vAlign w:val="bottom"/>
            <w:gridSpan w:val="2"/>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43,876</w:t>
            </w:r>
          </w:p>
        </w:tc>
        <w:tc>
          <w:tcPr>
            <w:tcW w:w="0" w:type="dxa"/>
            <w:vAlign w:val="bottom"/>
          </w:tcPr>
          <w:p>
            <w:pPr>
              <w:spacing w:after="0"/>
              <w:rPr>
                <w:sz w:val="1"/>
                <w:szCs w:val="1"/>
                <w:color w:val="auto"/>
              </w:rPr>
            </w:pPr>
          </w:p>
        </w:tc>
      </w:tr>
      <w:tr>
        <w:trPr>
          <w:trHeight w:val="222"/>
        </w:trPr>
        <w:tc>
          <w:tcPr>
            <w:tcW w:w="24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September 30, 2023</w:t>
            </w:r>
          </w:p>
        </w:tc>
        <w:tc>
          <w:tcPr>
            <w:tcW w:w="5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202,124,185</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492,577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1,043,380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(136,805)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(37,006,326)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(543,267)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856,087</w:t>
            </w:r>
          </w:p>
        </w:tc>
        <w:tc>
          <w:tcPr>
            <w:tcW w:w="0" w:type="dxa"/>
            <w:vAlign w:val="bottom"/>
          </w:tcPr>
          <w:p>
            <w:pPr>
              <w:spacing w:after="0"/>
              <w:rPr>
                <w:sz w:val="1"/>
                <w:szCs w:val="1"/>
                <w:color w:val="auto"/>
              </w:rPr>
            </w:pPr>
          </w:p>
        </w:tc>
      </w:tr>
      <w:tr>
        <w:trPr>
          <w:trHeight w:val="20"/>
        </w:trPr>
        <w:tc>
          <w:tcPr>
            <w:tcW w:w="24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b w:val="1"/>
          <w:bCs w:val="1"/>
          <w:color w:val="auto"/>
        </w:rPr>
        <w:t>EXLSERVICE HOLDINGS, INC.</w:t>
      </w:r>
    </w:p>
    <w:p>
      <w:pPr>
        <w:spacing w:after="0" w:line="34"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7"/>
          <w:szCs w:val="17"/>
          <w:b w:val="1"/>
          <w:bCs w:val="1"/>
          <w:color w:val="auto"/>
        </w:rPr>
        <w:t>CONSOLIDATED STATEMENTS OF STOCKHOLDERS’ EQUITY (UNAUDITED)</w:t>
      </w:r>
    </w:p>
    <w:p>
      <w:pPr>
        <w:spacing w:after="0" w:line="3"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7"/>
          <w:szCs w:val="17"/>
          <w:b w:val="1"/>
          <w:bCs w:val="1"/>
          <w:color w:val="auto"/>
        </w:rPr>
        <w:t>For the nine months ended September 30, 2024 and 2023</w:t>
      </w:r>
    </w:p>
    <w:p>
      <w:pPr>
        <w:spacing w:after="0" w:line="1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b w:val="1"/>
          <w:bCs w:val="1"/>
          <w:color w:val="auto"/>
        </w:rPr>
        <w:t>(In thousands, except share count)</w:t>
      </w:r>
    </w:p>
    <w:p>
      <w:pPr>
        <w:spacing w:after="0" w:line="200" w:lineRule="exact"/>
        <w:rPr>
          <w:sz w:val="20"/>
          <w:szCs w:val="20"/>
          <w:color w:val="auto"/>
        </w:rPr>
      </w:pPr>
    </w:p>
    <w:p>
      <w:pPr>
        <w:spacing w:after="0" w:line="206"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2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40" w:type="dxa"/>
            <w:vAlign w:val="bottom"/>
            <w:gridSpan w:val="5"/>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tcPr>
          <w:p>
            <w:pPr>
              <w:spacing w:after="0"/>
              <w:rPr>
                <w:sz w:val="13"/>
                <w:szCs w:val="13"/>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Accumulated Other</w:t>
            </w:r>
          </w:p>
        </w:tc>
        <w:tc>
          <w:tcPr>
            <w:tcW w:w="2120" w:type="dxa"/>
            <w:vAlign w:val="bottom"/>
            <w:gridSpan w:val="5"/>
            <w:vMerge w:val="restart"/>
          </w:tcPr>
          <w:p>
            <w:pPr>
              <w:ind w:left="56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40" w:type="dxa"/>
            <w:vAlign w:val="bottom"/>
          </w:tcPr>
          <w:p>
            <w:pPr>
              <w:spacing w:after="0"/>
              <w:rPr>
                <w:sz w:val="13"/>
                <w:szCs w:val="13"/>
                <w:color w:val="auto"/>
              </w:rPr>
            </w:pPr>
          </w:p>
        </w:tc>
        <w:tc>
          <w:tcPr>
            <w:tcW w:w="640" w:type="dxa"/>
            <w:vAlign w:val="bottom"/>
            <w:vMerge w:val="restart"/>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06"/>
        </w:trPr>
        <w:tc>
          <w:tcPr>
            <w:tcW w:w="2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40" w:type="dxa"/>
            <w:vAlign w:val="bottom"/>
            <w:gridSpan w:val="5"/>
            <w:vMerge w:val="continue"/>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gridSpan w:val="2"/>
            <w:vMerge w:val="restart"/>
          </w:tcPr>
          <w:p>
            <w:pPr>
              <w:jc w:val="center"/>
              <w:ind w:right="220"/>
              <w:spacing w:after="0" w:line="123" w:lineRule="exact"/>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9"/>
                <w:szCs w:val="9"/>
                <w:color w:val="auto"/>
              </w:rPr>
            </w:pPr>
          </w:p>
        </w:tc>
        <w:tc>
          <w:tcPr>
            <w:tcW w:w="860" w:type="dxa"/>
            <w:vAlign w:val="bottom"/>
            <w:gridSpan w:val="2"/>
            <w:vMerge w:val="restart"/>
          </w:tcPr>
          <w:p>
            <w:pPr>
              <w:ind w:left="40"/>
              <w:spacing w:after="0" w:line="123"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120" w:type="dxa"/>
            <w:vAlign w:val="bottom"/>
          </w:tcPr>
          <w:p>
            <w:pPr>
              <w:spacing w:after="0"/>
              <w:rPr>
                <w:sz w:val="9"/>
                <w:szCs w:val="9"/>
                <w:color w:val="auto"/>
              </w:rPr>
            </w:pPr>
          </w:p>
        </w:tc>
        <w:tc>
          <w:tcPr>
            <w:tcW w:w="1240" w:type="dxa"/>
            <w:vAlign w:val="bottom"/>
            <w:gridSpan w:val="2"/>
            <w:vMerge w:val="restart"/>
          </w:tcPr>
          <w:p>
            <w:pPr>
              <w:jc w:val="center"/>
              <w:ind w:right="220"/>
              <w:spacing w:after="0" w:line="123"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2120" w:type="dxa"/>
            <w:vAlign w:val="bottom"/>
            <w:gridSpan w:val="5"/>
            <w:vMerge w:val="continue"/>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
        </w:trPr>
        <w:tc>
          <w:tcPr>
            <w:tcW w:w="2200" w:type="dxa"/>
            <w:vAlign w:val="bottom"/>
          </w:tcPr>
          <w:p>
            <w:pPr>
              <w:spacing w:after="0"/>
              <w:rPr>
                <w:sz w:val="2"/>
                <w:szCs w:val="2"/>
                <w:color w:val="auto"/>
              </w:rPr>
            </w:pPr>
          </w:p>
        </w:tc>
        <w:tc>
          <w:tcPr>
            <w:tcW w:w="6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5"/>
              </w:rPr>
              <w:t>Notes</w:t>
            </w: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gridSpan w:val="2"/>
            <w:vMerge w:val="continue"/>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2200" w:type="dxa"/>
            <w:vAlign w:val="bottom"/>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104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16"/>
                <w:szCs w:val="16"/>
                <w:color w:val="auto"/>
              </w:rPr>
            </w:pPr>
          </w:p>
        </w:tc>
        <w:tc>
          <w:tcPr>
            <w:tcW w:w="7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6"/>
                <w:szCs w:val="16"/>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20" w:type="dxa"/>
            <w:vAlign w:val="bottom"/>
          </w:tcPr>
          <w:p>
            <w:pPr>
              <w:spacing w:after="0"/>
              <w:rPr>
                <w:sz w:val="16"/>
                <w:szCs w:val="16"/>
                <w:color w:val="auto"/>
              </w:rPr>
            </w:pP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Pr>
          <w:p>
            <w:pPr>
              <w:spacing w:after="0"/>
              <w:rPr>
                <w:sz w:val="16"/>
                <w:szCs w:val="16"/>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Income/(loss)</w:t>
            </w:r>
          </w:p>
        </w:tc>
        <w:tc>
          <w:tcPr>
            <w:tcW w:w="108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6"/>
                <w:szCs w:val="16"/>
                <w:color w:val="auto"/>
              </w:rPr>
            </w:pP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January 1, 2024</w:t>
            </w:r>
          </w:p>
        </w:tc>
        <w:tc>
          <w:tcPr>
            <w:tcW w:w="5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203,410,038</w:t>
            </w:r>
          </w:p>
        </w:tc>
        <w:tc>
          <w:tcPr>
            <w:tcW w:w="1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203</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508,028</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1,083,663</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(127,040)</w:t>
            </w:r>
          </w:p>
        </w:tc>
        <w:tc>
          <w:tcPr>
            <w:tcW w:w="100" w:type="dxa"/>
            <w:vAlign w:val="bottom"/>
            <w:tcBorders>
              <w:top w:val="single" w:sz="8" w:color="CCEEFF"/>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(38,132,158)</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(575,417)</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889,437</w:t>
            </w:r>
          </w:p>
        </w:tc>
        <w:tc>
          <w:tcPr>
            <w:tcW w:w="0" w:type="dxa"/>
            <w:vAlign w:val="bottom"/>
          </w:tcPr>
          <w:p>
            <w:pPr>
              <w:spacing w:after="0"/>
              <w:rPr>
                <w:sz w:val="1"/>
                <w:szCs w:val="1"/>
                <w:color w:val="auto"/>
              </w:rPr>
            </w:pPr>
          </w:p>
        </w:tc>
      </w:tr>
      <w:tr>
        <w:trPr>
          <w:trHeight w:val="135"/>
        </w:trPr>
        <w:tc>
          <w:tcPr>
            <w:tcW w:w="2200" w:type="dxa"/>
            <w:vAlign w:val="bottom"/>
          </w:tcPr>
          <w:p>
            <w:pPr>
              <w:spacing w:after="0" w:line="135" w:lineRule="exact"/>
              <w:rPr>
                <w:sz w:val="20"/>
                <w:szCs w:val="20"/>
                <w:color w:val="auto"/>
              </w:rPr>
            </w:pPr>
            <w:r>
              <w:rPr>
                <w:rFonts w:ascii="Times New Roman" w:cs="Times New Roman" w:eastAsia="Times New Roman" w:hAnsi="Times New Roman"/>
                <w:sz w:val="14"/>
                <w:szCs w:val="14"/>
                <w:color w:val="auto"/>
              </w:rPr>
              <w:t>Stock issued against stock-based</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23</w:t>
            </w:r>
          </w:p>
        </w:tc>
        <w:tc>
          <w:tcPr>
            <w:tcW w:w="8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1,906,964</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vMerge w:val="restart"/>
          </w:tcPr>
          <w:p>
            <w:pPr>
              <w:jc w:val="right"/>
              <w:ind w:right="10"/>
              <w:spacing w:after="0"/>
              <w:rPr>
                <w:sz w:val="20"/>
                <w:szCs w:val="20"/>
                <w:color w:val="auto"/>
              </w:rPr>
            </w:pPr>
            <w:r>
              <w:rPr>
                <w:rFonts w:ascii="Times New Roman" w:cs="Times New Roman" w:eastAsia="Times New Roman" w:hAnsi="Times New Roman"/>
                <w:sz w:val="14"/>
                <w:szCs w:val="14"/>
                <w:color w:val="auto"/>
              </w:rPr>
              <w:t>4,361</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12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vMerge w:val="restart"/>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880" w:type="dxa"/>
            <w:vAlign w:val="bottom"/>
            <w:gridSpan w:val="2"/>
            <w:vMerge w:val="restart"/>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4,363</w:t>
            </w:r>
          </w:p>
        </w:tc>
        <w:tc>
          <w:tcPr>
            <w:tcW w:w="0" w:type="dxa"/>
            <w:vAlign w:val="bottom"/>
          </w:tcPr>
          <w:p>
            <w:pPr>
              <w:spacing w:after="0"/>
              <w:rPr>
                <w:sz w:val="1"/>
                <w:szCs w:val="1"/>
                <w:color w:val="auto"/>
              </w:rPr>
            </w:pPr>
          </w:p>
        </w:tc>
      </w:tr>
      <w:tr>
        <w:trPr>
          <w:trHeight w:val="188"/>
        </w:trPr>
        <w:tc>
          <w:tcPr>
            <w:tcW w:w="2200" w:type="dxa"/>
            <w:vAlign w:val="bottom"/>
          </w:tcPr>
          <w:p>
            <w:pPr>
              <w:spacing w:after="0"/>
              <w:rPr>
                <w:sz w:val="20"/>
                <w:szCs w:val="20"/>
                <w:color w:val="auto"/>
              </w:rPr>
            </w:pPr>
            <w:r>
              <w:rPr>
                <w:rFonts w:ascii="Times New Roman" w:cs="Times New Roman" w:eastAsia="Times New Roman" w:hAnsi="Times New Roman"/>
                <w:sz w:val="14"/>
                <w:szCs w:val="14"/>
                <w:color w:val="auto"/>
              </w:rPr>
              <w:t>compensation plans</w:t>
            </w:r>
          </w:p>
        </w:tc>
        <w:tc>
          <w:tcPr>
            <w:tcW w:w="5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2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Stock-based compensation</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23</w:t>
            </w:r>
          </w:p>
        </w:tc>
        <w:tc>
          <w:tcPr>
            <w:tcW w:w="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57,179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57,179</w:t>
            </w:r>
          </w:p>
        </w:tc>
        <w:tc>
          <w:tcPr>
            <w:tcW w:w="0" w:type="dxa"/>
            <w:vAlign w:val="bottom"/>
          </w:tcPr>
          <w:p>
            <w:pPr>
              <w:spacing w:after="0"/>
              <w:rPr>
                <w:sz w:val="1"/>
                <w:szCs w:val="1"/>
                <w:color w:val="auto"/>
              </w:rPr>
            </w:pPr>
          </w:p>
        </w:tc>
      </w:tr>
      <w:tr>
        <w:trPr>
          <w:trHeight w:val="190"/>
        </w:trPr>
        <w:tc>
          <w:tcPr>
            <w:tcW w:w="2200" w:type="dxa"/>
            <w:vAlign w:val="bottom"/>
          </w:tcPr>
          <w:p>
            <w:pPr>
              <w:spacing w:after="0"/>
              <w:rPr>
                <w:sz w:val="20"/>
                <w:szCs w:val="20"/>
                <w:color w:val="auto"/>
              </w:rPr>
            </w:pPr>
            <w:r>
              <w:rPr>
                <w:rFonts w:ascii="Times New Roman" w:cs="Times New Roman" w:eastAsia="Times New Roman" w:hAnsi="Times New Roman"/>
                <w:sz w:val="14"/>
                <w:szCs w:val="14"/>
                <w:color w:val="auto"/>
              </w:rPr>
              <w:t>Acquisition of treasury stock</w:t>
            </w:r>
          </w:p>
        </w:tc>
        <w:tc>
          <w:tcPr>
            <w:tcW w:w="5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19</w:t>
            </w:r>
          </w:p>
        </w:tc>
        <w:tc>
          <w:tcPr>
            <w:tcW w:w="8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(2,133,735)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(69,458)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(69,458)</w:t>
            </w:r>
          </w:p>
        </w:tc>
        <w:tc>
          <w:tcPr>
            <w:tcW w:w="0" w:type="dxa"/>
            <w:vAlign w:val="bottom"/>
          </w:tcPr>
          <w:p>
            <w:pPr>
              <w:spacing w:after="0"/>
              <w:rPr>
                <w:sz w:val="1"/>
                <w:szCs w:val="1"/>
                <w:color w:val="auto"/>
              </w:rPr>
            </w:pPr>
          </w:p>
        </w:tc>
      </w:tr>
      <w:tr>
        <w:trPr>
          <w:trHeight w:val="142"/>
        </w:trPr>
        <w:tc>
          <w:tcPr>
            <w:tcW w:w="220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Excise tax on repurchase of common</w:t>
            </w:r>
          </w:p>
        </w:tc>
        <w:tc>
          <w:tcPr>
            <w:tcW w:w="5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19</w:t>
            </w:r>
          </w:p>
        </w:tc>
        <w:tc>
          <w:tcPr>
            <w:tcW w:w="80" w:type="dxa"/>
            <w:vAlign w:val="bottom"/>
            <w:shd w:val="clear" w:color="auto" w:fill="CCEEFF"/>
          </w:tcPr>
          <w:p>
            <w:pPr>
              <w:spacing w:after="0"/>
              <w:rPr>
                <w:sz w:val="12"/>
                <w:szCs w:val="12"/>
                <w:color w:val="auto"/>
              </w:rPr>
            </w:pPr>
          </w:p>
        </w:tc>
        <w:tc>
          <w:tcPr>
            <w:tcW w:w="10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2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vMerge w:val="restart"/>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(1,030)</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(1,030)</w:t>
            </w:r>
          </w:p>
        </w:tc>
        <w:tc>
          <w:tcPr>
            <w:tcW w:w="0" w:type="dxa"/>
            <w:vAlign w:val="bottom"/>
          </w:tcPr>
          <w:p>
            <w:pPr>
              <w:spacing w:after="0"/>
              <w:rPr>
                <w:sz w:val="1"/>
                <w:szCs w:val="1"/>
                <w:color w:val="auto"/>
              </w:rPr>
            </w:pPr>
          </w:p>
        </w:tc>
      </w:tr>
      <w:tr>
        <w:trPr>
          <w:trHeight w:val="193"/>
        </w:trPr>
        <w:tc>
          <w:tcPr>
            <w:tcW w:w="22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stock, net of stock issuances</w:t>
            </w:r>
          </w:p>
        </w:tc>
        <w:tc>
          <w:tcPr>
            <w:tcW w:w="5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gridSpan w:val="2"/>
            <w:vMerge w:val="continue"/>
            <w:shd w:val="clear" w:color="auto" w:fill="CCEEFF"/>
          </w:tcPr>
          <w:p>
            <w:pPr>
              <w:spacing w:after="0"/>
              <w:rPr>
                <w:sz w:val="16"/>
                <w:szCs w:val="16"/>
                <w:color w:val="auto"/>
              </w:rPr>
            </w:pPr>
          </w:p>
        </w:tc>
        <w:tc>
          <w:tcPr>
            <w:tcW w:w="108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200" w:type="dxa"/>
            <w:vAlign w:val="bottom"/>
          </w:tcPr>
          <w:p>
            <w:pPr>
              <w:spacing w:after="0"/>
              <w:rPr>
                <w:sz w:val="20"/>
                <w:szCs w:val="20"/>
                <w:color w:val="auto"/>
              </w:rPr>
            </w:pPr>
            <w:r>
              <w:rPr>
                <w:rFonts w:ascii="Times New Roman" w:cs="Times New Roman" w:eastAsia="Times New Roman" w:hAnsi="Times New Roman"/>
                <w:sz w:val="14"/>
                <w:szCs w:val="14"/>
                <w:color w:val="auto"/>
              </w:rPr>
              <w:t>Accelerated share repurchase</w:t>
            </w:r>
          </w:p>
        </w:tc>
        <w:tc>
          <w:tcPr>
            <w:tcW w:w="5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19</w:t>
            </w:r>
          </w:p>
        </w:tc>
        <w:tc>
          <w:tcPr>
            <w:tcW w:w="8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2,862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(4,170,517)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(127,862)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(125,000)</w:t>
            </w:r>
          </w:p>
        </w:tc>
        <w:tc>
          <w:tcPr>
            <w:tcW w:w="0" w:type="dxa"/>
            <w:vAlign w:val="bottom"/>
          </w:tcPr>
          <w:p>
            <w:pPr>
              <w:spacing w:after="0"/>
              <w:rPr>
                <w:sz w:val="1"/>
                <w:szCs w:val="1"/>
                <w:color w:val="auto"/>
              </w:rPr>
            </w:pPr>
          </w:p>
        </w:tc>
      </w:tr>
      <w:tr>
        <w:trPr>
          <w:trHeight w:val="204"/>
        </w:trPr>
        <w:tc>
          <w:tcPr>
            <w:tcW w:w="22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15</w:t>
            </w:r>
          </w:p>
        </w:tc>
        <w:tc>
          <w:tcPr>
            <w:tcW w:w="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4,447</w:t>
            </w: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4,447</w:t>
            </w:r>
          </w:p>
        </w:tc>
        <w:tc>
          <w:tcPr>
            <w:tcW w:w="0" w:type="dxa"/>
            <w:vAlign w:val="bottom"/>
          </w:tcPr>
          <w:p>
            <w:pPr>
              <w:spacing w:after="0"/>
              <w:rPr>
                <w:sz w:val="1"/>
                <w:szCs w:val="1"/>
                <w:color w:val="auto"/>
              </w:rPr>
            </w:pPr>
          </w:p>
        </w:tc>
      </w:tr>
      <w:tr>
        <w:trPr>
          <w:trHeight w:val="190"/>
        </w:trPr>
        <w:tc>
          <w:tcPr>
            <w:tcW w:w="2200" w:type="dxa"/>
            <w:vAlign w:val="bottom"/>
          </w:tcPr>
          <w:p>
            <w:pPr>
              <w:spacing w:after="0"/>
              <w:rPr>
                <w:sz w:val="20"/>
                <w:szCs w:val="20"/>
                <w:color w:val="auto"/>
              </w:rPr>
            </w:pPr>
            <w:r>
              <w:rPr>
                <w:rFonts w:ascii="Times New Roman" w:cs="Times New Roman" w:eastAsia="Times New Roman" w:hAnsi="Times New Roman"/>
                <w:sz w:val="14"/>
                <w:szCs w:val="14"/>
                <w:color w:val="auto"/>
              </w:rPr>
              <w:t>Net income</w:t>
            </w: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147,625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147,625</w:t>
            </w:r>
          </w:p>
        </w:tc>
        <w:tc>
          <w:tcPr>
            <w:tcW w:w="0" w:type="dxa"/>
            <w:vAlign w:val="bottom"/>
          </w:tcPr>
          <w:p>
            <w:pPr>
              <w:spacing w:after="0"/>
              <w:rPr>
                <w:sz w:val="1"/>
                <w:szCs w:val="1"/>
                <w:color w:val="auto"/>
              </w:rPr>
            </w:pPr>
          </w:p>
        </w:tc>
      </w:tr>
      <w:tr>
        <w:trPr>
          <w:trHeight w:val="222"/>
        </w:trPr>
        <w:tc>
          <w:tcPr>
            <w:tcW w:w="22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as of September 30, 2024</w:t>
            </w:r>
          </w:p>
        </w:tc>
        <w:tc>
          <w:tcPr>
            <w:tcW w:w="5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205,317,002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572,430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1,231,288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(122,593)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(44,436,410)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(773,767)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907,563</w:t>
            </w:r>
          </w:p>
        </w:tc>
        <w:tc>
          <w:tcPr>
            <w:tcW w:w="0" w:type="dxa"/>
            <w:vAlign w:val="bottom"/>
          </w:tcPr>
          <w:p>
            <w:pPr>
              <w:spacing w:after="0"/>
              <w:rPr>
                <w:sz w:val="1"/>
                <w:szCs w:val="1"/>
                <w:color w:val="auto"/>
              </w:rPr>
            </w:pPr>
          </w:p>
        </w:tc>
      </w:tr>
      <w:tr>
        <w:trPr>
          <w:trHeight w:val="20"/>
        </w:trPr>
        <w:tc>
          <w:tcPr>
            <w:tcW w:w="22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tbl>
      <w:tblPr>
        <w:tblLayout w:type="fixed"/>
        <w:tblInd w:w="100" w:type="dxa"/>
        <w:tblCellMar>
          <w:top w:w="0" w:type="dxa"/>
          <w:left w:w="0" w:type="dxa"/>
          <w:bottom w:w="0" w:type="dxa"/>
          <w:right w:w="0" w:type="dxa"/>
        </w:tblCellMar>
      </w:tblPr>
      <w:tr>
        <w:trPr>
          <w:trHeight w:val="161"/>
        </w:trPr>
        <w:tc>
          <w:tcPr>
            <w:tcW w:w="22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60" w:type="dxa"/>
            <w:vAlign w:val="bottom"/>
            <w:gridSpan w:val="5"/>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20" w:type="dxa"/>
            <w:vAlign w:val="bottom"/>
          </w:tcPr>
          <w:p>
            <w:pPr>
              <w:spacing w:after="0"/>
              <w:rPr>
                <w:sz w:val="13"/>
                <w:szCs w:val="13"/>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Accumulated Other</w:t>
            </w:r>
          </w:p>
        </w:tc>
        <w:tc>
          <w:tcPr>
            <w:tcW w:w="2180" w:type="dxa"/>
            <w:vAlign w:val="bottom"/>
            <w:gridSpan w:val="5"/>
            <w:vMerge w:val="restart"/>
          </w:tcPr>
          <w:p>
            <w:pPr>
              <w:ind w:left="58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26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1860" w:type="dxa"/>
            <w:vAlign w:val="bottom"/>
            <w:gridSpan w:val="5"/>
            <w:vMerge w:val="continue"/>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gridSpan w:val="2"/>
            <w:vMerge w:val="restart"/>
          </w:tcPr>
          <w:p>
            <w:pPr>
              <w:jc w:val="center"/>
              <w:ind w:right="220"/>
              <w:spacing w:after="0" w:line="123" w:lineRule="exact"/>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9"/>
                <w:szCs w:val="9"/>
                <w:color w:val="auto"/>
              </w:rPr>
            </w:pPr>
          </w:p>
        </w:tc>
        <w:tc>
          <w:tcPr>
            <w:tcW w:w="860" w:type="dxa"/>
            <w:vAlign w:val="bottom"/>
            <w:gridSpan w:val="2"/>
            <w:vMerge w:val="restart"/>
          </w:tcPr>
          <w:p>
            <w:pPr>
              <w:ind w:left="40"/>
              <w:spacing w:after="0" w:line="123"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120" w:type="dxa"/>
            <w:vAlign w:val="bottom"/>
          </w:tcPr>
          <w:p>
            <w:pPr>
              <w:spacing w:after="0"/>
              <w:rPr>
                <w:sz w:val="9"/>
                <w:szCs w:val="9"/>
                <w:color w:val="auto"/>
              </w:rPr>
            </w:pPr>
          </w:p>
        </w:tc>
        <w:tc>
          <w:tcPr>
            <w:tcW w:w="1240" w:type="dxa"/>
            <w:vAlign w:val="bottom"/>
            <w:gridSpan w:val="2"/>
            <w:vMerge w:val="restart"/>
          </w:tcPr>
          <w:p>
            <w:pPr>
              <w:jc w:val="center"/>
              <w:ind w:right="220"/>
              <w:spacing w:after="0" w:line="123"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2180" w:type="dxa"/>
            <w:vAlign w:val="bottom"/>
            <w:gridSpan w:val="5"/>
            <w:vMerge w:val="continue"/>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
        </w:trPr>
        <w:tc>
          <w:tcPr>
            <w:tcW w:w="2260" w:type="dxa"/>
            <w:vAlign w:val="bottom"/>
          </w:tcPr>
          <w:p>
            <w:pPr>
              <w:spacing w:after="0"/>
              <w:rPr>
                <w:sz w:val="2"/>
                <w:szCs w:val="2"/>
                <w:color w:val="auto"/>
              </w:rPr>
            </w:pPr>
          </w:p>
        </w:tc>
        <w:tc>
          <w:tcPr>
            <w:tcW w:w="6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Notes</w:t>
            </w: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gridSpan w:val="2"/>
            <w:vMerge w:val="continue"/>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vMerge w:val="restart"/>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5"/>
        </w:trPr>
        <w:tc>
          <w:tcPr>
            <w:tcW w:w="2260" w:type="dxa"/>
            <w:vAlign w:val="bottom"/>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106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16"/>
                <w:szCs w:val="16"/>
                <w:color w:val="auto"/>
              </w:rPr>
            </w:pPr>
          </w:p>
        </w:tc>
        <w:tc>
          <w:tcPr>
            <w:tcW w:w="7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6"/>
                <w:szCs w:val="16"/>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20" w:type="dxa"/>
            <w:vAlign w:val="bottom"/>
          </w:tcPr>
          <w:p>
            <w:pPr>
              <w:spacing w:after="0"/>
              <w:rPr>
                <w:sz w:val="16"/>
                <w:szCs w:val="16"/>
                <w:color w:val="auto"/>
              </w:rPr>
            </w:pP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Pr>
          <w:p>
            <w:pPr>
              <w:spacing w:after="0"/>
              <w:rPr>
                <w:sz w:val="16"/>
                <w:szCs w:val="16"/>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Income/(loss)</w:t>
            </w:r>
          </w:p>
        </w:tc>
        <w:tc>
          <w:tcPr>
            <w:tcW w:w="106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tcPr>
          <w:p>
            <w:pPr>
              <w:spacing w:after="0"/>
              <w:rPr>
                <w:sz w:val="16"/>
                <w:szCs w:val="16"/>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2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January 1, 2023</w:t>
            </w:r>
          </w:p>
        </w:tc>
        <w:tc>
          <w:tcPr>
            <w:tcW w:w="5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199,939,880</w:t>
            </w:r>
          </w:p>
        </w:tc>
        <w:tc>
          <w:tcPr>
            <w:tcW w:w="1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200</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444,948</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899,105</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(144,143)</w:t>
            </w:r>
          </w:p>
        </w:tc>
        <w:tc>
          <w:tcPr>
            <w:tcW w:w="10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(33,767,660)</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Borders>
              <w:top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4"/>
                <w:szCs w:val="14"/>
                <w:b w:val="1"/>
                <w:bCs w:val="1"/>
                <w:color w:val="auto"/>
              </w:rPr>
              <w:t>(441,931)</w:t>
            </w: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758,179</w:t>
            </w:r>
          </w:p>
        </w:tc>
        <w:tc>
          <w:tcPr>
            <w:tcW w:w="0" w:type="dxa"/>
            <w:vAlign w:val="bottom"/>
          </w:tcPr>
          <w:p>
            <w:pPr>
              <w:spacing w:after="0"/>
              <w:rPr>
                <w:sz w:val="1"/>
                <w:szCs w:val="1"/>
                <w:color w:val="auto"/>
              </w:rPr>
            </w:pPr>
          </w:p>
        </w:tc>
      </w:tr>
      <w:tr>
        <w:trPr>
          <w:trHeight w:val="135"/>
        </w:trPr>
        <w:tc>
          <w:tcPr>
            <w:tcW w:w="2260" w:type="dxa"/>
            <w:vAlign w:val="bottom"/>
          </w:tcPr>
          <w:p>
            <w:pPr>
              <w:spacing w:after="0" w:line="135" w:lineRule="exact"/>
              <w:rPr>
                <w:sz w:val="20"/>
                <w:szCs w:val="20"/>
                <w:color w:val="auto"/>
              </w:rPr>
            </w:pPr>
            <w:r>
              <w:rPr>
                <w:rFonts w:ascii="Times New Roman" w:cs="Times New Roman" w:eastAsia="Times New Roman" w:hAnsi="Times New Roman"/>
                <w:sz w:val="14"/>
                <w:szCs w:val="14"/>
                <w:color w:val="auto"/>
              </w:rPr>
              <w:t>Stock issued against stock-based</w:t>
            </w: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23</w:t>
            </w:r>
          </w:p>
        </w:tc>
        <w:tc>
          <w:tcPr>
            <w:tcW w:w="80" w:type="dxa"/>
            <w:vAlign w:val="bottom"/>
          </w:tcPr>
          <w:p>
            <w:pPr>
              <w:spacing w:after="0"/>
              <w:rPr>
                <w:sz w:val="11"/>
                <w:szCs w:val="11"/>
                <w:color w:val="auto"/>
              </w:rPr>
            </w:pPr>
          </w:p>
        </w:tc>
        <w:tc>
          <w:tcPr>
            <w:tcW w:w="960" w:type="dxa"/>
            <w:vAlign w:val="bottom"/>
            <w:vMerge w:val="restart"/>
          </w:tcPr>
          <w:p>
            <w:pPr>
              <w:jc w:val="right"/>
              <w:ind w:right="10"/>
              <w:spacing w:after="0"/>
              <w:rPr>
                <w:sz w:val="20"/>
                <w:szCs w:val="20"/>
                <w:color w:val="auto"/>
              </w:rPr>
            </w:pPr>
            <w:r>
              <w:rPr>
                <w:rFonts w:ascii="Times New Roman" w:cs="Times New Roman" w:eastAsia="Times New Roman" w:hAnsi="Times New Roman"/>
                <w:sz w:val="14"/>
                <w:szCs w:val="14"/>
                <w:color w:val="auto"/>
              </w:rPr>
              <w:t>2,184,305</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vMerge w:val="restart"/>
          </w:tcPr>
          <w:p>
            <w:pPr>
              <w:jc w:val="right"/>
              <w:ind w:right="10"/>
              <w:spacing w:after="0"/>
              <w:rPr>
                <w:sz w:val="20"/>
                <w:szCs w:val="20"/>
                <w:color w:val="auto"/>
              </w:rPr>
            </w:pPr>
            <w:r>
              <w:rPr>
                <w:rFonts w:ascii="Times New Roman" w:cs="Times New Roman" w:eastAsia="Times New Roman" w:hAnsi="Times New Roman"/>
                <w:sz w:val="14"/>
                <w:szCs w:val="14"/>
                <w:color w:val="auto"/>
              </w:rPr>
              <w:t>4,644</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12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vMerge w:val="restart"/>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1"/>
                <w:szCs w:val="11"/>
                <w:color w:val="auto"/>
              </w:rPr>
            </w:pPr>
          </w:p>
        </w:tc>
        <w:tc>
          <w:tcPr>
            <w:tcW w:w="940" w:type="dxa"/>
            <w:vAlign w:val="bottom"/>
            <w:gridSpan w:val="2"/>
            <w:vMerge w:val="restart"/>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4,646</w:t>
            </w:r>
          </w:p>
        </w:tc>
        <w:tc>
          <w:tcPr>
            <w:tcW w:w="0" w:type="dxa"/>
            <w:vAlign w:val="bottom"/>
          </w:tcPr>
          <w:p>
            <w:pPr>
              <w:spacing w:after="0"/>
              <w:rPr>
                <w:sz w:val="1"/>
                <w:szCs w:val="1"/>
                <w:color w:val="auto"/>
              </w:rPr>
            </w:pPr>
          </w:p>
        </w:tc>
      </w:tr>
      <w:tr>
        <w:trPr>
          <w:trHeight w:val="188"/>
        </w:trPr>
        <w:tc>
          <w:tcPr>
            <w:tcW w:w="2260" w:type="dxa"/>
            <w:vAlign w:val="bottom"/>
          </w:tcPr>
          <w:p>
            <w:pPr>
              <w:spacing w:after="0"/>
              <w:rPr>
                <w:sz w:val="20"/>
                <w:szCs w:val="20"/>
                <w:color w:val="auto"/>
              </w:rPr>
            </w:pPr>
            <w:r>
              <w:rPr>
                <w:rFonts w:ascii="Times New Roman" w:cs="Times New Roman" w:eastAsia="Times New Roman" w:hAnsi="Times New Roman"/>
                <w:sz w:val="14"/>
                <w:szCs w:val="14"/>
                <w:color w:val="auto"/>
              </w:rPr>
              <w:t>compensation plans</w:t>
            </w:r>
          </w:p>
        </w:tc>
        <w:tc>
          <w:tcPr>
            <w:tcW w:w="5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Stock-based compensation</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23</w:t>
            </w:r>
          </w:p>
        </w:tc>
        <w:tc>
          <w:tcPr>
            <w:tcW w:w="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42,985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42,985</w:t>
            </w:r>
          </w:p>
        </w:tc>
        <w:tc>
          <w:tcPr>
            <w:tcW w:w="0" w:type="dxa"/>
            <w:vAlign w:val="bottom"/>
          </w:tcPr>
          <w:p>
            <w:pPr>
              <w:spacing w:after="0"/>
              <w:rPr>
                <w:sz w:val="1"/>
                <w:szCs w:val="1"/>
                <w:color w:val="auto"/>
              </w:rPr>
            </w:pPr>
          </w:p>
        </w:tc>
      </w:tr>
      <w:tr>
        <w:trPr>
          <w:trHeight w:val="190"/>
        </w:trPr>
        <w:tc>
          <w:tcPr>
            <w:tcW w:w="2260" w:type="dxa"/>
            <w:vAlign w:val="bottom"/>
          </w:tcPr>
          <w:p>
            <w:pPr>
              <w:spacing w:after="0"/>
              <w:rPr>
                <w:sz w:val="20"/>
                <w:szCs w:val="20"/>
                <w:color w:val="auto"/>
              </w:rPr>
            </w:pPr>
            <w:r>
              <w:rPr>
                <w:rFonts w:ascii="Times New Roman" w:cs="Times New Roman" w:eastAsia="Times New Roman" w:hAnsi="Times New Roman"/>
                <w:sz w:val="14"/>
                <w:szCs w:val="14"/>
                <w:color w:val="auto"/>
              </w:rPr>
              <w:t>Acquisition of treasury stock</w:t>
            </w:r>
          </w:p>
        </w:tc>
        <w:tc>
          <w:tcPr>
            <w:tcW w:w="5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19</w:t>
            </w:r>
          </w:p>
        </w:tc>
        <w:tc>
          <w:tcPr>
            <w:tcW w:w="80" w:type="dxa"/>
            <w:vAlign w:val="bottom"/>
          </w:tcPr>
          <w:p>
            <w:pPr>
              <w:spacing w:after="0"/>
              <w:rPr>
                <w:sz w:val="16"/>
                <w:szCs w:val="16"/>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(3,238,666)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(101,336)</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(101,336)</w:t>
            </w:r>
          </w:p>
        </w:tc>
        <w:tc>
          <w:tcPr>
            <w:tcW w:w="0" w:type="dxa"/>
            <w:vAlign w:val="bottom"/>
          </w:tcPr>
          <w:p>
            <w:pPr>
              <w:spacing w:after="0"/>
              <w:rPr>
                <w:sz w:val="1"/>
                <w:szCs w:val="1"/>
                <w:color w:val="auto"/>
              </w:rPr>
            </w:pPr>
          </w:p>
        </w:tc>
      </w:tr>
      <w:tr>
        <w:trPr>
          <w:trHeight w:val="204"/>
        </w:trPr>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15</w:t>
            </w:r>
          </w:p>
        </w:tc>
        <w:tc>
          <w:tcPr>
            <w:tcW w:w="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7,338</w:t>
            </w: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7,338</w:t>
            </w:r>
          </w:p>
        </w:tc>
        <w:tc>
          <w:tcPr>
            <w:tcW w:w="0" w:type="dxa"/>
            <w:vAlign w:val="bottom"/>
          </w:tcPr>
          <w:p>
            <w:pPr>
              <w:spacing w:after="0"/>
              <w:rPr>
                <w:sz w:val="1"/>
                <w:szCs w:val="1"/>
                <w:color w:val="auto"/>
              </w:rPr>
            </w:pPr>
          </w:p>
        </w:tc>
      </w:tr>
      <w:tr>
        <w:trPr>
          <w:trHeight w:val="190"/>
        </w:trPr>
        <w:tc>
          <w:tcPr>
            <w:tcW w:w="2260" w:type="dxa"/>
            <w:vAlign w:val="bottom"/>
          </w:tcPr>
          <w:p>
            <w:pPr>
              <w:spacing w:after="0"/>
              <w:rPr>
                <w:sz w:val="20"/>
                <w:szCs w:val="20"/>
                <w:color w:val="auto"/>
              </w:rPr>
            </w:pPr>
            <w:r>
              <w:rPr>
                <w:rFonts w:ascii="Times New Roman" w:cs="Times New Roman" w:eastAsia="Times New Roman" w:hAnsi="Times New Roman"/>
                <w:sz w:val="14"/>
                <w:szCs w:val="14"/>
                <w:color w:val="auto"/>
              </w:rPr>
              <w:t>Net income</w:t>
            </w: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144,275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40" w:type="dxa"/>
            <w:vAlign w:val="bottom"/>
            <w:gridSpan w:val="2"/>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144,275</w:t>
            </w:r>
          </w:p>
        </w:tc>
        <w:tc>
          <w:tcPr>
            <w:tcW w:w="0" w:type="dxa"/>
            <w:vAlign w:val="bottom"/>
          </w:tcPr>
          <w:p>
            <w:pPr>
              <w:spacing w:after="0"/>
              <w:rPr>
                <w:sz w:val="1"/>
                <w:szCs w:val="1"/>
                <w:color w:val="auto"/>
              </w:rPr>
            </w:pPr>
          </w:p>
        </w:tc>
      </w:tr>
      <w:tr>
        <w:trPr>
          <w:trHeight w:val="222"/>
        </w:trPr>
        <w:tc>
          <w:tcPr>
            <w:tcW w:w="22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as of September 30, 2023</w:t>
            </w:r>
          </w:p>
        </w:tc>
        <w:tc>
          <w:tcPr>
            <w:tcW w:w="5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202,124,185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492,577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1,043,380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(136,805)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(37,006,326)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Borders>
              <w:top w:val="single" w:sz="8" w:color="auto"/>
              <w:bottom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4"/>
                <w:szCs w:val="14"/>
                <w:b w:val="1"/>
                <w:bCs w:val="1"/>
                <w:color w:val="auto"/>
              </w:rPr>
              <w:t>(543,267)</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856,087</w:t>
            </w:r>
          </w:p>
        </w:tc>
        <w:tc>
          <w:tcPr>
            <w:tcW w:w="0" w:type="dxa"/>
            <w:vAlign w:val="bottom"/>
          </w:tcPr>
          <w:p>
            <w:pPr>
              <w:spacing w:after="0"/>
              <w:rPr>
                <w:sz w:val="1"/>
                <w:szCs w:val="1"/>
                <w:color w:val="auto"/>
              </w:rPr>
            </w:pPr>
          </w:p>
        </w:tc>
      </w:tr>
      <w:tr>
        <w:trPr>
          <w:trHeight w:val="20"/>
        </w:trPr>
        <w:tc>
          <w:tcPr>
            <w:tcW w:w="22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i w:val="1"/>
          <w:iCs w:val="1"/>
          <w:color w:val="auto"/>
        </w:rPr>
        <w:t>See accompanying notes to unaudited consolidated financial statements.</w:t>
      </w:r>
    </w:p>
    <w:p>
      <w:pPr>
        <w:spacing w:after="0" w:line="200" w:lineRule="exact"/>
        <w:rPr>
          <w:sz w:val="20"/>
          <w:szCs w:val="20"/>
          <w:color w:val="auto"/>
        </w:rPr>
      </w:pPr>
    </w:p>
    <w:p>
      <w:pPr>
        <w:spacing w:after="0" w:line="35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60"/>
          </w:cols>
          <w:pgMar w:left="320" w:top="355" w:right="4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EXLSERVICE HOLDINGS,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STATEMENTS OF CASH FLOWS (UNAUDITED)</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00" w:type="dxa"/>
            <w:vAlign w:val="bottom"/>
          </w:tcPr>
          <w:p>
            <w:pPr>
              <w:spacing w:after="0"/>
              <w:rPr>
                <w:sz w:val="16"/>
                <w:szCs w:val="16"/>
                <w:color w:val="auto"/>
              </w:rPr>
            </w:pPr>
          </w:p>
        </w:tc>
        <w:tc>
          <w:tcPr>
            <w:tcW w:w="2900" w:type="dxa"/>
            <w:vAlign w:val="bottom"/>
            <w:gridSpan w:val="4"/>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640" w:type="dxa"/>
            <w:vAlign w:val="bottom"/>
          </w:tcPr>
          <w:p>
            <w:pPr>
              <w:spacing w:after="0"/>
              <w:rPr>
                <w:sz w:val="16"/>
                <w:szCs w:val="16"/>
                <w:color w:val="auto"/>
              </w:rPr>
            </w:pPr>
          </w:p>
        </w:tc>
      </w:tr>
      <w:tr>
        <w:trPr>
          <w:trHeight w:val="24"/>
        </w:trPr>
        <w:tc>
          <w:tcPr>
            <w:tcW w:w="77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184"/>
        </w:trPr>
        <w:tc>
          <w:tcPr>
            <w:tcW w:w="770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2024</w:t>
            </w:r>
          </w:p>
        </w:tc>
        <w:tc>
          <w:tcPr>
            <w:tcW w:w="6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2023</w:t>
            </w:r>
          </w:p>
        </w:tc>
        <w:tc>
          <w:tcPr>
            <w:tcW w:w="640" w:type="dxa"/>
            <w:vAlign w:val="bottom"/>
            <w:tcBorders>
              <w:bottom w:val="single" w:sz="8" w:color="auto"/>
            </w:tcBorders>
          </w:tcPr>
          <w:p>
            <w:pPr>
              <w:spacing w:after="0"/>
              <w:rPr>
                <w:sz w:val="15"/>
                <w:szCs w:val="15"/>
                <w:color w:val="auto"/>
              </w:rPr>
            </w:pPr>
          </w:p>
        </w:tc>
      </w:tr>
      <w:tr>
        <w:trPr>
          <w:trHeight w:val="183"/>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flows from operating activities:</w:t>
            </w:r>
          </w:p>
        </w:tc>
        <w:tc>
          <w:tcPr>
            <w:tcW w:w="10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r>
      <w:tr>
        <w:trPr>
          <w:trHeight w:val="190"/>
        </w:trPr>
        <w:tc>
          <w:tcPr>
            <w:tcW w:w="7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080" w:type="dxa"/>
            <w:vAlign w:val="bottom"/>
          </w:tcPr>
          <w:p>
            <w:pPr>
              <w:jc w:val="right"/>
              <w:ind w:right="930"/>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147,625</w:t>
            </w:r>
          </w:p>
        </w:tc>
        <w:tc>
          <w:tcPr>
            <w:tcW w:w="100" w:type="dxa"/>
            <w:vAlign w:val="bottom"/>
          </w:tcPr>
          <w:p>
            <w:pPr>
              <w:spacing w:after="0"/>
              <w:rPr>
                <w:sz w:val="16"/>
                <w:szCs w:val="16"/>
                <w:color w:val="auto"/>
              </w:rPr>
            </w:pPr>
          </w:p>
        </w:tc>
        <w:tc>
          <w:tcPr>
            <w:tcW w:w="1080" w:type="dxa"/>
            <w:vAlign w:val="bottom"/>
          </w:tcPr>
          <w:p>
            <w:pPr>
              <w:jc w:val="right"/>
              <w:ind w:right="91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144,275</w:t>
            </w:r>
          </w:p>
        </w:tc>
      </w:tr>
      <w:tr>
        <w:trPr>
          <w:trHeight w:val="204"/>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Adjustments to reconcile net income to net cash provided by operating activities:</w:t>
            </w:r>
          </w:p>
        </w:tc>
        <w:tc>
          <w:tcPr>
            <w:tcW w:w="10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r>
      <w:tr>
        <w:trPr>
          <w:trHeight w:val="190"/>
        </w:trPr>
        <w:tc>
          <w:tcPr>
            <w:tcW w:w="77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Depreciation and amortization expense</w:t>
            </w:r>
          </w:p>
        </w:tc>
        <w:tc>
          <w:tcPr>
            <w:tcW w:w="10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39,068</w:t>
            </w: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38,010</w:t>
            </w:r>
          </w:p>
        </w:tc>
      </w:tr>
      <w:tr>
        <w:trPr>
          <w:trHeight w:val="204"/>
        </w:trPr>
        <w:tc>
          <w:tcPr>
            <w:tcW w:w="7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0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57,179</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42,985</w:t>
            </w:r>
          </w:p>
        </w:tc>
      </w:tr>
      <w:tr>
        <w:trPr>
          <w:trHeight w:val="190"/>
        </w:trPr>
        <w:tc>
          <w:tcPr>
            <w:tcW w:w="77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Reduction in the carrying amount of operating lease right-of-use assets</w:t>
            </w:r>
          </w:p>
        </w:tc>
        <w:tc>
          <w:tcPr>
            <w:tcW w:w="10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16,070</w:t>
            </w: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15,171</w:t>
            </w:r>
          </w:p>
        </w:tc>
      </w:tr>
      <w:tr>
        <w:trPr>
          <w:trHeight w:val="204"/>
        </w:trPr>
        <w:tc>
          <w:tcPr>
            <w:tcW w:w="7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Fair value mark-to-market of investments</w:t>
            </w:r>
          </w:p>
        </w:tc>
        <w:tc>
          <w:tcPr>
            <w:tcW w:w="10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(1,233)</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6,003</w:t>
            </w:r>
          </w:p>
        </w:tc>
      </w:tr>
      <w:tr>
        <w:trPr>
          <w:trHeight w:val="190"/>
        </w:trPr>
        <w:tc>
          <w:tcPr>
            <w:tcW w:w="77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Unrealized foreign currency exchange (gain)/loss, net</w:t>
            </w:r>
          </w:p>
        </w:tc>
        <w:tc>
          <w:tcPr>
            <w:tcW w:w="10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(3,064)</w:t>
            </w: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(862)</w:t>
            </w:r>
          </w:p>
        </w:tc>
      </w:tr>
      <w:tr>
        <w:trPr>
          <w:trHeight w:val="204"/>
        </w:trPr>
        <w:tc>
          <w:tcPr>
            <w:tcW w:w="7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Deferred income tax benefit</w:t>
            </w:r>
          </w:p>
        </w:tc>
        <w:tc>
          <w:tcPr>
            <w:tcW w:w="10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(25,423)</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(26,555)</w:t>
            </w:r>
          </w:p>
        </w:tc>
      </w:tr>
      <w:tr>
        <w:trPr>
          <w:trHeight w:val="190"/>
        </w:trPr>
        <w:tc>
          <w:tcPr>
            <w:tcW w:w="77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Others, net</w:t>
            </w:r>
          </w:p>
        </w:tc>
        <w:tc>
          <w:tcPr>
            <w:tcW w:w="10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(341)</w:t>
            </w: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6,328</w:t>
            </w:r>
          </w:p>
        </w:tc>
      </w:tr>
      <w:tr>
        <w:trPr>
          <w:trHeight w:val="204"/>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 in operating assets and liabilities:</w:t>
            </w:r>
          </w:p>
        </w:tc>
        <w:tc>
          <w:tcPr>
            <w:tcW w:w="10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r>
      <w:tr>
        <w:trPr>
          <w:trHeight w:val="190"/>
        </w:trPr>
        <w:tc>
          <w:tcPr>
            <w:tcW w:w="77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Accounts receivable</w:t>
            </w:r>
          </w:p>
        </w:tc>
        <w:tc>
          <w:tcPr>
            <w:tcW w:w="10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(28,900)</w:t>
            </w: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(46,488)</w:t>
            </w:r>
          </w:p>
        </w:tc>
      </w:tr>
      <w:tr>
        <w:trPr>
          <w:trHeight w:val="204"/>
        </w:trPr>
        <w:tc>
          <w:tcPr>
            <w:tcW w:w="7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Other current and non-current assets</w:t>
            </w:r>
          </w:p>
        </w:tc>
        <w:tc>
          <w:tcPr>
            <w:tcW w:w="10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(6,961)</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(19,204)</w:t>
            </w:r>
          </w:p>
        </w:tc>
      </w:tr>
      <w:tr>
        <w:trPr>
          <w:trHeight w:val="190"/>
        </w:trPr>
        <w:tc>
          <w:tcPr>
            <w:tcW w:w="77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Income taxes payable, net</w:t>
            </w:r>
          </w:p>
        </w:tc>
        <w:tc>
          <w:tcPr>
            <w:tcW w:w="10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(8,438)</w:t>
            </w: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(12,022)</w:t>
            </w:r>
          </w:p>
        </w:tc>
      </w:tr>
      <w:tr>
        <w:trPr>
          <w:trHeight w:val="204"/>
        </w:trPr>
        <w:tc>
          <w:tcPr>
            <w:tcW w:w="7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Deferred revenue</w:t>
            </w:r>
          </w:p>
        </w:tc>
        <w:tc>
          <w:tcPr>
            <w:tcW w:w="10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2,319</w:t>
            </w:r>
          </w:p>
        </w:tc>
      </w:tr>
      <w:tr>
        <w:trPr>
          <w:trHeight w:val="190"/>
        </w:trPr>
        <w:tc>
          <w:tcPr>
            <w:tcW w:w="77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Accrued employee costs</w:t>
            </w:r>
          </w:p>
        </w:tc>
        <w:tc>
          <w:tcPr>
            <w:tcW w:w="10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(6,435)</w:t>
            </w: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(1,853)</w:t>
            </w:r>
          </w:p>
        </w:tc>
      </w:tr>
      <w:tr>
        <w:trPr>
          <w:trHeight w:val="204"/>
        </w:trPr>
        <w:tc>
          <w:tcPr>
            <w:tcW w:w="7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Accounts payable, accrued expenses and other liabilities</w:t>
            </w:r>
          </w:p>
        </w:tc>
        <w:tc>
          <w:tcPr>
            <w:tcW w:w="10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10,177</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(325)</w:t>
            </w:r>
          </w:p>
        </w:tc>
      </w:tr>
      <w:tr>
        <w:trPr>
          <w:trHeight w:val="190"/>
        </w:trPr>
        <w:tc>
          <w:tcPr>
            <w:tcW w:w="77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10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(15,180)</w:t>
            </w: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(15,622)</w:t>
            </w:r>
          </w:p>
        </w:tc>
      </w:tr>
      <w:tr>
        <w:trPr>
          <w:trHeight w:val="204"/>
        </w:trPr>
        <w:tc>
          <w:tcPr>
            <w:tcW w:w="7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Payment of contingent consideration</w:t>
            </w:r>
          </w:p>
        </w:tc>
        <w:tc>
          <w:tcPr>
            <w:tcW w:w="108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(11,000)</w:t>
            </w:r>
          </w:p>
        </w:tc>
        <w:tc>
          <w:tcPr>
            <w:tcW w:w="100" w:type="dxa"/>
            <w:vAlign w:val="bottom"/>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27"/>
        </w:trPr>
        <w:tc>
          <w:tcPr>
            <w:tcW w:w="7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10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163,179</w:t>
            </w:r>
          </w:p>
        </w:tc>
        <w:tc>
          <w:tcPr>
            <w:tcW w:w="10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132,160</w:t>
            </w:r>
          </w:p>
        </w:tc>
      </w:tr>
      <w:tr>
        <w:trPr>
          <w:trHeight w:val="190"/>
        </w:trPr>
        <w:tc>
          <w:tcPr>
            <w:tcW w:w="770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Cash flows from investing activities:</w:t>
            </w:r>
          </w:p>
        </w:tc>
        <w:tc>
          <w:tcPr>
            <w:tcW w:w="1080" w:type="dxa"/>
            <w:vAlign w:val="bottom"/>
            <w:tcBorders>
              <w:top w:val="single" w:sz="8" w:color="CCEEFF"/>
            </w:tcBorders>
          </w:tcPr>
          <w:p>
            <w:pPr>
              <w:spacing w:after="0"/>
              <w:rPr>
                <w:sz w:val="16"/>
                <w:szCs w:val="16"/>
                <w:color w:val="auto"/>
              </w:rPr>
            </w:pPr>
          </w:p>
        </w:tc>
        <w:tc>
          <w:tcPr>
            <w:tcW w:w="64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080" w:type="dxa"/>
            <w:vAlign w:val="bottom"/>
            <w:tcBorders>
              <w:top w:val="single" w:sz="8" w:color="CCEEFF"/>
            </w:tcBorders>
          </w:tcPr>
          <w:p>
            <w:pPr>
              <w:spacing w:after="0"/>
              <w:rPr>
                <w:sz w:val="16"/>
                <w:szCs w:val="16"/>
                <w:color w:val="auto"/>
              </w:rPr>
            </w:pPr>
          </w:p>
        </w:tc>
        <w:tc>
          <w:tcPr>
            <w:tcW w:w="640" w:type="dxa"/>
            <w:vAlign w:val="bottom"/>
            <w:tcBorders>
              <w:top w:val="single" w:sz="8" w:color="CCEEFF"/>
            </w:tcBorders>
          </w:tcPr>
          <w:p>
            <w:pPr>
              <w:spacing w:after="0"/>
              <w:rPr>
                <w:sz w:val="16"/>
                <w:szCs w:val="16"/>
                <w:color w:val="auto"/>
              </w:rPr>
            </w:pPr>
          </w:p>
        </w:tc>
      </w:tr>
      <w:tr>
        <w:trPr>
          <w:trHeight w:val="204"/>
        </w:trPr>
        <w:tc>
          <w:tcPr>
            <w:tcW w:w="7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Purchases of property and equipment</w:t>
            </w:r>
          </w:p>
        </w:tc>
        <w:tc>
          <w:tcPr>
            <w:tcW w:w="10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(36,188)</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(41,106)</w:t>
            </w:r>
          </w:p>
        </w:tc>
      </w:tr>
      <w:tr>
        <w:trPr>
          <w:trHeight w:val="190"/>
        </w:trPr>
        <w:tc>
          <w:tcPr>
            <w:tcW w:w="77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Proceeds from sale of property and equipment</w:t>
            </w:r>
          </w:p>
        </w:tc>
        <w:tc>
          <w:tcPr>
            <w:tcW w:w="10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w:t>
            </w: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640</w:t>
            </w:r>
          </w:p>
        </w:tc>
      </w:tr>
      <w:tr>
        <w:trPr>
          <w:trHeight w:val="204"/>
        </w:trPr>
        <w:tc>
          <w:tcPr>
            <w:tcW w:w="7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Investment in equity affiliate</w:t>
            </w:r>
          </w:p>
        </w:tc>
        <w:tc>
          <w:tcPr>
            <w:tcW w:w="10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(600)</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(600)</w:t>
            </w:r>
          </w:p>
        </w:tc>
      </w:tr>
      <w:tr>
        <w:trPr>
          <w:trHeight w:val="190"/>
        </w:trPr>
        <w:tc>
          <w:tcPr>
            <w:tcW w:w="77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Business acquisition (net of cash acquired)</w:t>
            </w:r>
          </w:p>
        </w:tc>
        <w:tc>
          <w:tcPr>
            <w:tcW w:w="10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(24,466)</w:t>
            </w: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4"/>
        </w:trPr>
        <w:tc>
          <w:tcPr>
            <w:tcW w:w="7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Purchases of investments</w:t>
            </w:r>
          </w:p>
        </w:tc>
        <w:tc>
          <w:tcPr>
            <w:tcW w:w="10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(225,555)</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(165,021)</w:t>
            </w:r>
          </w:p>
        </w:tc>
      </w:tr>
      <w:tr>
        <w:trPr>
          <w:trHeight w:val="190"/>
        </w:trPr>
        <w:tc>
          <w:tcPr>
            <w:tcW w:w="77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4"/>
                <w:szCs w:val="14"/>
                <w:color w:val="auto"/>
              </w:rPr>
              <w:t>Proceeds from redemption of investments</w:t>
            </w:r>
          </w:p>
        </w:tc>
        <w:tc>
          <w:tcPr>
            <w:tcW w:w="10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192,162</w:t>
            </w:r>
          </w:p>
        </w:tc>
        <w:tc>
          <w:tcPr>
            <w:tcW w:w="10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217,525</w:t>
            </w:r>
          </w:p>
        </w:tc>
      </w:tr>
      <w:tr>
        <w:trPr>
          <w:trHeight w:val="197"/>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(used for)/provided by investing activities</w:t>
            </w:r>
          </w:p>
        </w:tc>
        <w:tc>
          <w:tcPr>
            <w:tcW w:w="108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(94,475)</w:t>
            </w:r>
          </w:p>
        </w:tc>
        <w:tc>
          <w:tcPr>
            <w:tcW w:w="100" w:type="dxa"/>
            <w:vAlign w:val="bottom"/>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11,438</w:t>
            </w:r>
          </w:p>
        </w:tc>
      </w:tr>
      <w:tr>
        <w:trPr>
          <w:trHeight w:val="32"/>
        </w:trPr>
        <w:tc>
          <w:tcPr>
            <w:tcW w:w="77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197"/>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flows from financing activities:</w:t>
            </w:r>
          </w:p>
        </w:tc>
        <w:tc>
          <w:tcPr>
            <w:tcW w:w="10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r>
      <w:tr>
        <w:trPr>
          <w:trHeight w:val="190"/>
        </w:trPr>
        <w:tc>
          <w:tcPr>
            <w:tcW w:w="77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Principal payments of finance lease liabilities</w:t>
            </w:r>
          </w:p>
        </w:tc>
        <w:tc>
          <w:tcPr>
            <w:tcW w:w="10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w:t>
            </w: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w:t>
            </w:r>
          </w:p>
        </w:tc>
      </w:tr>
      <w:tr>
        <w:trPr>
          <w:trHeight w:val="204"/>
        </w:trPr>
        <w:tc>
          <w:tcPr>
            <w:tcW w:w="7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Proceeds from borrowings</w:t>
            </w:r>
          </w:p>
        </w:tc>
        <w:tc>
          <w:tcPr>
            <w:tcW w:w="10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290,000</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70,000</w:t>
            </w:r>
          </w:p>
        </w:tc>
      </w:tr>
      <w:tr>
        <w:trPr>
          <w:trHeight w:val="190"/>
        </w:trPr>
        <w:tc>
          <w:tcPr>
            <w:tcW w:w="77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Repayments of borrowings</w:t>
            </w:r>
          </w:p>
        </w:tc>
        <w:tc>
          <w:tcPr>
            <w:tcW w:w="10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(145,000)</w:t>
            </w: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(110,000)</w:t>
            </w:r>
          </w:p>
        </w:tc>
      </w:tr>
      <w:tr>
        <w:trPr>
          <w:trHeight w:val="204"/>
        </w:trPr>
        <w:tc>
          <w:tcPr>
            <w:tcW w:w="7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Acquisition of treasury stock</w:t>
            </w:r>
          </w:p>
        </w:tc>
        <w:tc>
          <w:tcPr>
            <w:tcW w:w="10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(195,880)</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(100,542)</w:t>
            </w:r>
          </w:p>
        </w:tc>
      </w:tr>
      <w:tr>
        <w:trPr>
          <w:trHeight w:val="190"/>
        </w:trPr>
        <w:tc>
          <w:tcPr>
            <w:tcW w:w="77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Payment of contingent consideration</w:t>
            </w:r>
          </w:p>
        </w:tc>
        <w:tc>
          <w:tcPr>
            <w:tcW w:w="10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(4,000)</w:t>
            </w: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(5,000)</w:t>
            </w:r>
          </w:p>
        </w:tc>
      </w:tr>
      <w:tr>
        <w:trPr>
          <w:trHeight w:val="204"/>
        </w:trPr>
        <w:tc>
          <w:tcPr>
            <w:tcW w:w="7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Proceeds from issuance of common stock</w:t>
            </w:r>
          </w:p>
        </w:tc>
        <w:tc>
          <w:tcPr>
            <w:tcW w:w="10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3,524</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4,690</w:t>
            </w:r>
          </w:p>
        </w:tc>
      </w:tr>
      <w:tr>
        <w:trPr>
          <w:trHeight w:val="190"/>
        </w:trPr>
        <w:tc>
          <w:tcPr>
            <w:tcW w:w="77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4"/>
                <w:szCs w:val="14"/>
                <w:color w:val="auto"/>
              </w:rPr>
              <w:t>Payment of debt issuance costs</w:t>
            </w:r>
          </w:p>
        </w:tc>
        <w:tc>
          <w:tcPr>
            <w:tcW w:w="10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(593)</w:t>
            </w:r>
          </w:p>
        </w:tc>
        <w:tc>
          <w:tcPr>
            <w:tcW w:w="10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7"/>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used for financing activities</w:t>
            </w:r>
          </w:p>
        </w:tc>
        <w:tc>
          <w:tcPr>
            <w:tcW w:w="108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(52,171)</w:t>
            </w:r>
          </w:p>
        </w:tc>
        <w:tc>
          <w:tcPr>
            <w:tcW w:w="100" w:type="dxa"/>
            <w:vAlign w:val="bottom"/>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(140,972)</w:t>
            </w:r>
          </w:p>
        </w:tc>
      </w:tr>
      <w:tr>
        <w:trPr>
          <w:trHeight w:val="183"/>
        </w:trPr>
        <w:tc>
          <w:tcPr>
            <w:tcW w:w="7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Effect of exchange rate changes on cash, cash equivalents and restricted cash</w:t>
            </w:r>
          </w:p>
        </w:tc>
        <w:tc>
          <w:tcPr>
            <w:tcW w:w="10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1,330</w:t>
            </w:r>
          </w:p>
        </w:tc>
        <w:tc>
          <w:tcPr>
            <w:tcW w:w="10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(288)</w:t>
            </w:r>
          </w:p>
        </w:tc>
      </w:tr>
      <w:tr>
        <w:trPr>
          <w:trHeight w:val="197"/>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increase in cash, cash equivalents and restricted cash</w:t>
            </w:r>
          </w:p>
        </w:tc>
        <w:tc>
          <w:tcPr>
            <w:tcW w:w="10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17,863</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2,338</w:t>
            </w:r>
          </w:p>
        </w:tc>
      </w:tr>
      <w:tr>
        <w:trPr>
          <w:trHeight w:val="190"/>
        </w:trPr>
        <w:tc>
          <w:tcPr>
            <w:tcW w:w="7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 at the beginning of the period</w:t>
            </w:r>
          </w:p>
        </w:tc>
        <w:tc>
          <w:tcPr>
            <w:tcW w:w="10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145,401</w:t>
            </w:r>
          </w:p>
        </w:tc>
        <w:tc>
          <w:tcPr>
            <w:tcW w:w="10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125,621</w:t>
            </w:r>
          </w:p>
        </w:tc>
      </w:tr>
      <w:tr>
        <w:trPr>
          <w:trHeight w:val="215"/>
        </w:trPr>
        <w:tc>
          <w:tcPr>
            <w:tcW w:w="7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 at the end of the period</w:t>
            </w:r>
          </w:p>
        </w:tc>
        <w:tc>
          <w:tcPr>
            <w:tcW w:w="1080" w:type="dxa"/>
            <w:vAlign w:val="bottom"/>
            <w:tcBorders>
              <w:bottom w:val="single" w:sz="8" w:color="auto"/>
            </w:tcBorders>
            <w:shd w:val="clear" w:color="auto" w:fill="CCEEFF"/>
          </w:tcPr>
          <w:p>
            <w:pPr>
              <w:jc w:val="right"/>
              <w:ind w:right="930"/>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163,264</w:t>
            </w:r>
          </w:p>
        </w:tc>
        <w:tc>
          <w:tcPr>
            <w:tcW w:w="10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91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127,959</w:t>
            </w:r>
          </w:p>
        </w:tc>
      </w:tr>
      <w:tr>
        <w:trPr>
          <w:trHeight w:val="23"/>
        </w:trPr>
        <w:tc>
          <w:tcPr>
            <w:tcW w:w="77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r>
      <w:tr>
        <w:trPr>
          <w:trHeight w:val="199"/>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 of cash flow information:</w:t>
            </w:r>
          </w:p>
        </w:tc>
        <w:tc>
          <w:tcPr>
            <w:tcW w:w="10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r>
      <w:tr>
        <w:trPr>
          <w:trHeight w:val="190"/>
        </w:trPr>
        <w:tc>
          <w:tcPr>
            <w:tcW w:w="7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paid during the period for:</w:t>
            </w:r>
          </w:p>
        </w:tc>
        <w:tc>
          <w:tcPr>
            <w:tcW w:w="10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204"/>
        </w:trPr>
        <w:tc>
          <w:tcPr>
            <w:tcW w:w="7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Interest</w:t>
            </w:r>
          </w:p>
        </w:tc>
        <w:tc>
          <w:tcPr>
            <w:tcW w:w="1080" w:type="dxa"/>
            <w:vAlign w:val="bottom"/>
            <w:shd w:val="clear" w:color="auto" w:fill="CCEEFF"/>
          </w:tcPr>
          <w:p>
            <w:pPr>
              <w:jc w:val="right"/>
              <w:ind w:right="930"/>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14,346</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91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10,580</w:t>
            </w:r>
          </w:p>
        </w:tc>
      </w:tr>
      <w:tr>
        <w:trPr>
          <w:trHeight w:val="190"/>
        </w:trPr>
        <w:tc>
          <w:tcPr>
            <w:tcW w:w="77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Income taxes</w:t>
            </w:r>
          </w:p>
        </w:tc>
        <w:tc>
          <w:tcPr>
            <w:tcW w:w="1080" w:type="dxa"/>
            <w:vAlign w:val="bottom"/>
          </w:tcPr>
          <w:p>
            <w:pPr>
              <w:jc w:val="right"/>
              <w:ind w:right="930"/>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78,069</w:t>
            </w:r>
          </w:p>
        </w:tc>
        <w:tc>
          <w:tcPr>
            <w:tcW w:w="100" w:type="dxa"/>
            <w:vAlign w:val="bottom"/>
          </w:tcPr>
          <w:p>
            <w:pPr>
              <w:spacing w:after="0"/>
              <w:rPr>
                <w:sz w:val="16"/>
                <w:szCs w:val="16"/>
                <w:color w:val="auto"/>
              </w:rPr>
            </w:pPr>
          </w:p>
        </w:tc>
        <w:tc>
          <w:tcPr>
            <w:tcW w:w="1080" w:type="dxa"/>
            <w:vAlign w:val="bottom"/>
          </w:tcPr>
          <w:p>
            <w:pPr>
              <w:jc w:val="right"/>
              <w:ind w:right="91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76,743</w:t>
            </w:r>
          </w:p>
        </w:tc>
      </w:tr>
      <w:tr>
        <w:trPr>
          <w:trHeight w:val="204"/>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Supplemental disclosure of non-cash investing and financing activities:</w:t>
            </w:r>
          </w:p>
        </w:tc>
        <w:tc>
          <w:tcPr>
            <w:tcW w:w="10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r>
      <w:tr>
        <w:trPr>
          <w:trHeight w:val="190"/>
        </w:trPr>
        <w:tc>
          <w:tcPr>
            <w:tcW w:w="77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Additions to property and equipment not yet paid</w:t>
            </w:r>
          </w:p>
        </w:tc>
        <w:tc>
          <w:tcPr>
            <w:tcW w:w="1080" w:type="dxa"/>
            <w:vAlign w:val="bottom"/>
          </w:tcPr>
          <w:p>
            <w:pPr>
              <w:jc w:val="right"/>
              <w:ind w:right="930"/>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2,756</w:t>
            </w:r>
          </w:p>
        </w:tc>
        <w:tc>
          <w:tcPr>
            <w:tcW w:w="100" w:type="dxa"/>
            <w:vAlign w:val="bottom"/>
          </w:tcPr>
          <w:p>
            <w:pPr>
              <w:spacing w:after="0"/>
              <w:rPr>
                <w:sz w:val="16"/>
                <w:szCs w:val="16"/>
                <w:color w:val="auto"/>
              </w:rPr>
            </w:pPr>
          </w:p>
        </w:tc>
        <w:tc>
          <w:tcPr>
            <w:tcW w:w="1080" w:type="dxa"/>
            <w:vAlign w:val="bottom"/>
          </w:tcPr>
          <w:p>
            <w:pPr>
              <w:jc w:val="right"/>
              <w:ind w:right="91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3,975</w:t>
            </w:r>
          </w:p>
        </w:tc>
      </w:tr>
      <w:tr>
        <w:trPr>
          <w:trHeight w:val="204"/>
        </w:trPr>
        <w:tc>
          <w:tcPr>
            <w:tcW w:w="7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Assets acquired under finance lease</w:t>
            </w:r>
          </w:p>
        </w:tc>
        <w:tc>
          <w:tcPr>
            <w:tcW w:w="1080" w:type="dxa"/>
            <w:vAlign w:val="bottom"/>
            <w:shd w:val="clear" w:color="auto" w:fill="CCEEFF"/>
          </w:tcPr>
          <w:p>
            <w:pPr>
              <w:jc w:val="right"/>
              <w:ind w:right="930"/>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972</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91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w:t>
            </w:r>
          </w:p>
        </w:tc>
      </w:tr>
    </w:tbl>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See accompanying notes to unaudited consolidated financial statements.</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7"/>
          <w:szCs w:val="17"/>
          <w:b w:val="1"/>
          <w:bCs w:val="1"/>
          <w:color w:val="auto"/>
        </w:rPr>
        <w:t>EXLSERVICE HOLDINGS, INC.</w:t>
      </w:r>
    </w:p>
    <w:p>
      <w:pPr>
        <w:spacing w:after="0" w:line="11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7"/>
          <w:szCs w:val="17"/>
          <w:b w:val="1"/>
          <w:bCs w:val="1"/>
          <w:color w:val="auto"/>
        </w:rPr>
        <w:t>NOTES TO UNAUDITED CONSOLIDATED FINANCIAL STATEMENTS</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September 30, 2024</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per share amount and share count)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 Organization</w:t>
      </w:r>
    </w:p>
    <w:p>
      <w:pPr>
        <w:spacing w:after="0" w:line="239" w:lineRule="exact"/>
        <w:rPr>
          <w:sz w:val="20"/>
          <w:szCs w:val="20"/>
          <w:color w:val="auto"/>
        </w:rPr>
      </w:pPr>
    </w:p>
    <w:p>
      <w:pPr>
        <w:jc w:val="both"/>
        <w:ind w:firstLine="393"/>
        <w:spacing w:after="0" w:line="251" w:lineRule="auto"/>
        <w:rPr>
          <w:sz w:val="20"/>
          <w:szCs w:val="20"/>
          <w:color w:val="auto"/>
        </w:rPr>
      </w:pPr>
      <w:r>
        <w:rPr>
          <w:rFonts w:ascii="Times New Roman" w:cs="Times New Roman" w:eastAsia="Times New Roman" w:hAnsi="Times New Roman"/>
          <w:sz w:val="17"/>
          <w:szCs w:val="17"/>
          <w:color w:val="auto"/>
        </w:rPr>
        <w:t>ExlService Holdings, Inc. (“ExlService Holdings”) is organized as a corporation under the laws of the State of Delaware. ExlService Holdings, together with its subsidiaries and affiliates (collectively, the “Company”), is a leading data analytics and digital operations and solutions company. The Company partners with clients using a data and AI-led approach to reinvent business models, drive better business outcomes and unlock growth with speed. The Company harnesses the power of data, analytics, artificial intelligence (“AI”), and deep industry knowledge to transform operations for the world’s leading corporations in industries including insurance, healthcare, banking and financial services, media and retail, among others.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Company’s clients are located principally in the United States of America (“U.S.”) and the United Kingdom (“U.K.”).</w:t>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 Summary of Significant Accounting Policies</w:t>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 Basis of Preparation and Principles of Consolidation</w:t>
      </w:r>
    </w:p>
    <w:p>
      <w:pPr>
        <w:spacing w:after="0" w:line="241" w:lineRule="exact"/>
        <w:rPr>
          <w:sz w:val="20"/>
          <w:szCs w:val="20"/>
          <w:color w:val="auto"/>
        </w:rPr>
      </w:pPr>
    </w:p>
    <w:p>
      <w:pPr>
        <w:jc w:val="both"/>
        <w:ind w:firstLine="393"/>
        <w:spacing w:after="0" w:line="249" w:lineRule="auto"/>
        <w:rPr>
          <w:sz w:val="20"/>
          <w:szCs w:val="20"/>
          <w:color w:val="auto"/>
        </w:rPr>
      </w:pPr>
      <w:r>
        <w:rPr>
          <w:rFonts w:ascii="Times New Roman" w:cs="Times New Roman" w:eastAsia="Times New Roman" w:hAnsi="Times New Roman"/>
          <w:sz w:val="17"/>
          <w:szCs w:val="17"/>
          <w:color w:val="auto"/>
        </w:rPr>
        <w:t>The unaudited consolidated financial statements have been prepared in conformity with United States generally accepted accounting principles (“U.S. GAAP”) for interim financial information, the instructions to Form 10-Q and Article 10 of Regulation S-X. Accordingly, they do not include all of the information and footnotes required by U.S. GAAP for annual financial statements and therefore should be read in conjunction with the audited consolidated financial statements and footnotes thereto included in the Company’s Annual Report on Form 10-K for the fiscal year ended December 31, 2023.</w:t>
      </w:r>
    </w:p>
    <w:p>
      <w:pPr>
        <w:spacing w:after="0" w:line="198" w:lineRule="exact"/>
        <w:rPr>
          <w:sz w:val="20"/>
          <w:szCs w:val="20"/>
          <w:color w:val="auto"/>
        </w:rPr>
      </w:pPr>
    </w:p>
    <w:p>
      <w:pPr>
        <w:jc w:val="both"/>
        <w:ind w:firstLine="393"/>
        <w:spacing w:after="0" w:line="261" w:lineRule="auto"/>
        <w:rPr>
          <w:sz w:val="20"/>
          <w:szCs w:val="20"/>
          <w:color w:val="auto"/>
        </w:rPr>
      </w:pPr>
      <w:r>
        <w:rPr>
          <w:rFonts w:ascii="Times New Roman" w:cs="Times New Roman" w:eastAsia="Times New Roman" w:hAnsi="Times New Roman"/>
          <w:sz w:val="17"/>
          <w:szCs w:val="17"/>
          <w:color w:val="auto"/>
        </w:rPr>
        <w:t>The unaudited consolidated financial statements reflect all adjustments (of a normal and recurring nature) that management considers necessary for a fair presentation of such statements for the interim periods presented. The unaudited consolidated statements of income for the interim periods presented are not necessarily indicative of the results for the full year or for any subsequent period.</w:t>
      </w:r>
    </w:p>
    <w:p>
      <w:pPr>
        <w:spacing w:after="0" w:line="188" w:lineRule="exact"/>
        <w:rPr>
          <w:sz w:val="20"/>
          <w:szCs w:val="20"/>
          <w:color w:val="auto"/>
        </w:rPr>
      </w:pPr>
    </w:p>
    <w:p>
      <w:pPr>
        <w:jc w:val="both"/>
        <w:ind w:firstLine="393"/>
        <w:spacing w:after="0" w:line="261" w:lineRule="auto"/>
        <w:rPr>
          <w:sz w:val="20"/>
          <w:szCs w:val="20"/>
          <w:color w:val="auto"/>
        </w:rPr>
      </w:pPr>
      <w:r>
        <w:rPr>
          <w:rFonts w:ascii="Times New Roman" w:cs="Times New Roman" w:eastAsia="Times New Roman" w:hAnsi="Times New Roman"/>
          <w:sz w:val="17"/>
          <w:szCs w:val="17"/>
          <w:color w:val="auto"/>
        </w:rPr>
        <w:t>The accompanying unaudited consolidated financial statements include the financial statements of ExlService Holdings and all of its subsidiaries. The standalone financial statements of subsidiaries are fully consolidated on a line-by-line basis. Intra-group balances and transactions, and gains and losses arising from intra-group transactions, are eliminated while preparing consolidated financial statements.</w:t>
      </w:r>
    </w:p>
    <w:p>
      <w:pPr>
        <w:spacing w:after="0" w:line="188" w:lineRule="exact"/>
        <w:rPr>
          <w:sz w:val="20"/>
          <w:szCs w:val="20"/>
          <w:color w:val="auto"/>
        </w:rPr>
      </w:pPr>
    </w:p>
    <w:p>
      <w:pPr>
        <w:jc w:val="both"/>
        <w:ind w:firstLine="315"/>
        <w:spacing w:after="0" w:line="261" w:lineRule="auto"/>
        <w:rPr>
          <w:sz w:val="20"/>
          <w:szCs w:val="20"/>
          <w:color w:val="auto"/>
        </w:rPr>
      </w:pPr>
      <w:r>
        <w:rPr>
          <w:rFonts w:ascii="Times New Roman" w:cs="Times New Roman" w:eastAsia="Times New Roman" w:hAnsi="Times New Roman"/>
          <w:sz w:val="17"/>
          <w:szCs w:val="17"/>
          <w:color w:val="auto"/>
        </w:rPr>
        <w:t>The Company’s investments in equity affiliates are initially recorded at cost and any excess purchase consideration paid over proportionate share of the fair value of the net assets of the investee at the acquisition date is recognized as goodwill. The proportionate share of net income or loss of the investee after its acquisition is recognized in the unaudited consolidated statements of income.</w:t>
      </w:r>
    </w:p>
    <w:p>
      <w:pPr>
        <w:spacing w:after="0" w:line="188" w:lineRule="exact"/>
        <w:rPr>
          <w:sz w:val="20"/>
          <w:szCs w:val="20"/>
          <w:color w:val="auto"/>
        </w:rPr>
      </w:pPr>
    </w:p>
    <w:p>
      <w:pPr>
        <w:jc w:val="both"/>
        <w:ind w:firstLine="393"/>
        <w:spacing w:after="0" w:line="281" w:lineRule="auto"/>
        <w:rPr>
          <w:sz w:val="20"/>
          <w:szCs w:val="20"/>
          <w:color w:val="auto"/>
        </w:rPr>
      </w:pPr>
      <w:r>
        <w:rPr>
          <w:rFonts w:ascii="Times New Roman" w:cs="Times New Roman" w:eastAsia="Times New Roman" w:hAnsi="Times New Roman"/>
          <w:sz w:val="17"/>
          <w:szCs w:val="17"/>
          <w:color w:val="auto"/>
        </w:rPr>
        <w:t>Accounting policies of the respective individual subsidiaries and equity affiliates are aligned wherever necessary, so as to ensure consistency with the accounting policies that are adopted by the Company under U.S. GAAP.</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 Use of Estimates</w:t>
      </w:r>
    </w:p>
    <w:p>
      <w:pPr>
        <w:spacing w:after="0" w:line="241" w:lineRule="exact"/>
        <w:rPr>
          <w:sz w:val="20"/>
          <w:szCs w:val="20"/>
          <w:color w:val="auto"/>
        </w:rPr>
      </w:pPr>
    </w:p>
    <w:p>
      <w:pPr>
        <w:jc w:val="both"/>
        <w:ind w:firstLine="393"/>
        <w:spacing w:after="0" w:line="248" w:lineRule="auto"/>
        <w:rPr>
          <w:sz w:val="20"/>
          <w:szCs w:val="20"/>
          <w:color w:val="auto"/>
        </w:rPr>
      </w:pPr>
      <w:r>
        <w:rPr>
          <w:rFonts w:ascii="Times New Roman" w:cs="Times New Roman" w:eastAsia="Times New Roman" w:hAnsi="Times New Roman"/>
          <w:sz w:val="17"/>
          <w:szCs w:val="17"/>
          <w:color w:val="auto"/>
        </w:rPr>
        <w:t>The preparation of the unaudited consolidated financial statements in conformity with U.S. GAAP requires management to make estimates and assumptions that affect the carrying amounts of assets and liabilities and disclosure of contingent assets and liabilities included in the unaudited consolidated financial statements. Although these estimates are based on management’s best assessment of the current business environment, actual results may be different from those estimates. The significant estimates that affect the unaudited consolidated financial statements include, but are not limited to, estimates of the fair value of</w:t>
      </w:r>
    </w:p>
    <w:p>
      <w:pPr>
        <w:spacing w:after="0" w:line="19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7"/>
          <w:szCs w:val="17"/>
          <w:color w:val="auto"/>
        </w:rPr>
        <w:t>the identifiable intangible assets and contingent consideration, purchase price allocation, including revenue projections and the discount rate applied within the discounted cash flow model for business acquisitions, credit risk of customers, the nature and timing of the satisfaction of performance obligations, the standalone selling price of performance obligations, and variable consideration in a customer contract, expected recoverability from customers with contingent fee arrangements, estimated costs</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EXLSERVICE HOLDINGS, INC.</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UNAUDITED CONSOLIDATED FINANCIAL STATEMENTS—(continued)</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September 30, 2024</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per share amount and share count)</w:t>
      </w:r>
    </w:p>
    <w:p>
      <w:pPr>
        <w:spacing w:after="0" w:line="21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to complete fixed price contracts, assets and obligations related to employee benefit plans, deferred tax valuation allowances, income tax uncertainties and other contingencies, valuation of derivative financial instruments and stock-based awards, and useful life of long-lived assets and other intangible assets. The significant assumptions underneath these estimates include, but are not limited to assumptions to calculate stock-based compensation expense, determine incremental borrowing rate to calculate lease liabilities and right-of-use (“ROU”) assets, determine lease term to calculate single operating lease cost, determine pattern of generation of economic benefits to calculate depreciation and amortization for long-lived assets and other intangible assets, and recoverability of long-lived assets, goodwill and other intangible assets.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 Recent Accounting Pronouncements</w:t>
      </w:r>
    </w:p>
    <w:p>
      <w:pPr>
        <w:spacing w:after="0" w:line="239" w:lineRule="exact"/>
        <w:rPr>
          <w:sz w:val="20"/>
          <w:szCs w:val="20"/>
          <w:color w:val="auto"/>
        </w:rPr>
      </w:pPr>
    </w:p>
    <w:p>
      <w:pPr>
        <w:jc w:val="both"/>
        <w:ind w:firstLine="393"/>
        <w:spacing w:after="0" w:line="244" w:lineRule="auto"/>
        <w:rPr>
          <w:sz w:val="20"/>
          <w:szCs w:val="20"/>
          <w:color w:val="auto"/>
        </w:rPr>
      </w:pPr>
      <w:r>
        <w:rPr>
          <w:rFonts w:ascii="Times New Roman" w:cs="Times New Roman" w:eastAsia="Times New Roman" w:hAnsi="Times New Roman"/>
          <w:sz w:val="17"/>
          <w:szCs w:val="17"/>
          <w:color w:val="auto"/>
        </w:rPr>
        <w:t xml:space="preserve">In October 2023, the Financial Accounting Standards Board (“FASB”) issued Accounting Standard Update (“ASU”) 2023-06, </w:t>
      </w:r>
      <w:r>
        <w:rPr>
          <w:rFonts w:ascii="Times New Roman" w:cs="Times New Roman" w:eastAsia="Times New Roman" w:hAnsi="Times New Roman"/>
          <w:sz w:val="17"/>
          <w:szCs w:val="17"/>
          <w:i w:val="1"/>
          <w:iCs w:val="1"/>
          <w:color w:val="auto"/>
        </w:rPr>
        <w:t>Disclosure Improvements: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Codification Amendments in Response to the SEC’s Disclosure Update and Simplification Initiative</w:t>
      </w:r>
      <w:r>
        <w:rPr>
          <w:rFonts w:ascii="Times New Roman" w:cs="Times New Roman" w:eastAsia="Times New Roman" w:hAnsi="Times New Roman"/>
          <w:sz w:val="17"/>
          <w:szCs w:val="17"/>
          <w:color w:val="auto"/>
        </w:rPr>
        <w:t>. This ASU modifies the disclosure or presentation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requirements of a variety of Topics in the Codification. Certain of the amendments represent clarifications to or technical corrections of the current requirements. For entities subject to the SEC’s existing disclosure requirements and for entities required to file or furnish financial statements with or to the SEC in preparation for the sale of or for purposes of issuing securities that are not subject to contractual restrictions on transfer, the effective date for each amendment will be the date on which the SEC’s removal of that related disclosure from Regulation S-X or Regulation S-K becomes effective, with early adoption prohibited. The amendments in this ASU should be applied prospectively. For all entities, if by June 30, 2027, the SEC has not removed the applicable requirement from Regulation S-X or Regulation S-K, the pending content of the related amendment will be removed from the Codification and will not become effective for any entity. The adoption of this ASU will not have a material impact on the Company’s unaudited consolidated financial statements. The Company will continue to monitor for SEC action, and plan accordingly for adoption.</w:t>
      </w:r>
    </w:p>
    <w:p>
      <w:pPr>
        <w:spacing w:after="0" w:line="216" w:lineRule="exact"/>
        <w:rPr>
          <w:sz w:val="20"/>
          <w:szCs w:val="20"/>
          <w:color w:val="auto"/>
        </w:rPr>
      </w:pPr>
    </w:p>
    <w:p>
      <w:pPr>
        <w:jc w:val="both"/>
        <w:ind w:firstLine="393"/>
        <w:spacing w:after="0" w:line="263" w:lineRule="auto"/>
        <w:rPr>
          <w:sz w:val="20"/>
          <w:szCs w:val="20"/>
          <w:color w:val="auto"/>
        </w:rPr>
      </w:pPr>
      <w:r>
        <w:rPr>
          <w:rFonts w:ascii="Times New Roman" w:cs="Times New Roman" w:eastAsia="Times New Roman" w:hAnsi="Times New Roman"/>
          <w:sz w:val="17"/>
          <w:szCs w:val="17"/>
          <w:color w:val="auto"/>
        </w:rPr>
        <w:t xml:space="preserve">In November 2023, FASB issued ASU No. 2023-07, </w:t>
      </w:r>
      <w:r>
        <w:rPr>
          <w:rFonts w:ascii="Times New Roman" w:cs="Times New Roman" w:eastAsia="Times New Roman" w:hAnsi="Times New Roman"/>
          <w:sz w:val="17"/>
          <w:szCs w:val="17"/>
          <w:i w:val="1"/>
          <w:iCs w:val="1"/>
          <w:color w:val="auto"/>
        </w:rPr>
        <w:t>Segment Reporting (“Accounting Standards Codification (“ASC”) Topic 280”): Improvements to</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Reportable Segment Disclosures</w:t>
      </w:r>
      <w:r>
        <w:rPr>
          <w:rFonts w:ascii="Times New Roman" w:cs="Times New Roman" w:eastAsia="Times New Roman" w:hAnsi="Times New Roman"/>
          <w:sz w:val="17"/>
          <w:szCs w:val="17"/>
          <w:color w:val="auto"/>
        </w:rPr>
        <w:t>. This ASU improves reportable segment disclosure requirements on an annual and interim basis for all public entities by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requiring disclosure of significant segment expenses that are regularly reviewed by the chief operating decision maker (“CODM”) and included within each reported measure of segment profit or loss, an amount and description of its composition for other segment items, and interim disclosures of a reportable segment's profit or loss and assets. The ASU also allows, in addition to the measure that is most consistent with U.S. GAAP, the disclosure of additional measures of segment profit or loss that are used by the CODM in assessing segment performance and deciding how to allocate resources. The ASU is effective for fiscal years beginning after December 15, 2023, and interim periods within fiscal years beginning after December 15, 2024, with early adoption permitted. The Company is currently evaluating the impact of this ASU on its unaudited consolidated financial statements.</w:t>
      </w:r>
    </w:p>
    <w:p>
      <w:pPr>
        <w:spacing w:after="0" w:line="201" w:lineRule="exact"/>
        <w:rPr>
          <w:sz w:val="20"/>
          <w:szCs w:val="20"/>
          <w:color w:val="auto"/>
        </w:rPr>
      </w:pPr>
    </w:p>
    <w:p>
      <w:pPr>
        <w:jc w:val="both"/>
        <w:ind w:firstLine="393"/>
        <w:spacing w:after="0" w:line="271" w:lineRule="auto"/>
        <w:rPr>
          <w:sz w:val="20"/>
          <w:szCs w:val="20"/>
          <w:color w:val="auto"/>
        </w:rPr>
      </w:pPr>
      <w:r>
        <w:rPr>
          <w:rFonts w:ascii="Times New Roman" w:cs="Times New Roman" w:eastAsia="Times New Roman" w:hAnsi="Times New Roman"/>
          <w:sz w:val="17"/>
          <w:szCs w:val="17"/>
          <w:color w:val="auto"/>
        </w:rPr>
        <w:t xml:space="preserve">In December 2023, FASB issued ASU No. 2023-09, </w:t>
      </w:r>
      <w:r>
        <w:rPr>
          <w:rFonts w:ascii="Times New Roman" w:cs="Times New Roman" w:eastAsia="Times New Roman" w:hAnsi="Times New Roman"/>
          <w:sz w:val="17"/>
          <w:szCs w:val="17"/>
          <w:i w:val="1"/>
          <w:iCs w:val="1"/>
          <w:color w:val="auto"/>
        </w:rPr>
        <w:t>Income Taxes (“ASC Topic 740”), Improvements to Income Tax Disclosures</w:t>
      </w:r>
      <w:r>
        <w:rPr>
          <w:rFonts w:ascii="Times New Roman" w:cs="Times New Roman" w:eastAsia="Times New Roman" w:hAnsi="Times New Roman"/>
          <w:sz w:val="17"/>
          <w:szCs w:val="17"/>
          <w:color w:val="auto"/>
        </w:rPr>
        <w:t>. This ASU expands disclosures relating to the entity’s income tax rate reconciliation, income taxes paid and certain other disclosures related to income taxes. The ASU will be effective for annual periods beginning after December 15, 2024. The Company is currently evaluating the impact of this ASU on its unaudited consolidated financial statements.</w:t>
      </w:r>
    </w:p>
    <w:p>
      <w:pPr>
        <w:spacing w:after="0" w:line="164" w:lineRule="exact"/>
        <w:rPr>
          <w:sz w:val="20"/>
          <w:szCs w:val="20"/>
          <w:color w:val="auto"/>
        </w:rPr>
      </w:pPr>
    </w:p>
    <w:p>
      <w:pPr>
        <w:ind w:left="240" w:hanging="235"/>
        <w:spacing w:after="0"/>
        <w:tabs>
          <w:tab w:leader="none" w:pos="240" w:val="left"/>
        </w:tabs>
        <w:numPr>
          <w:ilvl w:val="0"/>
          <w:numId w:val="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i w:val="1"/>
          <w:iCs w:val="1"/>
          <w:color w:val="auto"/>
        </w:rPr>
        <w:t>Recently adopted Accounting Pronouncements</w:t>
      </w:r>
    </w:p>
    <w:p>
      <w:pPr>
        <w:spacing w:after="0" w:line="239" w:lineRule="exact"/>
        <w:rPr>
          <w:sz w:val="20"/>
          <w:szCs w:val="20"/>
          <w:color w:val="auto"/>
        </w:rPr>
      </w:pPr>
    </w:p>
    <w:p>
      <w:pPr>
        <w:jc w:val="both"/>
        <w:ind w:firstLine="393"/>
        <w:spacing w:after="0" w:line="245" w:lineRule="auto"/>
        <w:rPr>
          <w:sz w:val="20"/>
          <w:szCs w:val="20"/>
          <w:color w:val="auto"/>
        </w:rPr>
      </w:pPr>
      <w:r>
        <w:rPr>
          <w:rFonts w:ascii="Times New Roman" w:cs="Times New Roman" w:eastAsia="Times New Roman" w:hAnsi="Times New Roman"/>
          <w:sz w:val="17"/>
          <w:szCs w:val="17"/>
          <w:color w:val="auto"/>
        </w:rPr>
        <w:t xml:space="preserve">In March 2023, FASB issued ASU No. 2023-01, </w:t>
      </w:r>
      <w:r>
        <w:rPr>
          <w:rFonts w:ascii="Times New Roman" w:cs="Times New Roman" w:eastAsia="Times New Roman" w:hAnsi="Times New Roman"/>
          <w:sz w:val="17"/>
          <w:szCs w:val="17"/>
          <w:i w:val="1"/>
          <w:iCs w:val="1"/>
          <w:color w:val="auto"/>
        </w:rPr>
        <w:t>Leases (“ASC Topic 842”): Common Control Arrangements</w:t>
      </w:r>
      <w:r>
        <w:rPr>
          <w:rFonts w:ascii="Times New Roman" w:cs="Times New Roman" w:eastAsia="Times New Roman" w:hAnsi="Times New Roman"/>
          <w:sz w:val="17"/>
          <w:szCs w:val="17"/>
          <w:color w:val="auto"/>
        </w:rPr>
        <w:t>. This ASU provides guidance in ASC Topic 842 that leasehold improvements associated with common control leases should be (i) amortized by the lessee over the useful life of the leasehold improvements to the common control group, regardless of the lease term, as long as the lessee controls the use of the underlying asset through a lease, and (ii) accounted for as a transfer between entities under common control through an adjustment to equity if and when the lessee no longer controls the use of the underlying asset. The ASU is effective for fiscal years beginning after December 15, 2023. Early adoption is permitted for both interim and annual financial statements that have not yet been issued. When adopted in an interim period, it must be adopted from the beginning of the year that includes that interim period. The Company does not have any lease arrangements with entities under common control and the adoption of this ASU did not have a material impact on its unaudited consolidated financial statements.</w:t>
      </w:r>
    </w:p>
    <w:p>
      <w:pPr>
        <w:spacing w:after="0" w:line="200" w:lineRule="exact"/>
        <w:rPr>
          <w:sz w:val="20"/>
          <w:szCs w:val="20"/>
          <w:color w:val="auto"/>
        </w:rPr>
      </w:pPr>
    </w:p>
    <w:p>
      <w:pPr>
        <w:jc w:val="both"/>
        <w:ind w:firstLine="393"/>
        <w:spacing w:after="0" w:line="255" w:lineRule="auto"/>
        <w:rPr>
          <w:sz w:val="20"/>
          <w:szCs w:val="20"/>
          <w:color w:val="auto"/>
        </w:rPr>
      </w:pPr>
      <w:r>
        <w:rPr>
          <w:rFonts w:ascii="Times New Roman" w:cs="Times New Roman" w:eastAsia="Times New Roman" w:hAnsi="Times New Roman"/>
          <w:sz w:val="17"/>
          <w:szCs w:val="17"/>
          <w:color w:val="auto"/>
        </w:rPr>
        <w:t xml:space="preserve">In March 2024, FASB issued ASU No. 2024-01, </w:t>
      </w:r>
      <w:r>
        <w:rPr>
          <w:rFonts w:ascii="Times New Roman" w:cs="Times New Roman" w:eastAsia="Times New Roman" w:hAnsi="Times New Roman"/>
          <w:sz w:val="17"/>
          <w:szCs w:val="17"/>
          <w:i w:val="1"/>
          <w:iCs w:val="1"/>
          <w:color w:val="auto"/>
        </w:rPr>
        <w:t>Compensation-Stock Compensation (“ASC Topic 718”)</w:t>
      </w:r>
      <w:r>
        <w:rPr>
          <w:rFonts w:ascii="Times New Roman" w:cs="Times New Roman" w:eastAsia="Times New Roman" w:hAnsi="Times New Roman"/>
          <w:sz w:val="17"/>
          <w:szCs w:val="17"/>
          <w:color w:val="auto"/>
        </w:rPr>
        <w:t>. This ASU clarifies how to evaluate whether profits interest and similar awards given to employees and non-employees are within the scope of share-based payment arrangement under ASC Topic 718. The ASU will be effective for annual periods beginning after December 15, 2024, including interim periods within those years, with early adoption permitted. The Company has early</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EXLSERVICE HOLDINGS, INC.</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UNAUDITED CONSOLIDATED FINANCIAL STATEMENTS—(continued)</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September 30, 2024</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per share amount and share count)</w:t>
      </w:r>
    </w:p>
    <w:p>
      <w:pPr>
        <w:spacing w:after="0" w:line="21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adopted this ASU beginning January 1, 2024. The adoption of this ASU did not have a material impact on the Company’s unaudited consolidated financial statements.</w:t>
      </w:r>
    </w:p>
    <w:p>
      <w:pPr>
        <w:spacing w:after="0" w:line="183" w:lineRule="exact"/>
        <w:rPr>
          <w:sz w:val="20"/>
          <w:szCs w:val="20"/>
          <w:color w:val="auto"/>
        </w:rPr>
      </w:pPr>
    </w:p>
    <w:p>
      <w:pPr>
        <w:jc w:val="both"/>
        <w:ind w:firstLine="393"/>
        <w:spacing w:after="0" w:line="271" w:lineRule="auto"/>
        <w:rPr>
          <w:sz w:val="20"/>
          <w:szCs w:val="20"/>
          <w:color w:val="auto"/>
        </w:rPr>
      </w:pPr>
      <w:r>
        <w:rPr>
          <w:rFonts w:ascii="Times New Roman" w:cs="Times New Roman" w:eastAsia="Times New Roman" w:hAnsi="Times New Roman"/>
          <w:sz w:val="17"/>
          <w:szCs w:val="17"/>
          <w:color w:val="auto"/>
        </w:rPr>
        <w:t xml:space="preserve">In March 2024, FASB issued ASU No. 2024-02, </w:t>
      </w:r>
      <w:r>
        <w:rPr>
          <w:rFonts w:ascii="Times New Roman" w:cs="Times New Roman" w:eastAsia="Times New Roman" w:hAnsi="Times New Roman"/>
          <w:sz w:val="17"/>
          <w:szCs w:val="17"/>
          <w:i w:val="1"/>
          <w:iCs w:val="1"/>
          <w:color w:val="auto"/>
        </w:rPr>
        <w:t>Codification Improvements—Amendments to Remove References to the Concepts Statements</w:t>
      </w:r>
      <w:r>
        <w:rPr>
          <w:rFonts w:ascii="Times New Roman" w:cs="Times New Roman" w:eastAsia="Times New Roman" w:hAnsi="Times New Roman"/>
          <w:sz w:val="17"/>
          <w:szCs w:val="17"/>
          <w:color w:val="auto"/>
        </w:rPr>
        <w:t>. This ASU contains amendments to the ASC that remove references to various FASB Concepts Statements. The ASU will be effective for annual periods beginning after December 15, 2024, with early adoption permitted. The Company has early adopted this ASU beginning January 1, 2024. The adoption of this ASU did not have a material impact on the Company’s unaudited consolidated financial statements.</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3. Segment and Geographical Information</w:t>
      </w:r>
    </w:p>
    <w:p>
      <w:pPr>
        <w:spacing w:after="0" w:line="23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The Company is a provider of data analytics and digital operations and solutions.</w:t>
      </w:r>
    </w:p>
    <w:p>
      <w:pPr>
        <w:spacing w:after="0" w:line="237" w:lineRule="exact"/>
        <w:rPr>
          <w:sz w:val="20"/>
          <w:szCs w:val="20"/>
          <w:color w:val="auto"/>
        </w:rPr>
      </w:pPr>
    </w:p>
    <w:p>
      <w:pPr>
        <w:jc w:val="both"/>
        <w:ind w:firstLine="393"/>
        <w:spacing w:after="0" w:line="261" w:lineRule="auto"/>
        <w:rPr>
          <w:sz w:val="20"/>
          <w:szCs w:val="20"/>
          <w:color w:val="auto"/>
        </w:rPr>
      </w:pPr>
      <w:r>
        <w:rPr>
          <w:rFonts w:ascii="Times New Roman" w:cs="Times New Roman" w:eastAsia="Times New Roman" w:hAnsi="Times New Roman"/>
          <w:sz w:val="17"/>
          <w:szCs w:val="17"/>
          <w:color w:val="auto"/>
        </w:rPr>
        <w:t>The Company manages and reports financial information through its four reportable segments: Insurance, Healthcare, Analytics and Emerging Business, which reflects how management reviews financial information and makes operating decisions. These business units develop client-specific solutions, build capabilities, maintain a unified go-to-market approach and are integrally responsible for service delivery, customer satisfaction, growth and profitability.</w:t>
      </w:r>
    </w:p>
    <w:p>
      <w:pPr>
        <w:spacing w:after="0" w:line="188" w:lineRule="exact"/>
        <w:rPr>
          <w:sz w:val="20"/>
          <w:szCs w:val="20"/>
          <w:color w:val="auto"/>
        </w:rPr>
      </w:pPr>
    </w:p>
    <w:p>
      <w:pPr>
        <w:ind w:right="500" w:firstLine="393"/>
        <w:spacing w:after="0" w:line="265" w:lineRule="auto"/>
        <w:rPr>
          <w:sz w:val="20"/>
          <w:szCs w:val="20"/>
          <w:color w:val="auto"/>
        </w:rPr>
      </w:pPr>
      <w:r>
        <w:rPr>
          <w:rFonts w:ascii="Times New Roman" w:cs="Times New Roman" w:eastAsia="Times New Roman" w:hAnsi="Times New Roman"/>
          <w:sz w:val="17"/>
          <w:szCs w:val="17"/>
          <w:color w:val="auto"/>
        </w:rPr>
        <w:t>The CODM generally reviews financial information such as revenues, cost of revenues and gross profit, disaggregated by the operating segments to allocate an overall budget among the operating segments.</w:t>
      </w:r>
    </w:p>
    <w:p>
      <w:pPr>
        <w:spacing w:after="0" w:line="185" w:lineRule="exact"/>
        <w:rPr>
          <w:sz w:val="20"/>
          <w:szCs w:val="20"/>
          <w:color w:val="auto"/>
        </w:rPr>
      </w:pPr>
    </w:p>
    <w:p>
      <w:pPr>
        <w:jc w:val="both"/>
        <w:ind w:firstLine="393"/>
        <w:spacing w:after="0" w:line="261" w:lineRule="auto"/>
        <w:rPr>
          <w:sz w:val="20"/>
          <w:szCs w:val="20"/>
          <w:color w:val="auto"/>
        </w:rPr>
      </w:pPr>
      <w:r>
        <w:rPr>
          <w:rFonts w:ascii="Times New Roman" w:cs="Times New Roman" w:eastAsia="Times New Roman" w:hAnsi="Times New Roman"/>
          <w:sz w:val="17"/>
          <w:szCs w:val="17"/>
          <w:color w:val="auto"/>
        </w:rPr>
        <w:t>The Company does not allocate and therefore the CODM does not evaluate, certain operating expenses, interest expense or income taxes by segment. Many of the Company’s assets are shared by multiple operating segments. The Company manages these assets on a total Company basis, not by operating segment, and therefore asset information and capital expenditures by operating segment are not presented.</w:t>
      </w:r>
    </w:p>
    <w:p>
      <w:pPr>
        <w:spacing w:after="0" w:line="188" w:lineRule="exact"/>
        <w:rPr>
          <w:sz w:val="20"/>
          <w:szCs w:val="20"/>
          <w:color w:val="auto"/>
        </w:rPr>
      </w:pPr>
    </w:p>
    <w:p>
      <w:pPr>
        <w:jc w:val="both"/>
        <w:ind w:firstLine="393"/>
        <w:spacing w:after="0" w:line="281" w:lineRule="auto"/>
        <w:rPr>
          <w:sz w:val="20"/>
          <w:szCs w:val="20"/>
          <w:color w:val="auto"/>
        </w:rPr>
      </w:pPr>
      <w:r>
        <w:rPr>
          <w:rFonts w:ascii="Times New Roman" w:cs="Times New Roman" w:eastAsia="Times New Roman" w:hAnsi="Times New Roman"/>
          <w:sz w:val="17"/>
          <w:szCs w:val="17"/>
          <w:color w:val="auto"/>
        </w:rPr>
        <w:t>The August 2024 acquisition of Incandescent Technologies, Inc. (“ITI Data”) is included in the Analytics reportable segment. Refer to Note 10 - Business Combinations, Goodwill and Other Intangible Assets to the unaudited consolidated financial statements for further details.</w:t>
      </w:r>
    </w:p>
    <w:p>
      <w:pPr>
        <w:spacing w:after="0" w:line="17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Revenues and cost of revenues for the three months ended September 30, 2024 and 2023, respectively, for each of the reportable segments, are as follows:</w:t>
      </w:r>
    </w:p>
    <w:p>
      <w:pPr>
        <w:spacing w:after="0" w:line="236" w:lineRule="exact"/>
        <w:rPr>
          <w:sz w:val="20"/>
          <w:szCs w:val="20"/>
          <w:color w:val="auto"/>
        </w:rPr>
      </w:pPr>
    </w:p>
    <w:tbl>
      <w:tblPr>
        <w:tblLayout w:type="fixed"/>
        <w:tblInd w:w="80" w:type="dxa"/>
        <w:tblCellMar>
          <w:top w:w="0" w:type="dxa"/>
          <w:left w:w="0" w:type="dxa"/>
          <w:bottom w:w="0" w:type="dxa"/>
          <w:right w:w="0" w:type="dxa"/>
        </w:tblCellMar>
      </w:tblPr>
      <w:tr>
        <w:trPr>
          <w:trHeight w:val="204"/>
        </w:trPr>
        <w:tc>
          <w:tcPr>
            <w:tcW w:w="464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3880" w:type="dxa"/>
            <w:vAlign w:val="bottom"/>
            <w:tcBorders>
              <w:top w:val="single" w:sz="8" w:color="auto"/>
              <w:bottom w:val="single" w:sz="8" w:color="auto"/>
            </w:tcBorders>
            <w:gridSpan w:val="8"/>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Three months ended September 30, 2024</w:t>
            </w:r>
          </w:p>
        </w:tc>
        <w:tc>
          <w:tcPr>
            <w:tcW w:w="24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4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b w:val="1"/>
                <w:bCs w:val="1"/>
                <w:color w:val="auto"/>
              </w:rPr>
              <w:t>Insurance</w:t>
            </w:r>
          </w:p>
        </w:tc>
        <w:tc>
          <w:tcPr>
            <w:tcW w:w="140" w:type="dxa"/>
            <w:vAlign w:val="bottom"/>
          </w:tcPr>
          <w:p>
            <w:pPr>
              <w:spacing w:after="0"/>
              <w:rPr>
                <w:sz w:val="14"/>
                <w:szCs w:val="14"/>
                <w:color w:val="auto"/>
              </w:rPr>
            </w:pPr>
          </w:p>
        </w:tc>
        <w:tc>
          <w:tcPr>
            <w:tcW w:w="120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b w:val="1"/>
                <w:bCs w:val="1"/>
                <w:color w:val="auto"/>
              </w:rPr>
              <w:t>Healthcare</w:t>
            </w:r>
          </w:p>
        </w:tc>
        <w:tc>
          <w:tcPr>
            <w:tcW w:w="180" w:type="dxa"/>
            <w:vAlign w:val="bottom"/>
          </w:tcPr>
          <w:p>
            <w:pPr>
              <w:spacing w:after="0"/>
              <w:rPr>
                <w:sz w:val="14"/>
                <w:szCs w:val="14"/>
                <w:color w:val="auto"/>
              </w:rPr>
            </w:pPr>
          </w:p>
        </w:tc>
        <w:tc>
          <w:tcPr>
            <w:tcW w:w="1160" w:type="dxa"/>
            <w:vAlign w:val="bottom"/>
            <w:gridSpan w:val="2"/>
          </w:tcPr>
          <w:p>
            <w:pPr>
              <w:jc w:val="center"/>
              <w:ind w:right="300"/>
              <w:spacing w:after="0" w:line="170" w:lineRule="exact"/>
              <w:rPr>
                <w:sz w:val="20"/>
                <w:szCs w:val="20"/>
                <w:color w:val="auto"/>
              </w:rPr>
            </w:pPr>
            <w:r>
              <w:rPr>
                <w:rFonts w:ascii="Times New Roman" w:cs="Times New Roman" w:eastAsia="Times New Roman" w:hAnsi="Times New Roman"/>
                <w:sz w:val="17"/>
                <w:szCs w:val="17"/>
                <w:b w:val="1"/>
                <w:bCs w:val="1"/>
                <w:color w:val="auto"/>
              </w:rPr>
              <w:t>Emerging</w:t>
            </w:r>
          </w:p>
        </w:tc>
        <w:tc>
          <w:tcPr>
            <w:tcW w:w="180" w:type="dxa"/>
            <w:vAlign w:val="bottom"/>
          </w:tcPr>
          <w:p>
            <w:pPr>
              <w:spacing w:after="0"/>
              <w:rPr>
                <w:sz w:val="14"/>
                <w:szCs w:val="14"/>
                <w:color w:val="auto"/>
              </w:rPr>
            </w:pPr>
          </w:p>
        </w:tc>
        <w:tc>
          <w:tcPr>
            <w:tcW w:w="116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b w:val="1"/>
                <w:bCs w:val="1"/>
                <w:color w:val="auto"/>
              </w:rPr>
              <w:t>Analytics</w:t>
            </w:r>
          </w:p>
        </w:tc>
        <w:tc>
          <w:tcPr>
            <w:tcW w:w="240" w:type="dxa"/>
            <w:vAlign w:val="bottom"/>
          </w:tcPr>
          <w:p>
            <w:pPr>
              <w:spacing w:after="0"/>
              <w:rPr>
                <w:sz w:val="14"/>
                <w:szCs w:val="14"/>
                <w:color w:val="auto"/>
              </w:rPr>
            </w:pPr>
          </w:p>
        </w:tc>
        <w:tc>
          <w:tcPr>
            <w:tcW w:w="940" w:type="dxa"/>
            <w:vAlign w:val="bottom"/>
            <w:vMerge w:val="restart"/>
          </w:tcPr>
          <w:p>
            <w:pPr>
              <w:jc w:val="right"/>
              <w:ind w:right="313"/>
              <w:spacing w:after="0"/>
              <w:rPr>
                <w:sz w:val="20"/>
                <w:szCs w:val="20"/>
                <w:color w:val="auto"/>
              </w:rPr>
            </w:pPr>
            <w:r>
              <w:rPr>
                <w:rFonts w:ascii="Times New Roman" w:cs="Times New Roman" w:eastAsia="Times New Roman" w:hAnsi="Times New Roman"/>
                <w:sz w:val="17"/>
                <w:szCs w:val="17"/>
                <w:b w:val="1"/>
                <w:bCs w:val="1"/>
                <w:color w:val="auto"/>
              </w:rPr>
              <w:t>Total</w:t>
            </w:r>
          </w:p>
        </w:tc>
        <w:tc>
          <w:tcPr>
            <w:tcW w:w="0" w:type="dxa"/>
            <w:vAlign w:val="bottom"/>
          </w:tcPr>
          <w:p>
            <w:pPr>
              <w:spacing w:after="0"/>
              <w:rPr>
                <w:sz w:val="1"/>
                <w:szCs w:val="1"/>
                <w:color w:val="auto"/>
              </w:rPr>
            </w:pPr>
          </w:p>
        </w:tc>
      </w:tr>
      <w:tr>
        <w:trPr>
          <w:trHeight w:val="236"/>
        </w:trPr>
        <w:tc>
          <w:tcPr>
            <w:tcW w:w="4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rPr>
              <w:t>Business</w:t>
            </w:r>
          </w:p>
        </w:tc>
        <w:tc>
          <w:tcPr>
            <w:tcW w:w="180" w:type="dxa"/>
            <w:vAlign w:val="bottom"/>
          </w:tcPr>
          <w:p>
            <w:pPr>
              <w:spacing w:after="0"/>
              <w:rPr>
                <w:sz w:val="20"/>
                <w:szCs w:val="20"/>
                <w:color w:val="auto"/>
              </w:rPr>
            </w:pPr>
          </w:p>
        </w:tc>
        <w:tc>
          <w:tcPr>
            <w:tcW w:w="1160" w:type="dxa"/>
            <w:vAlign w:val="bottom"/>
            <w:gridSpan w:val="2"/>
            <w:vMerge w:val="continue"/>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Revenues, net</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157,574</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30,498</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79,999</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204,002</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472,073</w:t>
            </w:r>
          </w:p>
        </w:tc>
        <w:tc>
          <w:tcPr>
            <w:tcW w:w="0" w:type="dxa"/>
            <w:vAlign w:val="bottom"/>
          </w:tcPr>
          <w:p>
            <w:pPr>
              <w:spacing w:after="0"/>
              <w:rPr>
                <w:sz w:val="1"/>
                <w:szCs w:val="1"/>
                <w:color w:val="auto"/>
              </w:rPr>
            </w:pPr>
          </w:p>
        </w:tc>
      </w:tr>
      <w:tr>
        <w:trPr>
          <w:trHeight w:val="223"/>
        </w:trPr>
        <w:tc>
          <w:tcPr>
            <w:tcW w:w="4640" w:type="dxa"/>
            <w:vAlign w:val="bottom"/>
            <w:tcBorders>
              <w:bottom w:val="single" w:sz="8" w:color="CCEEFF"/>
            </w:tcBorders>
          </w:tcPr>
          <w:p>
            <w:pPr>
              <w:spacing w:after="0" w:line="223" w:lineRule="exact"/>
              <w:rPr>
                <w:sz w:val="20"/>
                <w:szCs w:val="20"/>
                <w:color w:val="auto"/>
              </w:rPr>
            </w:pPr>
            <w:r>
              <w:rPr>
                <w:rFonts w:ascii="Times New Roman" w:cs="Times New Roman" w:eastAsia="Times New Roman" w:hAnsi="Times New Roman"/>
                <w:sz w:val="17"/>
                <w:szCs w:val="17"/>
                <w:color w:val="auto"/>
              </w:rPr>
              <w:t xml:space="preserve">Cost of revenues </w:t>
            </w:r>
            <w:r>
              <w:rPr>
                <w:rFonts w:ascii="Times New Roman" w:cs="Times New Roman" w:eastAsia="Times New Roman" w:hAnsi="Times New Roman"/>
                <w:sz w:val="22"/>
                <w:szCs w:val="22"/>
                <w:color w:val="auto"/>
                <w:vertAlign w:val="superscript"/>
              </w:rPr>
              <w:t>(1)</w:t>
            </w: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100,327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20,254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47,834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125,391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293,806</w:t>
            </w:r>
          </w:p>
        </w:tc>
        <w:tc>
          <w:tcPr>
            <w:tcW w:w="0" w:type="dxa"/>
            <w:vAlign w:val="bottom"/>
          </w:tcPr>
          <w:p>
            <w:pPr>
              <w:spacing w:after="0"/>
              <w:rPr>
                <w:sz w:val="1"/>
                <w:szCs w:val="1"/>
                <w:color w:val="auto"/>
              </w:rPr>
            </w:pPr>
          </w:p>
        </w:tc>
      </w:tr>
      <w:tr>
        <w:trPr>
          <w:trHeight w:val="241"/>
        </w:trPr>
        <w:tc>
          <w:tcPr>
            <w:tcW w:w="4640" w:type="dxa"/>
            <w:vAlign w:val="bottom"/>
            <w:tcBorders>
              <w:bottom w:val="single" w:sz="8" w:color="CCEEFF"/>
            </w:tcBorders>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 xml:space="preserve">Gross profit </w:t>
            </w:r>
            <w:r>
              <w:rPr>
                <w:rFonts w:ascii="Times New Roman" w:cs="Times New Roman" w:eastAsia="Times New Roman" w:hAnsi="Times New Roman"/>
                <w:sz w:val="22"/>
                <w:szCs w:val="22"/>
                <w:color w:val="auto"/>
                <w:vertAlign w:val="superscript"/>
              </w:rPr>
              <w:t>(1)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57,247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10,244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32,165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78,611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178,267</w:t>
            </w:r>
          </w:p>
        </w:tc>
        <w:tc>
          <w:tcPr>
            <w:tcW w:w="0" w:type="dxa"/>
            <w:vAlign w:val="bottom"/>
          </w:tcPr>
          <w:p>
            <w:pPr>
              <w:spacing w:after="0"/>
              <w:rPr>
                <w:sz w:val="1"/>
                <w:szCs w:val="1"/>
                <w:color w:val="auto"/>
              </w:rPr>
            </w:pP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119" w:right="339" w:bottom="1440" w:gutter="0" w:footer="0" w:header="0"/>
        </w:sectPr>
      </w:pPr>
    </w:p>
    <w:p>
      <w:pPr>
        <w:ind w:left="80"/>
        <w:spacing w:after="0"/>
        <w:rPr>
          <w:sz w:val="20"/>
          <w:szCs w:val="20"/>
          <w:color w:val="auto"/>
        </w:rPr>
      </w:pPr>
      <w:r>
        <w:rPr>
          <w:rFonts w:ascii="Times New Roman" w:cs="Times New Roman" w:eastAsia="Times New Roman" w:hAnsi="Times New Roman"/>
          <w:sz w:val="17"/>
          <w:szCs w:val="17"/>
          <w:color w:val="auto"/>
        </w:rPr>
        <w:t>Operating expenses</w:t>
      </w:r>
    </w:p>
    <w:p>
      <w:pPr>
        <w:spacing w:after="0" w:line="1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color w:val="auto"/>
        </w:rPr>
        <w:t>Foreign exchange gain, net, interest expense and other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-116840</wp:posOffset>
            </wp:positionV>
            <wp:extent cx="7061200" cy="2584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61200" cy="258445"/>
                    </a:xfrm>
                    <a:prstGeom prst="rect">
                      <a:avLst/>
                    </a:prstGeom>
                    <a:noFill/>
                  </pic:spPr>
                </pic:pic>
              </a:graphicData>
            </a:graphic>
          </wp:anchor>
        </w:drawing>
      </w:r>
    </w:p>
    <w:p>
      <w:pPr>
        <w:ind w:left="80"/>
        <w:spacing w:after="0"/>
        <w:rPr>
          <w:sz w:val="20"/>
          <w:szCs w:val="20"/>
          <w:color w:val="auto"/>
        </w:rPr>
      </w:pPr>
      <w:r>
        <w:rPr>
          <w:rFonts w:ascii="Times New Roman" w:cs="Times New Roman" w:eastAsia="Times New Roman" w:hAnsi="Times New Roman"/>
          <w:sz w:val="17"/>
          <w:szCs w:val="17"/>
          <w:color w:val="auto"/>
        </w:rPr>
        <w:t>net</w:t>
      </w:r>
    </w:p>
    <w:p>
      <w:pPr>
        <w:spacing w:after="0" w:line="2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color w:val="auto"/>
        </w:rPr>
        <w:t>Income tax expense</w:t>
      </w:r>
    </w:p>
    <w:p>
      <w:pPr>
        <w:spacing w:after="0" w:line="3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color w:val="auto"/>
        </w:rPr>
        <w:t>Loss from equity-method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-123190</wp:posOffset>
            </wp:positionV>
            <wp:extent cx="7061200" cy="1416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061200" cy="141605"/>
                    </a:xfrm>
                    <a:prstGeom prst="rect">
                      <a:avLst/>
                    </a:prstGeom>
                    <a:noFill/>
                  </pic:spPr>
                </pic:pic>
              </a:graphicData>
            </a:graphic>
          </wp:anchor>
        </w:drawing>
      </w:r>
    </w:p>
    <w:p>
      <w:pPr>
        <w:spacing w:after="0" w:line="4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color w:val="auto"/>
        </w:rPr>
        <w:t>Net income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 Exclusive of depreciation and amortization expense.</w:t>
      </w:r>
    </w:p>
    <w:p>
      <w:pPr>
        <w:spacing w:after="0" w:line="20" w:lineRule="exact"/>
        <w:rPr>
          <w:sz w:val="20"/>
          <w:szCs w:val="20"/>
          <w:color w:val="auto"/>
        </w:rPr>
      </w:pPr>
      <w:r>
        <w:rPr>
          <w:sz w:val="20"/>
          <w:szCs w:val="20"/>
          <w:color w:val="auto"/>
        </w:rPr>
        <w:br w:type="column"/>
      </w:r>
    </w:p>
    <w:p>
      <w:pPr>
        <w:ind w:left="506"/>
        <w:spacing w:after="0"/>
        <w:rPr>
          <w:sz w:val="20"/>
          <w:szCs w:val="20"/>
          <w:color w:val="auto"/>
        </w:rPr>
      </w:pPr>
      <w:r>
        <w:rPr>
          <w:rFonts w:ascii="Times New Roman" w:cs="Times New Roman" w:eastAsia="Times New Roman" w:hAnsi="Times New Roman"/>
          <w:sz w:val="17"/>
          <w:szCs w:val="17"/>
          <w:color w:val="auto"/>
        </w:rPr>
        <w:t>108,862</w:t>
      </w:r>
    </w:p>
    <w:p>
      <w:pPr>
        <w:spacing w:after="0" w:line="114"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7"/>
          <w:szCs w:val="17"/>
          <w:color w:val="auto"/>
        </w:rPr>
        <w:t>(874)</w:t>
      </w:r>
    </w:p>
    <w:p>
      <w:pPr>
        <w:spacing w:after="0" w:line="119" w:lineRule="exact"/>
        <w:rPr>
          <w:sz w:val="20"/>
          <w:szCs w:val="20"/>
          <w:color w:val="auto"/>
        </w:rPr>
      </w:pPr>
    </w:p>
    <w:p>
      <w:pPr>
        <w:ind w:left="606"/>
        <w:spacing w:after="0"/>
        <w:rPr>
          <w:sz w:val="20"/>
          <w:szCs w:val="20"/>
          <w:color w:val="auto"/>
        </w:rPr>
      </w:pPr>
      <w:r>
        <w:rPr>
          <w:rFonts w:ascii="Times New Roman" w:cs="Times New Roman" w:eastAsia="Times New Roman" w:hAnsi="Times New Roman"/>
          <w:sz w:val="17"/>
          <w:szCs w:val="17"/>
          <w:color w:val="auto"/>
        </w:rPr>
        <w:t>15,460</w:t>
      </w:r>
    </w:p>
    <w:p>
      <w:pPr>
        <w:spacing w:after="0" w:line="32" w:lineRule="exact"/>
        <w:rPr>
          <w:sz w:val="20"/>
          <w:szCs w:val="20"/>
          <w:color w:val="auto"/>
        </w:rPr>
      </w:pPr>
    </w:p>
    <w:p>
      <w:pPr>
        <w:ind w:left="826"/>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17780</wp:posOffset>
            </wp:positionV>
            <wp:extent cx="74104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41045" cy="8255"/>
                    </a:xfrm>
                    <a:prstGeom prst="rect">
                      <a:avLst/>
                    </a:prstGeom>
                    <a:noFill/>
                  </pic:spPr>
                </pic:pic>
              </a:graphicData>
            </a:graphic>
          </wp:anchor>
        </w:drawing>
      </w:r>
    </w:p>
    <w:p>
      <w:pPr>
        <w:spacing w:after="0" w:line="16" w:lineRule="exact"/>
        <w:rPr>
          <w:sz w:val="20"/>
          <w:szCs w:val="20"/>
          <w:color w:val="auto"/>
        </w:rPr>
      </w:pPr>
    </w:p>
    <w:p>
      <w:pPr>
        <w:ind w:left="606" w:hanging="606"/>
        <w:spacing w:after="0"/>
        <w:tabs>
          <w:tab w:leader="none" w:pos="60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53,037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20955</wp:posOffset>
            </wp:positionV>
            <wp:extent cx="74104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41045" cy="825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45720</wp:posOffset>
            </wp:positionV>
            <wp:extent cx="74104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41045" cy="8255"/>
                    </a:xfrm>
                    <a:prstGeom prst="rect">
                      <a:avLst/>
                    </a:prstGeom>
                    <a:noFill/>
                  </pic:spPr>
                </pic:pic>
              </a:graphicData>
            </a:graphic>
          </wp:anchor>
        </w:drawing>
      </w:r>
    </w:p>
    <w:p>
      <w:pPr>
        <w:spacing w:after="0" w:line="540" w:lineRule="exact"/>
        <w:rPr>
          <w:sz w:val="20"/>
          <w:szCs w:val="20"/>
          <w:color w:val="auto"/>
        </w:rPr>
      </w:pPr>
    </w:p>
    <w:p>
      <w:pPr>
        <w:sectPr>
          <w:pgSz w:w="11900" w:h="16838" w:orient="portrait"/>
          <w:cols w:equalWidth="0" w:num="2">
            <w:col w:w="9314" w:space="720"/>
            <w:col w:w="1206"/>
          </w:cols>
          <w:pgMar w:left="320" w:top="119"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81915</wp:posOffset>
            </wp:positionV>
            <wp:extent cx="716153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EXLSERVICE HOLDINGS, INC.</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UNAUDITED CONSOLIDATED FINANCIAL STATEMENTS—(continued)</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September 30, 2024</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per share amount and share count)</w:t>
      </w:r>
    </w:p>
    <w:p>
      <w:pPr>
        <w:spacing w:after="0" w:line="257" w:lineRule="exact"/>
        <w:rPr>
          <w:sz w:val="20"/>
          <w:szCs w:val="20"/>
          <w:color w:val="auto"/>
        </w:rPr>
      </w:pPr>
    </w:p>
    <w:tbl>
      <w:tblPr>
        <w:tblLayout w:type="fixed"/>
        <w:tblInd w:w="80" w:type="dxa"/>
        <w:tblCellMar>
          <w:top w:w="0" w:type="dxa"/>
          <w:left w:w="0" w:type="dxa"/>
          <w:bottom w:w="0" w:type="dxa"/>
          <w:right w:w="0" w:type="dxa"/>
        </w:tblCellMar>
      </w:tblPr>
      <w:tr>
        <w:trPr>
          <w:trHeight w:val="204"/>
        </w:trPr>
        <w:tc>
          <w:tcPr>
            <w:tcW w:w="482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3760" w:type="dxa"/>
            <w:vAlign w:val="bottom"/>
            <w:tcBorders>
              <w:top w:val="single" w:sz="8" w:color="auto"/>
              <w:bottom w:val="single" w:sz="8" w:color="auto"/>
            </w:tcBorders>
            <w:gridSpan w:val="8"/>
          </w:tcPr>
          <w:p>
            <w:pPr>
              <w:ind w:left="54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2023</w:t>
            </w:r>
          </w:p>
        </w:tc>
        <w:tc>
          <w:tcPr>
            <w:tcW w:w="24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4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b w:val="1"/>
                <w:bCs w:val="1"/>
                <w:color w:val="auto"/>
              </w:rPr>
              <w:t>Insurance</w:t>
            </w:r>
          </w:p>
        </w:tc>
        <w:tc>
          <w:tcPr>
            <w:tcW w:w="160" w:type="dxa"/>
            <w:vAlign w:val="bottom"/>
          </w:tcPr>
          <w:p>
            <w:pPr>
              <w:spacing w:after="0"/>
              <w:rPr>
                <w:sz w:val="14"/>
                <w:szCs w:val="14"/>
                <w:color w:val="auto"/>
              </w:rPr>
            </w:pPr>
          </w:p>
        </w:tc>
        <w:tc>
          <w:tcPr>
            <w:tcW w:w="118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b w:val="1"/>
                <w:bCs w:val="1"/>
                <w:color w:val="auto"/>
              </w:rPr>
              <w:t>Healthcare</w:t>
            </w:r>
          </w:p>
        </w:tc>
        <w:tc>
          <w:tcPr>
            <w:tcW w:w="180" w:type="dxa"/>
            <w:vAlign w:val="bottom"/>
          </w:tcPr>
          <w:p>
            <w:pPr>
              <w:spacing w:after="0"/>
              <w:rPr>
                <w:sz w:val="14"/>
                <w:szCs w:val="14"/>
                <w:color w:val="auto"/>
              </w:rPr>
            </w:pPr>
          </w:p>
        </w:tc>
        <w:tc>
          <w:tcPr>
            <w:tcW w:w="1140" w:type="dxa"/>
            <w:vAlign w:val="bottom"/>
            <w:gridSpan w:val="2"/>
          </w:tcPr>
          <w:p>
            <w:pPr>
              <w:jc w:val="center"/>
              <w:ind w:right="280"/>
              <w:spacing w:after="0" w:line="170" w:lineRule="exact"/>
              <w:rPr>
                <w:sz w:val="20"/>
                <w:szCs w:val="20"/>
                <w:color w:val="auto"/>
              </w:rPr>
            </w:pPr>
            <w:r>
              <w:rPr>
                <w:rFonts w:ascii="Times New Roman" w:cs="Times New Roman" w:eastAsia="Times New Roman" w:hAnsi="Times New Roman"/>
                <w:sz w:val="17"/>
                <w:szCs w:val="17"/>
                <w:b w:val="1"/>
                <w:bCs w:val="1"/>
                <w:color w:val="auto"/>
              </w:rPr>
              <w:t>Emerging</w:t>
            </w:r>
          </w:p>
        </w:tc>
        <w:tc>
          <w:tcPr>
            <w:tcW w:w="160" w:type="dxa"/>
            <w:vAlign w:val="bottom"/>
          </w:tcPr>
          <w:p>
            <w:pPr>
              <w:spacing w:after="0"/>
              <w:rPr>
                <w:sz w:val="14"/>
                <w:szCs w:val="14"/>
                <w:color w:val="auto"/>
              </w:rPr>
            </w:pPr>
          </w:p>
        </w:tc>
        <w:tc>
          <w:tcPr>
            <w:tcW w:w="110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b w:val="1"/>
                <w:bCs w:val="1"/>
                <w:color w:val="auto"/>
              </w:rPr>
              <w:t>Analytics</w:t>
            </w:r>
          </w:p>
        </w:tc>
        <w:tc>
          <w:tcPr>
            <w:tcW w:w="240" w:type="dxa"/>
            <w:vAlign w:val="bottom"/>
          </w:tcPr>
          <w:p>
            <w:pPr>
              <w:spacing w:after="0"/>
              <w:rPr>
                <w:sz w:val="14"/>
                <w:szCs w:val="14"/>
                <w:color w:val="auto"/>
              </w:rPr>
            </w:pPr>
          </w:p>
        </w:tc>
        <w:tc>
          <w:tcPr>
            <w:tcW w:w="880" w:type="dxa"/>
            <w:vAlign w:val="bottom"/>
            <w:vMerge w:val="restart"/>
          </w:tcPr>
          <w:p>
            <w:pPr>
              <w:jc w:val="right"/>
              <w:ind w:right="273"/>
              <w:spacing w:after="0"/>
              <w:rPr>
                <w:sz w:val="20"/>
                <w:szCs w:val="20"/>
                <w:color w:val="auto"/>
              </w:rPr>
            </w:pPr>
            <w:r>
              <w:rPr>
                <w:rFonts w:ascii="Times New Roman" w:cs="Times New Roman" w:eastAsia="Times New Roman" w:hAnsi="Times New Roman"/>
                <w:sz w:val="17"/>
                <w:szCs w:val="17"/>
                <w:b w:val="1"/>
                <w:bCs w:val="1"/>
                <w:color w:val="auto"/>
              </w:rPr>
              <w:t>Total</w:t>
            </w:r>
          </w:p>
        </w:tc>
        <w:tc>
          <w:tcPr>
            <w:tcW w:w="0" w:type="dxa"/>
            <w:vAlign w:val="bottom"/>
          </w:tcPr>
          <w:p>
            <w:pPr>
              <w:spacing w:after="0"/>
              <w:rPr>
                <w:sz w:val="1"/>
                <w:szCs w:val="1"/>
                <w:color w:val="auto"/>
              </w:rPr>
            </w:pPr>
          </w:p>
        </w:tc>
      </w:tr>
      <w:tr>
        <w:trPr>
          <w:trHeight w:val="236"/>
        </w:trPr>
        <w:tc>
          <w:tcPr>
            <w:tcW w:w="4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rPr>
              <w:t>Business</w:t>
            </w:r>
          </w:p>
        </w:tc>
        <w:tc>
          <w:tcPr>
            <w:tcW w:w="160" w:type="dxa"/>
            <w:vAlign w:val="bottom"/>
          </w:tcPr>
          <w:p>
            <w:pPr>
              <w:spacing w:after="0"/>
              <w:rPr>
                <w:sz w:val="20"/>
                <w:szCs w:val="20"/>
                <w:color w:val="auto"/>
              </w:rPr>
            </w:pPr>
          </w:p>
        </w:tc>
        <w:tc>
          <w:tcPr>
            <w:tcW w:w="1100" w:type="dxa"/>
            <w:vAlign w:val="bottom"/>
            <w:gridSpan w:val="2"/>
            <w:vMerge w:val="continue"/>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Revenues, net</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136,369</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26,177</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65,316</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183,109</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410,971</w:t>
            </w:r>
          </w:p>
        </w:tc>
        <w:tc>
          <w:tcPr>
            <w:tcW w:w="0" w:type="dxa"/>
            <w:vAlign w:val="bottom"/>
          </w:tcPr>
          <w:p>
            <w:pPr>
              <w:spacing w:after="0"/>
              <w:rPr>
                <w:sz w:val="1"/>
                <w:szCs w:val="1"/>
                <w:color w:val="auto"/>
              </w:rPr>
            </w:pPr>
          </w:p>
        </w:tc>
      </w:tr>
      <w:tr>
        <w:trPr>
          <w:trHeight w:val="223"/>
        </w:trPr>
        <w:tc>
          <w:tcPr>
            <w:tcW w:w="4820" w:type="dxa"/>
            <w:vAlign w:val="bottom"/>
            <w:tcBorders>
              <w:bottom w:val="single" w:sz="8" w:color="CCEEFF"/>
            </w:tcBorders>
          </w:tcPr>
          <w:p>
            <w:pPr>
              <w:ind w:left="20"/>
              <w:spacing w:after="0" w:line="223" w:lineRule="exact"/>
              <w:rPr>
                <w:sz w:val="20"/>
                <w:szCs w:val="20"/>
                <w:color w:val="auto"/>
              </w:rPr>
            </w:pPr>
            <w:r>
              <w:rPr>
                <w:rFonts w:ascii="Times New Roman" w:cs="Times New Roman" w:eastAsia="Times New Roman" w:hAnsi="Times New Roman"/>
                <w:sz w:val="17"/>
                <w:szCs w:val="17"/>
                <w:color w:val="auto"/>
              </w:rPr>
              <w:t xml:space="preserve">Cost of revenues </w:t>
            </w:r>
            <w:r>
              <w:rPr>
                <w:rFonts w:ascii="Times New Roman" w:cs="Times New Roman" w:eastAsia="Times New Roman" w:hAnsi="Times New Roman"/>
                <w:sz w:val="22"/>
                <w:szCs w:val="22"/>
                <w:color w:val="auto"/>
                <w:vertAlign w:val="superscript"/>
              </w:rPr>
              <w:t>(1)</w:t>
            </w: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86,435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16,533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37,599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115,435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256,002</w:t>
            </w:r>
          </w:p>
        </w:tc>
        <w:tc>
          <w:tcPr>
            <w:tcW w:w="0" w:type="dxa"/>
            <w:vAlign w:val="bottom"/>
          </w:tcPr>
          <w:p>
            <w:pPr>
              <w:spacing w:after="0"/>
              <w:rPr>
                <w:sz w:val="1"/>
                <w:szCs w:val="1"/>
                <w:color w:val="auto"/>
              </w:rPr>
            </w:pPr>
          </w:p>
        </w:tc>
      </w:tr>
      <w:tr>
        <w:trPr>
          <w:trHeight w:val="241"/>
        </w:trPr>
        <w:tc>
          <w:tcPr>
            <w:tcW w:w="4820" w:type="dxa"/>
            <w:vAlign w:val="bottom"/>
            <w:tcBorders>
              <w:bottom w:val="single" w:sz="8" w:color="CCEEFF"/>
            </w:tcBorders>
            <w:shd w:val="clear" w:color="auto" w:fill="CCEEFF"/>
          </w:tcPr>
          <w:p>
            <w:pPr>
              <w:ind w:left="20"/>
              <w:spacing w:after="0" w:line="216" w:lineRule="exact"/>
              <w:rPr>
                <w:sz w:val="20"/>
                <w:szCs w:val="20"/>
                <w:color w:val="auto"/>
              </w:rPr>
            </w:pPr>
            <w:r>
              <w:rPr>
                <w:rFonts w:ascii="Times New Roman" w:cs="Times New Roman" w:eastAsia="Times New Roman" w:hAnsi="Times New Roman"/>
                <w:sz w:val="17"/>
                <w:szCs w:val="17"/>
                <w:color w:val="auto"/>
              </w:rPr>
              <w:t xml:space="preserve">Gross profit </w:t>
            </w:r>
            <w:r>
              <w:rPr>
                <w:rFonts w:ascii="Times New Roman" w:cs="Times New Roman" w:eastAsia="Times New Roman" w:hAnsi="Times New Roman"/>
                <w:sz w:val="22"/>
                <w:szCs w:val="22"/>
                <w:color w:val="auto"/>
                <w:vertAlign w:val="superscript"/>
              </w:rPr>
              <w:t>(1)</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49,934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9,644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27,717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67,674</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154,969</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Operating expenses</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48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94,739</w:t>
            </w:r>
          </w:p>
        </w:tc>
        <w:tc>
          <w:tcPr>
            <w:tcW w:w="0" w:type="dxa"/>
            <w:vAlign w:val="bottom"/>
          </w:tcPr>
          <w:p>
            <w:pPr>
              <w:spacing w:after="0"/>
              <w:rPr>
                <w:sz w:val="1"/>
                <w:szCs w:val="1"/>
                <w:color w:val="auto"/>
              </w:rPr>
            </w:pPr>
          </w:p>
        </w:tc>
      </w:tr>
      <w:tr>
        <w:trPr>
          <w:trHeight w:val="223"/>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Foreign exchange gain, net, interest expense and other income, net</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(2,218)</w:t>
            </w:r>
          </w:p>
        </w:tc>
        <w:tc>
          <w:tcPr>
            <w:tcW w:w="0" w:type="dxa"/>
            <w:vAlign w:val="bottom"/>
          </w:tcPr>
          <w:p>
            <w:pPr>
              <w:spacing w:after="0"/>
              <w:rPr>
                <w:sz w:val="1"/>
                <w:szCs w:val="1"/>
                <w:color w:val="auto"/>
              </w:rPr>
            </w:pPr>
          </w:p>
        </w:tc>
      </w:tr>
      <w:tr>
        <w:trPr>
          <w:trHeight w:val="223"/>
        </w:trPr>
        <w:tc>
          <w:tcPr>
            <w:tcW w:w="4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Income tax expense</w:t>
            </w: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14,161</w:t>
            </w:r>
          </w:p>
        </w:tc>
        <w:tc>
          <w:tcPr>
            <w:tcW w:w="0" w:type="dxa"/>
            <w:vAlign w:val="bottom"/>
          </w:tcPr>
          <w:p>
            <w:pPr>
              <w:spacing w:after="0"/>
              <w:rPr>
                <w:sz w:val="1"/>
                <w:szCs w:val="1"/>
                <w:color w:val="auto"/>
              </w:rPr>
            </w:pPr>
          </w:p>
        </w:tc>
      </w:tr>
      <w:tr>
        <w:trPr>
          <w:trHeight w:val="223"/>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Gain from equity-method investment</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0" w:type="dxa"/>
            <w:vAlign w:val="bottom"/>
          </w:tcPr>
          <w:p>
            <w:pPr>
              <w:spacing w:after="0"/>
              <w:rPr>
                <w:sz w:val="1"/>
                <w:szCs w:val="1"/>
                <w:color w:val="auto"/>
              </w:rPr>
            </w:pPr>
          </w:p>
        </w:tc>
      </w:tr>
      <w:tr>
        <w:trPr>
          <w:trHeight w:val="216"/>
        </w:trPr>
        <w:tc>
          <w:tcPr>
            <w:tcW w:w="4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43,876</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 Exclusive of depreciation and amortization expense.</w:t>
      </w:r>
    </w:p>
    <w:p>
      <w:pPr>
        <w:spacing w:after="0" w:line="25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Revenues and cost of revenues for the nine months ended September 30, 2024 and 2023, respectively, for each of the reportable segments,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187325</wp:posOffset>
            </wp:positionV>
            <wp:extent cx="427990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279900" cy="825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Revenues, net</w:t>
      </w:r>
    </w:p>
    <w:p>
      <w:pPr>
        <w:spacing w:after="0" w:line="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 xml:space="preserve">Cost of revenues </w:t>
      </w:r>
      <w:r>
        <w:rPr>
          <w:rFonts w:ascii="Times New Roman" w:cs="Times New Roman" w:eastAsia="Times New Roman" w:hAnsi="Times New Roman"/>
          <w:sz w:val="22"/>
          <w:szCs w:val="22"/>
          <w:color w:val="auto"/>
          <w:vertAlign w:val="superscript"/>
        </w:rPr>
        <w:t>(1)</w:t>
      </w:r>
    </w:p>
    <w:p>
      <w:pPr>
        <w:ind w:left="20"/>
        <w:spacing w:after="0"/>
        <w:rPr>
          <w:sz w:val="20"/>
          <w:szCs w:val="20"/>
          <w:color w:val="auto"/>
        </w:rPr>
      </w:pPr>
      <w:r>
        <w:rPr>
          <w:rFonts w:ascii="Times New Roman" w:cs="Times New Roman" w:eastAsia="Times New Roman" w:hAnsi="Times New Roman"/>
          <w:sz w:val="17"/>
          <w:szCs w:val="17"/>
          <w:color w:val="auto"/>
        </w:rPr>
        <w:t xml:space="preserve">Gross profit </w:t>
      </w:r>
      <w:r>
        <w:rPr>
          <w:rFonts w:ascii="Times New Roman" w:cs="Times New Roman" w:eastAsia="Times New Roman" w:hAnsi="Times New Roman"/>
          <w:sz w:val="22"/>
          <w:szCs w:val="22"/>
          <w:color w:val="auto"/>
          <w:vertAlign w:val="superscript"/>
        </w:rPr>
        <w:t>(1)</w:t>
      </w:r>
    </w:p>
    <w:p>
      <w:pPr>
        <w:spacing w:after="0" w:line="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Operating expenses</w:t>
      </w:r>
    </w:p>
    <w:p>
      <w:pPr>
        <w:spacing w:after="0" w:line="34" w:lineRule="exact"/>
        <w:rPr>
          <w:sz w:val="20"/>
          <w:szCs w:val="20"/>
          <w:color w:val="auto"/>
        </w:rPr>
      </w:pPr>
    </w:p>
    <w:p>
      <w:pPr>
        <w:ind w:left="20"/>
        <w:spacing w:after="0" w:line="248" w:lineRule="auto"/>
        <w:rPr>
          <w:sz w:val="20"/>
          <w:szCs w:val="20"/>
          <w:color w:val="auto"/>
        </w:rPr>
      </w:pPr>
      <w:r>
        <w:rPr>
          <w:rFonts w:ascii="Times New Roman" w:cs="Times New Roman" w:eastAsia="Times New Roman" w:hAnsi="Times New Roman"/>
          <w:sz w:val="17"/>
          <w:szCs w:val="17"/>
          <w:color w:val="auto"/>
        </w:rPr>
        <w:t>Foreign exchange gain, net, interest expense and other income, net</w:t>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Income tax expense</w:t>
      </w:r>
    </w:p>
    <w:p>
      <w:pPr>
        <w:spacing w:after="0" w:line="32" w:lineRule="exact"/>
        <w:rPr>
          <w:sz w:val="20"/>
          <w:szCs w:val="20"/>
          <w:color w:val="auto"/>
        </w:rPr>
      </w:pPr>
    </w:p>
    <w:p>
      <w:pPr>
        <w:ind w:left="20" w:right="1820"/>
        <w:spacing w:after="0" w:line="307" w:lineRule="auto"/>
        <w:rPr>
          <w:sz w:val="20"/>
          <w:szCs w:val="20"/>
          <w:color w:val="auto"/>
        </w:rPr>
      </w:pPr>
      <w:r>
        <w:rPr>
          <w:rFonts w:ascii="Times New Roman" w:cs="Times New Roman" w:eastAsia="Times New Roman" w:hAnsi="Times New Roman"/>
          <w:sz w:val="17"/>
          <w:szCs w:val="17"/>
          <w:color w:val="auto"/>
        </w:rPr>
        <w:t>Loss from equity-method investment Net income</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 Exclusive of depreciation and amortization expense.</w:t>
      </w:r>
    </w:p>
    <w:p>
      <w:pPr>
        <w:spacing w:after="0" w:line="20" w:lineRule="exact"/>
        <w:rPr>
          <w:sz w:val="20"/>
          <w:szCs w:val="20"/>
          <w:color w:val="auto"/>
        </w:rPr>
      </w:pPr>
      <w:r>
        <w:rPr>
          <w:sz w:val="20"/>
          <w:szCs w:val="20"/>
          <w:color w:val="auto"/>
        </w:rPr>
        <w:br w:type="column"/>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 September 30, 2024</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gridSpan w:val="2"/>
            <w:vMerge w:val="restart"/>
          </w:tcPr>
          <w:p>
            <w:pPr>
              <w:ind w:left="80"/>
              <w:spacing w:after="0"/>
              <w:rPr>
                <w:sz w:val="20"/>
                <w:szCs w:val="20"/>
                <w:color w:val="auto"/>
              </w:rPr>
            </w:pPr>
            <w:r>
              <w:rPr>
                <w:rFonts w:ascii="Times New Roman" w:cs="Times New Roman" w:eastAsia="Times New Roman" w:hAnsi="Times New Roman"/>
                <w:sz w:val="17"/>
                <w:szCs w:val="17"/>
                <w:b w:val="1"/>
                <w:bCs w:val="1"/>
                <w:color w:val="auto"/>
              </w:rPr>
              <w:t>Insurance</w:t>
            </w:r>
          </w:p>
        </w:tc>
        <w:tc>
          <w:tcPr>
            <w:tcW w:w="16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gridSpan w:val="2"/>
            <w:vMerge w:val="restart"/>
          </w:tcPr>
          <w:p>
            <w:pPr>
              <w:ind w:left="80"/>
              <w:spacing w:after="0"/>
              <w:rPr>
                <w:sz w:val="20"/>
                <w:szCs w:val="20"/>
                <w:color w:val="auto"/>
              </w:rPr>
            </w:pPr>
            <w:r>
              <w:rPr>
                <w:rFonts w:ascii="Times New Roman" w:cs="Times New Roman" w:eastAsia="Times New Roman" w:hAnsi="Times New Roman"/>
                <w:sz w:val="17"/>
                <w:szCs w:val="17"/>
                <w:b w:val="1"/>
                <w:bCs w:val="1"/>
                <w:color w:val="auto"/>
              </w:rPr>
              <w:t>Healthcare</w:t>
            </w:r>
          </w:p>
        </w:tc>
        <w:tc>
          <w:tcPr>
            <w:tcW w:w="18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gridSpan w:val="2"/>
          </w:tcPr>
          <w:p>
            <w:pPr>
              <w:jc w:val="center"/>
              <w:ind w:right="260"/>
              <w:spacing w:after="0" w:line="184" w:lineRule="exact"/>
              <w:rPr>
                <w:sz w:val="20"/>
                <w:szCs w:val="20"/>
                <w:color w:val="auto"/>
              </w:rPr>
            </w:pPr>
            <w:r>
              <w:rPr>
                <w:rFonts w:ascii="Times New Roman" w:cs="Times New Roman" w:eastAsia="Times New Roman" w:hAnsi="Times New Roman"/>
                <w:sz w:val="17"/>
                <w:szCs w:val="17"/>
                <w:b w:val="1"/>
                <w:bCs w:val="1"/>
                <w:color w:val="auto"/>
              </w:rPr>
              <w:t>Emerging</w:t>
            </w:r>
          </w:p>
        </w:tc>
        <w:tc>
          <w:tcPr>
            <w:tcW w:w="20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gridSpan w:val="2"/>
            <w:vMerge w:val="restart"/>
          </w:tcPr>
          <w:p>
            <w:pPr>
              <w:ind w:left="100"/>
              <w:spacing w:after="0"/>
              <w:rPr>
                <w:sz w:val="20"/>
                <w:szCs w:val="20"/>
                <w:color w:val="auto"/>
              </w:rPr>
            </w:pPr>
            <w:r>
              <w:rPr>
                <w:rFonts w:ascii="Times New Roman" w:cs="Times New Roman" w:eastAsia="Times New Roman" w:hAnsi="Times New Roman"/>
                <w:sz w:val="17"/>
                <w:szCs w:val="17"/>
                <w:b w:val="1"/>
                <w:bCs w:val="1"/>
                <w:color w:val="auto"/>
              </w:rPr>
              <w:t>Analytics</w:t>
            </w:r>
          </w:p>
        </w:tc>
        <w:tc>
          <w:tcPr>
            <w:tcW w:w="26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vMerge w:val="restart"/>
          </w:tcPr>
          <w:p>
            <w:pPr>
              <w:jc w:val="right"/>
              <w:ind w:right="333"/>
              <w:spacing w:after="0"/>
              <w:rPr>
                <w:sz w:val="20"/>
                <w:szCs w:val="20"/>
                <w:color w:val="auto"/>
              </w:rPr>
            </w:pPr>
            <w:r>
              <w:rPr>
                <w:rFonts w:ascii="Times New Roman" w:cs="Times New Roman" w:eastAsia="Times New Roman" w:hAnsi="Times New Roman"/>
                <w:sz w:val="17"/>
                <w:szCs w:val="17"/>
                <w:b w:val="1"/>
                <w:bCs w:val="1"/>
                <w:color w:val="auto"/>
              </w:rPr>
              <w:t>Total</w:t>
            </w:r>
          </w:p>
        </w:tc>
        <w:tc>
          <w:tcPr>
            <w:tcW w:w="0" w:type="dxa"/>
            <w:vAlign w:val="bottom"/>
          </w:tcPr>
          <w:p>
            <w:pPr>
              <w:spacing w:after="0"/>
              <w:rPr>
                <w:sz w:val="1"/>
                <w:szCs w:val="1"/>
                <w:color w:val="auto"/>
              </w:rPr>
            </w:pPr>
          </w:p>
        </w:tc>
      </w:tr>
      <w:tr>
        <w:trPr>
          <w:trHeight w:val="236"/>
        </w:trPr>
        <w:tc>
          <w:tcPr>
            <w:tcW w:w="200" w:type="dxa"/>
            <w:vAlign w:val="bottom"/>
          </w:tcPr>
          <w:p>
            <w:pPr>
              <w:spacing w:after="0"/>
              <w:rPr>
                <w:sz w:val="20"/>
                <w:szCs w:val="20"/>
                <w:color w:val="auto"/>
              </w:rPr>
            </w:pPr>
          </w:p>
        </w:tc>
        <w:tc>
          <w:tcPr>
            <w:tcW w:w="120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rPr>
              <w:t>Business</w:t>
            </w:r>
          </w:p>
        </w:tc>
        <w:tc>
          <w:tcPr>
            <w:tcW w:w="200" w:type="dxa"/>
            <w:vAlign w:val="bottom"/>
          </w:tcPr>
          <w:p>
            <w:pPr>
              <w:spacing w:after="0"/>
              <w:rPr>
                <w:sz w:val="20"/>
                <w:szCs w:val="20"/>
                <w:color w:val="auto"/>
              </w:rPr>
            </w:pPr>
          </w:p>
        </w:tc>
        <w:tc>
          <w:tcPr>
            <w:tcW w:w="1200" w:type="dxa"/>
            <w:vAlign w:val="bottom"/>
            <w:gridSpan w:val="2"/>
            <w:vMerge w:val="continue"/>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0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452,010</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84,846</w:t>
            </w:r>
          </w:p>
        </w:tc>
        <w:tc>
          <w:tcPr>
            <w:tcW w:w="8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231,576</w:t>
            </w: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588,514</w:t>
            </w:r>
          </w:p>
        </w:tc>
        <w:tc>
          <w:tcPr>
            <w:tcW w:w="100" w:type="dxa"/>
            <w:vAlign w:val="bottom"/>
          </w:tcPr>
          <w:p>
            <w:pPr>
              <w:spacing w:after="0"/>
              <w:rPr>
                <w:sz w:val="18"/>
                <w:szCs w:val="18"/>
                <w:color w:val="auto"/>
              </w:rPr>
            </w:pPr>
          </w:p>
        </w:tc>
        <w:tc>
          <w:tcPr>
            <w:tcW w:w="260" w:type="dxa"/>
            <w:vAlign w:val="bottom"/>
            <w:tcBorders>
              <w:top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1,356,946</w:t>
            </w:r>
          </w:p>
        </w:tc>
        <w:tc>
          <w:tcPr>
            <w:tcW w:w="0" w:type="dxa"/>
            <w:vAlign w:val="bottom"/>
          </w:tcPr>
          <w:p>
            <w:pPr>
              <w:spacing w:after="0"/>
              <w:rPr>
                <w:sz w:val="1"/>
                <w:szCs w:val="1"/>
                <w:color w:val="auto"/>
              </w:rPr>
            </w:pPr>
          </w:p>
        </w:tc>
      </w:tr>
      <w:tr>
        <w:trPr>
          <w:trHeight w:val="228"/>
        </w:trPr>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288,143</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56,373</w:t>
            </w: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133,882</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370,938</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849,336</w:t>
            </w:r>
          </w:p>
        </w:tc>
        <w:tc>
          <w:tcPr>
            <w:tcW w:w="0" w:type="dxa"/>
            <w:vAlign w:val="bottom"/>
          </w:tcPr>
          <w:p>
            <w:pPr>
              <w:spacing w:after="0"/>
              <w:rPr>
                <w:sz w:val="1"/>
                <w:szCs w:val="1"/>
                <w:color w:val="auto"/>
              </w:rPr>
            </w:pPr>
          </w:p>
        </w:tc>
      </w:tr>
      <w:tr>
        <w:trPr>
          <w:trHeight w:val="216"/>
        </w:trPr>
        <w:tc>
          <w:tcPr>
            <w:tcW w:w="2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163,867</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28,473</w:t>
            </w:r>
          </w:p>
        </w:tc>
        <w:tc>
          <w:tcPr>
            <w:tcW w:w="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97,694</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217,576</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507,610</w:t>
            </w:r>
          </w:p>
        </w:tc>
        <w:tc>
          <w:tcPr>
            <w:tcW w:w="0" w:type="dxa"/>
            <w:vAlign w:val="bottom"/>
          </w:tcPr>
          <w:p>
            <w:pPr>
              <w:spacing w:after="0"/>
              <w:rPr>
                <w:sz w:val="1"/>
                <w:szCs w:val="1"/>
                <w:color w:val="auto"/>
              </w:rPr>
            </w:pP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315,232</w:t>
            </w:r>
          </w:p>
        </w:tc>
        <w:tc>
          <w:tcPr>
            <w:tcW w:w="0" w:type="dxa"/>
            <w:vAlign w:val="bottom"/>
          </w:tcPr>
          <w:p>
            <w:pPr>
              <w:spacing w:after="0"/>
              <w:rPr>
                <w:sz w:val="1"/>
                <w:szCs w:val="1"/>
                <w:color w:val="auto"/>
              </w:rPr>
            </w:pPr>
          </w:p>
        </w:tc>
      </w:tr>
      <w:tr>
        <w:trPr>
          <w:trHeight w:val="309"/>
        </w:trPr>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(1,596)</w:t>
            </w:r>
          </w:p>
        </w:tc>
        <w:tc>
          <w:tcPr>
            <w:tcW w:w="0" w:type="dxa"/>
            <w:vAlign w:val="bottom"/>
          </w:tcPr>
          <w:p>
            <w:pPr>
              <w:spacing w:after="0"/>
              <w:rPr>
                <w:sz w:val="1"/>
                <w:szCs w:val="1"/>
                <w:color w:val="auto"/>
              </w:rPr>
            </w:pPr>
          </w:p>
        </w:tc>
      </w:tr>
      <w:tr>
        <w:trPr>
          <w:trHeight w:val="310"/>
        </w:trPr>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43,086</w:t>
            </w:r>
          </w:p>
        </w:tc>
        <w:tc>
          <w:tcPr>
            <w:tcW w:w="0" w:type="dxa"/>
            <w:vAlign w:val="bottom"/>
          </w:tcPr>
          <w:p>
            <w:pPr>
              <w:spacing w:after="0"/>
              <w:rPr>
                <w:sz w:val="1"/>
                <w:szCs w:val="1"/>
                <w:color w:val="auto"/>
              </w:rPr>
            </w:pPr>
          </w:p>
        </w:tc>
      </w:tr>
      <w:tr>
        <w:trPr>
          <w:trHeight w:val="228"/>
        </w:trPr>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(71)</w:t>
            </w: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147,625</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-2853690</wp:posOffset>
            </wp:positionH>
            <wp:positionV relativeFrom="paragraph">
              <wp:posOffset>-1339850</wp:posOffset>
            </wp:positionV>
            <wp:extent cx="7136130" cy="1498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6130" cy="149860"/>
                    </a:xfrm>
                    <a:prstGeom prst="rect">
                      <a:avLst/>
                    </a:prstGeom>
                    <a:noFill/>
                  </pic:spPr>
                </pic:pic>
              </a:graphicData>
            </a:graphic>
          </wp:anchor>
        </w:drawing>
        <w:drawing>
          <wp:anchor simplePos="0" relativeHeight="251657728" behindDoc="1" locked="0" layoutInCell="0" allowOverlap="1">
            <wp:simplePos x="0" y="0"/>
            <wp:positionH relativeFrom="column">
              <wp:posOffset>-2853690</wp:posOffset>
            </wp:positionH>
            <wp:positionV relativeFrom="paragraph">
              <wp:posOffset>-1048385</wp:posOffset>
            </wp:positionV>
            <wp:extent cx="7136130" cy="1663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6130" cy="166370"/>
                    </a:xfrm>
                    <a:prstGeom prst="rect">
                      <a:avLst/>
                    </a:prstGeom>
                    <a:noFill/>
                  </pic:spPr>
                </pic:pic>
              </a:graphicData>
            </a:graphic>
          </wp:anchor>
        </w:drawing>
        <w:drawing>
          <wp:anchor simplePos="0" relativeHeight="251657728" behindDoc="1" locked="0" layoutInCell="0" allowOverlap="1">
            <wp:simplePos x="0" y="0"/>
            <wp:positionH relativeFrom="column">
              <wp:posOffset>-2853690</wp:posOffset>
            </wp:positionH>
            <wp:positionV relativeFrom="paragraph">
              <wp:posOffset>-723900</wp:posOffset>
            </wp:positionV>
            <wp:extent cx="7136130" cy="2584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6130" cy="258445"/>
                    </a:xfrm>
                    <a:prstGeom prst="rect">
                      <a:avLst/>
                    </a:prstGeom>
                    <a:noFill/>
                  </pic:spPr>
                </pic:pic>
              </a:graphicData>
            </a:graphic>
          </wp:anchor>
        </w:drawing>
        <w:drawing>
          <wp:anchor simplePos="0" relativeHeight="251657728" behindDoc="1" locked="0" layoutInCell="0" allowOverlap="1">
            <wp:simplePos x="0" y="0"/>
            <wp:positionH relativeFrom="column">
              <wp:posOffset>-2853690</wp:posOffset>
            </wp:positionH>
            <wp:positionV relativeFrom="paragraph">
              <wp:posOffset>-323850</wp:posOffset>
            </wp:positionV>
            <wp:extent cx="7136130" cy="1416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6130" cy="141605"/>
                    </a:xfrm>
                    <a:prstGeom prst="rect">
                      <a:avLst/>
                    </a:prstGeom>
                    <a:noFill/>
                  </pic:spPr>
                </pic:pic>
              </a:graphicData>
            </a:graphic>
          </wp:anchor>
        </w:drawing>
      </w:r>
    </w:p>
    <w:p>
      <w:pPr>
        <w:spacing w:after="0" w:line="455" w:lineRule="exact"/>
        <w:rPr>
          <w:sz w:val="20"/>
          <w:szCs w:val="20"/>
          <w:color w:val="auto"/>
        </w:rPr>
      </w:pPr>
    </w:p>
    <w:p>
      <w:pPr>
        <w:sectPr>
          <w:pgSz w:w="11900" w:h="16838" w:orient="portrait"/>
          <w:cols w:equalWidth="0" w:num="2">
            <w:col w:w="4420" w:space="80"/>
            <w:col w:w="6740"/>
          </w:cols>
          <w:pgMar w:left="320" w:top="119" w:right="339" w:bottom="1440" w:gutter="0" w:footer="0" w:header="0"/>
          <w:type w:val="continuous"/>
        </w:sectPr>
      </w:pP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22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3120" w:type="dxa"/>
            <w:vAlign w:val="bottom"/>
            <w:tcBorders>
              <w:top w:val="single" w:sz="8" w:color="auto"/>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September 30, 2023</w:t>
            </w:r>
          </w:p>
        </w:tc>
        <w:tc>
          <w:tcPr>
            <w:tcW w:w="96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05"/>
        </w:trPr>
        <w:tc>
          <w:tcPr>
            <w:tcW w:w="4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gridSpan w:val="2"/>
          </w:tcPr>
          <w:p>
            <w:pPr>
              <w:ind w:left="80"/>
              <w:spacing w:after="0"/>
              <w:rPr>
                <w:sz w:val="20"/>
                <w:szCs w:val="20"/>
                <w:color w:val="auto"/>
              </w:rPr>
            </w:pPr>
            <w:r>
              <w:rPr>
                <w:rFonts w:ascii="Times New Roman" w:cs="Times New Roman" w:eastAsia="Times New Roman" w:hAnsi="Times New Roman"/>
                <w:sz w:val="17"/>
                <w:szCs w:val="17"/>
                <w:b w:val="1"/>
                <w:bCs w:val="1"/>
                <w:color w:val="auto"/>
              </w:rPr>
              <w:t>Insurance</w:t>
            </w:r>
          </w:p>
        </w:tc>
        <w:tc>
          <w:tcPr>
            <w:tcW w:w="200" w:type="dxa"/>
            <w:vAlign w:val="bottom"/>
          </w:tcPr>
          <w:p>
            <w:pPr>
              <w:spacing w:after="0"/>
              <w:rPr>
                <w:sz w:val="24"/>
                <w:szCs w:val="24"/>
                <w:color w:val="auto"/>
              </w:rPr>
            </w:pPr>
          </w:p>
        </w:tc>
        <w:tc>
          <w:tcPr>
            <w:tcW w:w="1260" w:type="dxa"/>
            <w:vAlign w:val="bottom"/>
            <w:gridSpan w:val="2"/>
          </w:tcPr>
          <w:p>
            <w:pPr>
              <w:ind w:left="80"/>
              <w:spacing w:after="0"/>
              <w:rPr>
                <w:sz w:val="20"/>
                <w:szCs w:val="20"/>
                <w:color w:val="auto"/>
              </w:rPr>
            </w:pPr>
            <w:r>
              <w:rPr>
                <w:rFonts w:ascii="Times New Roman" w:cs="Times New Roman" w:eastAsia="Times New Roman" w:hAnsi="Times New Roman"/>
                <w:sz w:val="17"/>
                <w:szCs w:val="17"/>
                <w:b w:val="1"/>
                <w:bCs w:val="1"/>
                <w:color w:val="auto"/>
              </w:rPr>
              <w:t>Healthcare</w:t>
            </w:r>
          </w:p>
        </w:tc>
        <w:tc>
          <w:tcPr>
            <w:tcW w:w="1620" w:type="dxa"/>
            <w:vAlign w:val="bottom"/>
            <w:gridSpan w:val="3"/>
          </w:tcPr>
          <w:p>
            <w:pPr>
              <w:ind w:left="40"/>
              <w:spacing w:after="0"/>
              <w:rPr>
                <w:sz w:val="20"/>
                <w:szCs w:val="20"/>
                <w:color w:val="auto"/>
              </w:rPr>
            </w:pPr>
            <w:r>
              <w:rPr>
                <w:rFonts w:ascii="Times New Roman" w:cs="Times New Roman" w:eastAsia="Times New Roman" w:hAnsi="Times New Roman"/>
                <w:sz w:val="17"/>
                <w:szCs w:val="17"/>
                <w:b w:val="1"/>
                <w:bCs w:val="1"/>
                <w:color w:val="auto"/>
              </w:rPr>
              <w:t>Emerging Business</w:t>
            </w:r>
          </w:p>
        </w:tc>
        <w:tc>
          <w:tcPr>
            <w:tcW w:w="240" w:type="dxa"/>
            <w:vAlign w:val="bottom"/>
          </w:tcPr>
          <w:p>
            <w:pPr>
              <w:spacing w:after="0"/>
              <w:rPr>
                <w:sz w:val="24"/>
                <w:szCs w:val="24"/>
                <w:color w:val="auto"/>
              </w:rPr>
            </w:pPr>
          </w:p>
        </w:tc>
        <w:tc>
          <w:tcPr>
            <w:tcW w:w="10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Analytics</w:t>
            </w:r>
          </w:p>
        </w:tc>
        <w:tc>
          <w:tcPr>
            <w:tcW w:w="260" w:type="dxa"/>
            <w:vAlign w:val="bottom"/>
          </w:tcPr>
          <w:p>
            <w:pPr>
              <w:spacing w:after="0"/>
              <w:rPr>
                <w:sz w:val="24"/>
                <w:szCs w:val="24"/>
                <w:color w:val="auto"/>
              </w:rPr>
            </w:pPr>
          </w:p>
        </w:tc>
        <w:tc>
          <w:tcPr>
            <w:tcW w:w="1000" w:type="dxa"/>
            <w:vAlign w:val="bottom"/>
          </w:tcPr>
          <w:p>
            <w:pPr>
              <w:jc w:val="right"/>
              <w:ind w:right="353"/>
              <w:spacing w:after="0"/>
              <w:rPr>
                <w:sz w:val="20"/>
                <w:szCs w:val="20"/>
                <w:color w:val="auto"/>
              </w:rPr>
            </w:pPr>
            <w:r>
              <w:rPr>
                <w:rFonts w:ascii="Times New Roman" w:cs="Times New Roman" w:eastAsia="Times New Roman" w:hAnsi="Times New Roman"/>
                <w:sz w:val="17"/>
                <w:szCs w:val="17"/>
                <w:b w:val="1"/>
                <w:bCs w:val="1"/>
                <w:color w:val="auto"/>
              </w:rPr>
              <w:t>Total</w:t>
            </w:r>
          </w:p>
        </w:tc>
        <w:tc>
          <w:tcPr>
            <w:tcW w:w="0" w:type="dxa"/>
            <w:vAlign w:val="bottom"/>
          </w:tcPr>
          <w:p>
            <w:pPr>
              <w:spacing w:after="0"/>
              <w:rPr>
                <w:sz w:val="1"/>
                <w:szCs w:val="1"/>
                <w:color w:val="auto"/>
              </w:rPr>
            </w:pPr>
          </w:p>
        </w:tc>
      </w:tr>
      <w:tr>
        <w:trPr>
          <w:trHeight w:val="216"/>
        </w:trPr>
        <w:tc>
          <w:tcPr>
            <w:tcW w:w="4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Revenues, net</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390,762</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80,036</w:t>
            </w:r>
          </w:p>
        </w:tc>
        <w:tc>
          <w:tcPr>
            <w:tcW w:w="1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ind w:right="313"/>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198,677</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547,135</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1,216,610</w:t>
            </w:r>
          </w:p>
        </w:tc>
        <w:tc>
          <w:tcPr>
            <w:tcW w:w="0" w:type="dxa"/>
            <w:vAlign w:val="bottom"/>
          </w:tcPr>
          <w:p>
            <w:pPr>
              <w:spacing w:after="0"/>
              <w:rPr>
                <w:sz w:val="1"/>
                <w:szCs w:val="1"/>
                <w:color w:val="auto"/>
              </w:rPr>
            </w:pPr>
          </w:p>
        </w:tc>
      </w:tr>
      <w:tr>
        <w:trPr>
          <w:trHeight w:val="223"/>
        </w:trPr>
        <w:tc>
          <w:tcPr>
            <w:tcW w:w="4220" w:type="dxa"/>
            <w:vAlign w:val="bottom"/>
            <w:tcBorders>
              <w:bottom w:val="single" w:sz="8" w:color="CCEEFF"/>
            </w:tcBorders>
          </w:tcPr>
          <w:p>
            <w:pPr>
              <w:ind w:left="20"/>
              <w:spacing w:after="0" w:line="223" w:lineRule="exact"/>
              <w:rPr>
                <w:sz w:val="20"/>
                <w:szCs w:val="20"/>
                <w:color w:val="auto"/>
              </w:rPr>
            </w:pPr>
            <w:r>
              <w:rPr>
                <w:rFonts w:ascii="Times New Roman" w:cs="Times New Roman" w:eastAsia="Times New Roman" w:hAnsi="Times New Roman"/>
                <w:sz w:val="17"/>
                <w:szCs w:val="17"/>
                <w:color w:val="auto"/>
              </w:rPr>
              <w:t xml:space="preserve">Cost of revenues </w:t>
            </w:r>
            <w:r>
              <w:rPr>
                <w:rFonts w:ascii="Times New Roman" w:cs="Times New Roman" w:eastAsia="Times New Roman" w:hAnsi="Times New Roman"/>
                <w:sz w:val="22"/>
                <w:szCs w:val="22"/>
                <w:color w:val="auto"/>
                <w:vertAlign w:val="superscript"/>
              </w:rPr>
              <w:t>(1)</w:t>
            </w: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253,081</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52,882</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111,414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343,314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760,691</w:t>
            </w:r>
          </w:p>
        </w:tc>
        <w:tc>
          <w:tcPr>
            <w:tcW w:w="0" w:type="dxa"/>
            <w:vAlign w:val="bottom"/>
          </w:tcPr>
          <w:p>
            <w:pPr>
              <w:spacing w:after="0"/>
              <w:rPr>
                <w:sz w:val="1"/>
                <w:szCs w:val="1"/>
                <w:color w:val="auto"/>
              </w:rPr>
            </w:pPr>
          </w:p>
        </w:tc>
      </w:tr>
      <w:tr>
        <w:trPr>
          <w:trHeight w:val="241"/>
        </w:trPr>
        <w:tc>
          <w:tcPr>
            <w:tcW w:w="4220" w:type="dxa"/>
            <w:vAlign w:val="bottom"/>
            <w:tcBorders>
              <w:bottom w:val="single" w:sz="8" w:color="CCEEFF"/>
            </w:tcBorders>
            <w:shd w:val="clear" w:color="auto" w:fill="CCEEFF"/>
          </w:tcPr>
          <w:p>
            <w:pPr>
              <w:ind w:left="20"/>
              <w:spacing w:after="0" w:line="216" w:lineRule="exact"/>
              <w:rPr>
                <w:sz w:val="20"/>
                <w:szCs w:val="20"/>
                <w:color w:val="auto"/>
              </w:rPr>
            </w:pPr>
            <w:r>
              <w:rPr>
                <w:rFonts w:ascii="Times New Roman" w:cs="Times New Roman" w:eastAsia="Times New Roman" w:hAnsi="Times New Roman"/>
                <w:sz w:val="17"/>
                <w:szCs w:val="17"/>
                <w:color w:val="auto"/>
              </w:rPr>
              <w:t xml:space="preserve">Gross profit </w:t>
            </w:r>
            <w:r>
              <w:rPr>
                <w:rFonts w:ascii="Times New Roman" w:cs="Times New Roman" w:eastAsia="Times New Roman" w:hAnsi="Times New Roman"/>
                <w:sz w:val="22"/>
                <w:szCs w:val="22"/>
                <w:color w:val="auto"/>
                <w:vertAlign w:val="superscript"/>
              </w:rPr>
              <w:t>(1)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137,681</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27,154</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313"/>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87,263</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203,821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455,919</w:t>
            </w:r>
          </w:p>
        </w:tc>
        <w:tc>
          <w:tcPr>
            <w:tcW w:w="0" w:type="dxa"/>
            <w:vAlign w:val="bottom"/>
          </w:tcPr>
          <w:p>
            <w:pPr>
              <w:spacing w:after="0"/>
              <w:rPr>
                <w:sz w:val="1"/>
                <w:szCs w:val="1"/>
                <w:color w:val="auto"/>
              </w:rPr>
            </w:pPr>
          </w:p>
        </w:tc>
      </w:tr>
      <w:tr>
        <w:trPr>
          <w:trHeight w:val="20"/>
        </w:trPr>
        <w:tc>
          <w:tcPr>
            <w:tcW w:w="42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Operating expenses</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42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271,430</w:t>
            </w:r>
          </w:p>
        </w:tc>
        <w:tc>
          <w:tcPr>
            <w:tcW w:w="0" w:type="dxa"/>
            <w:vAlign w:val="bottom"/>
          </w:tcPr>
          <w:p>
            <w:pPr>
              <w:spacing w:after="0"/>
              <w:rPr>
                <w:sz w:val="1"/>
                <w:szCs w:val="1"/>
                <w:color w:val="auto"/>
              </w:rPr>
            </w:pPr>
          </w:p>
        </w:tc>
      </w:tr>
      <w:tr>
        <w:trPr>
          <w:trHeight w:val="178"/>
        </w:trPr>
        <w:tc>
          <w:tcPr>
            <w:tcW w:w="4220" w:type="dxa"/>
            <w:vAlign w:val="bottom"/>
            <w:shd w:val="clear" w:color="auto" w:fill="CCEEFF"/>
          </w:tcPr>
          <w:p>
            <w:pPr>
              <w:ind w:left="20"/>
              <w:spacing w:after="0" w:line="178" w:lineRule="exact"/>
              <w:rPr>
                <w:sz w:val="20"/>
                <w:szCs w:val="20"/>
                <w:color w:val="auto"/>
              </w:rPr>
            </w:pPr>
            <w:r>
              <w:rPr>
                <w:rFonts w:ascii="Times New Roman" w:cs="Times New Roman" w:eastAsia="Times New Roman" w:hAnsi="Times New Roman"/>
                <w:sz w:val="17"/>
                <w:szCs w:val="17"/>
                <w:color w:val="auto"/>
              </w:rPr>
              <w:t>Foreign exchange gain, net, interest expense and other</w:t>
            </w:r>
          </w:p>
        </w:tc>
        <w:tc>
          <w:tcPr>
            <w:tcW w:w="2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(2,598)</w:t>
            </w:r>
          </w:p>
        </w:tc>
        <w:tc>
          <w:tcPr>
            <w:tcW w:w="0" w:type="dxa"/>
            <w:vAlign w:val="bottom"/>
          </w:tcPr>
          <w:p>
            <w:pPr>
              <w:spacing w:after="0"/>
              <w:rPr>
                <w:sz w:val="1"/>
                <w:szCs w:val="1"/>
                <w:color w:val="auto"/>
              </w:rPr>
            </w:pPr>
          </w:p>
        </w:tc>
      </w:tr>
      <w:tr>
        <w:trPr>
          <w:trHeight w:val="136"/>
        </w:trPr>
        <w:tc>
          <w:tcPr>
            <w:tcW w:w="42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net</w:t>
            </w:r>
          </w:p>
        </w:tc>
        <w:tc>
          <w:tcPr>
            <w:tcW w:w="20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4220" w:type="dxa"/>
            <w:vAlign w:val="bottom"/>
            <w:vMerge w:val="continue"/>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1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0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9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0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42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Income tax expense</w:t>
            </w: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37,773</w:t>
            </w:r>
          </w:p>
        </w:tc>
        <w:tc>
          <w:tcPr>
            <w:tcW w:w="0" w:type="dxa"/>
            <w:vAlign w:val="bottom"/>
          </w:tcPr>
          <w:p>
            <w:pPr>
              <w:spacing w:after="0"/>
              <w:rPr>
                <w:sz w:val="1"/>
                <w:szCs w:val="1"/>
                <w:color w:val="auto"/>
              </w:rPr>
            </w:pPr>
          </w:p>
        </w:tc>
      </w:tr>
      <w:tr>
        <w:trPr>
          <w:trHeight w:val="223"/>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Gain from equity-method investment</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157</w:t>
            </w:r>
          </w:p>
        </w:tc>
        <w:tc>
          <w:tcPr>
            <w:tcW w:w="0" w:type="dxa"/>
            <w:vAlign w:val="bottom"/>
          </w:tcPr>
          <w:p>
            <w:pPr>
              <w:spacing w:after="0"/>
              <w:rPr>
                <w:sz w:val="1"/>
                <w:szCs w:val="1"/>
                <w:color w:val="auto"/>
              </w:rPr>
            </w:pPr>
          </w:p>
        </w:tc>
      </w:tr>
      <w:tr>
        <w:trPr>
          <w:trHeight w:val="216"/>
        </w:trPr>
        <w:tc>
          <w:tcPr>
            <w:tcW w:w="42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144,275</w:t>
            </w: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 Exclusive of depreciation and amortization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EXLSERVICE HOLDINGS, INC.</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UNAUDITED CONSOLIDATED FINANCIAL STATEMENTS—(continued)</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September 30, 2024</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per share amount and share count)</w:t>
      </w:r>
    </w:p>
    <w:p>
      <w:pPr>
        <w:spacing w:after="0" w:line="23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Revenues, net by service type, were as follows:</w:t>
      </w:r>
    </w:p>
    <w:p>
      <w:pPr>
        <w:spacing w:after="0" w:line="151" w:lineRule="exact"/>
        <w:rPr>
          <w:sz w:val="20"/>
          <w:szCs w:val="20"/>
          <w:color w:val="auto"/>
        </w:rPr>
      </w:pPr>
    </w:p>
    <w:tbl>
      <w:tblPr>
        <w:tblLayout w:type="fixed"/>
        <w:tblInd w:w="640" w:type="dxa"/>
        <w:tblCellMar>
          <w:top w:w="0" w:type="dxa"/>
          <w:left w:w="0" w:type="dxa"/>
          <w:bottom w:w="0" w:type="dxa"/>
          <w:right w:w="0" w:type="dxa"/>
        </w:tblCellMar>
      </w:tblPr>
      <w:tr>
        <w:trPr>
          <w:trHeight w:val="197"/>
        </w:trPr>
        <w:tc>
          <w:tcPr>
            <w:tcW w:w="4280" w:type="dxa"/>
            <w:vAlign w:val="bottom"/>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720" w:type="dxa"/>
            <w:vAlign w:val="bottom"/>
            <w:gridSpan w:val="5"/>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20" w:type="dxa"/>
            <w:vAlign w:val="bottom"/>
            <w:shd w:val="clear" w:color="auto" w:fill="CCEEFF"/>
          </w:tcPr>
          <w:p>
            <w:pPr>
              <w:spacing w:after="0"/>
              <w:rPr>
                <w:sz w:val="17"/>
                <w:szCs w:val="17"/>
                <w:color w:val="auto"/>
              </w:rPr>
            </w:pPr>
          </w:p>
        </w:tc>
        <w:tc>
          <w:tcPr>
            <w:tcW w:w="2520" w:type="dxa"/>
            <w:vAlign w:val="bottom"/>
            <w:gridSpan w:val="4"/>
            <w:shd w:val="clear" w:color="auto" w:fill="CCEEFF"/>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84"/>
        </w:trPr>
        <w:tc>
          <w:tcPr>
            <w:tcW w:w="4280" w:type="dxa"/>
            <w:vAlign w:val="bottom"/>
            <w:tcBorders>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bottom w:val="single" w:sz="8" w:color="CCEEFF"/>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top w:val="single" w:sz="8" w:color="auto"/>
              <w:bottom w:val="single" w:sz="8" w:color="CCEEFF"/>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2"/>
        </w:trPr>
        <w:tc>
          <w:tcPr>
            <w:tcW w:w="4280" w:type="dxa"/>
            <w:vAlign w:val="bottom"/>
            <w:shd w:val="clear" w:color="auto" w:fill="CCEEFF"/>
          </w:tcPr>
          <w:p>
            <w:pPr>
              <w:ind w:left="20"/>
              <w:spacing w:after="0" w:line="222" w:lineRule="exact"/>
              <w:rPr>
                <w:sz w:val="20"/>
                <w:szCs w:val="20"/>
                <w:color w:val="auto"/>
              </w:rPr>
            </w:pPr>
            <w:r>
              <w:rPr>
                <w:rFonts w:ascii="Times New Roman" w:cs="Times New Roman" w:eastAsia="Times New Roman" w:hAnsi="Times New Roman"/>
                <w:sz w:val="17"/>
                <w:szCs w:val="17"/>
                <w:color w:val="auto"/>
              </w:rPr>
              <w:t xml:space="preserve">Digital operations and solutions </w:t>
            </w:r>
            <w:r>
              <w:rPr>
                <w:rFonts w:ascii="Times New Roman" w:cs="Times New Roman" w:eastAsia="Times New Roman" w:hAnsi="Times New Roman"/>
                <w:sz w:val="22"/>
                <w:szCs w:val="22"/>
                <w:color w:val="auto"/>
                <w:vertAlign w:val="superscript"/>
              </w:rPr>
              <w:t>(1)</w:t>
            </w:r>
          </w:p>
        </w:tc>
        <w:tc>
          <w:tcPr>
            <w:tcW w:w="2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268,071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227,862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768,432</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669,475</w:t>
            </w:r>
          </w:p>
        </w:tc>
      </w:tr>
      <w:tr>
        <w:trPr>
          <w:trHeight w:val="223"/>
        </w:trPr>
        <w:tc>
          <w:tcPr>
            <w:tcW w:w="4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Analytics services</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204,002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183,109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588,514</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547,135</w:t>
            </w:r>
          </w:p>
        </w:tc>
      </w:tr>
      <w:tr>
        <w:trPr>
          <w:trHeight w:val="241"/>
        </w:trPr>
        <w:tc>
          <w:tcPr>
            <w:tcW w:w="4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Revenues, net</w:t>
            </w:r>
          </w:p>
        </w:tc>
        <w:tc>
          <w:tcPr>
            <w:tcW w:w="24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472,073</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410,971</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1,356,946</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1,216,610</w:t>
            </w: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47" w:lineRule="exact"/>
        <w:rPr>
          <w:sz w:val="20"/>
          <w:szCs w:val="20"/>
          <w:color w:val="auto"/>
        </w:rPr>
      </w:pPr>
    </w:p>
    <w:p>
      <w:pPr>
        <w:ind w:right="240" w:firstLine="398"/>
        <w:spacing w:after="0" w:line="281" w:lineRule="auto"/>
        <w:tabs>
          <w:tab w:leader="none" w:pos="641"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Digital operations and solutions include revenues of the Company’s Insurance, Healthcare and Emerging Business reportable segments. Refer to the reportable segment disclosure above.</w:t>
      </w:r>
    </w:p>
    <w:p>
      <w:pPr>
        <w:spacing w:after="0" w:line="18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The Company attributes the revenues to regions based upon the location of its customers.</w:t>
      </w:r>
    </w:p>
    <w:p>
      <w:pPr>
        <w:spacing w:after="0" w:line="139" w:lineRule="exact"/>
        <w:rPr>
          <w:sz w:val="20"/>
          <w:szCs w:val="20"/>
          <w:color w:val="auto"/>
        </w:rPr>
      </w:pPr>
    </w:p>
    <w:tbl>
      <w:tblPr>
        <w:tblLayout w:type="fixed"/>
        <w:tblInd w:w="660" w:type="dxa"/>
        <w:tblCellMar>
          <w:top w:w="0" w:type="dxa"/>
          <w:left w:w="0" w:type="dxa"/>
          <w:bottom w:w="0" w:type="dxa"/>
          <w:right w:w="0" w:type="dxa"/>
        </w:tblCellMar>
      </w:tblPr>
      <w:tr>
        <w:trPr>
          <w:trHeight w:val="185"/>
        </w:trPr>
        <w:tc>
          <w:tcPr>
            <w:tcW w:w="4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0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60" w:type="dxa"/>
            <w:vAlign w:val="bottom"/>
          </w:tcPr>
          <w:p>
            <w:pPr>
              <w:spacing w:after="0"/>
              <w:rPr>
                <w:sz w:val="16"/>
                <w:szCs w:val="16"/>
                <w:color w:val="auto"/>
              </w:rPr>
            </w:pPr>
          </w:p>
        </w:tc>
        <w:tc>
          <w:tcPr>
            <w:tcW w:w="2600" w:type="dxa"/>
            <w:vAlign w:val="bottom"/>
            <w:gridSpan w:val="4"/>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4"/>
        </w:trPr>
        <w:tc>
          <w:tcPr>
            <w:tcW w:w="45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84"/>
        </w:trPr>
        <w:tc>
          <w:tcPr>
            <w:tcW w:w="456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3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5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09"/>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Revenues, net</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23"/>
        </w:trPr>
        <w:tc>
          <w:tcPr>
            <w:tcW w:w="4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The United States</w:t>
            </w:r>
          </w:p>
        </w:tc>
        <w:tc>
          <w:tcPr>
            <w:tcW w:w="22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388,067</w:t>
            </w:r>
          </w:p>
        </w:tc>
        <w:tc>
          <w:tcPr>
            <w:tcW w:w="100" w:type="dxa"/>
            <w:vAlign w:val="bottom"/>
          </w:tcPr>
          <w:p>
            <w:pPr>
              <w:spacing w:after="0"/>
              <w:rPr>
                <w:sz w:val="19"/>
                <w:szCs w:val="19"/>
                <w:color w:val="auto"/>
              </w:rPr>
            </w:pPr>
          </w:p>
        </w:tc>
        <w:tc>
          <w:tcPr>
            <w:tcW w:w="34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343,135</w:t>
            </w:r>
          </w:p>
        </w:tc>
        <w:tc>
          <w:tcPr>
            <w:tcW w:w="80" w:type="dxa"/>
            <w:vAlign w:val="bottom"/>
          </w:tcPr>
          <w:p>
            <w:pPr>
              <w:spacing w:after="0"/>
              <w:rPr>
                <w:sz w:val="19"/>
                <w:szCs w:val="19"/>
                <w:color w:val="auto"/>
              </w:rPr>
            </w:pPr>
          </w:p>
        </w:tc>
        <w:tc>
          <w:tcPr>
            <w:tcW w:w="26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1,121,122</w:t>
            </w:r>
          </w:p>
        </w:tc>
        <w:tc>
          <w:tcPr>
            <w:tcW w:w="100" w:type="dxa"/>
            <w:vAlign w:val="bottom"/>
          </w:tcPr>
          <w:p>
            <w:pPr>
              <w:spacing w:after="0"/>
              <w:rPr>
                <w:sz w:val="19"/>
                <w:szCs w:val="19"/>
                <w:color w:val="auto"/>
              </w:rPr>
            </w:pPr>
          </w:p>
        </w:tc>
        <w:tc>
          <w:tcPr>
            <w:tcW w:w="32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1,022,883</w:t>
            </w:r>
          </w:p>
        </w:tc>
      </w:tr>
      <w:tr>
        <w:trPr>
          <w:trHeight w:val="223"/>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Non-United States</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3"/>
        </w:trPr>
        <w:tc>
          <w:tcPr>
            <w:tcW w:w="45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The United Kingdom</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56,650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46,327</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160,019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131,549</w:t>
            </w:r>
          </w:p>
        </w:tc>
      </w:tr>
      <w:tr>
        <w:trPr>
          <w:trHeight w:val="223"/>
        </w:trPr>
        <w:tc>
          <w:tcPr>
            <w:tcW w:w="45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Rest of World</w:t>
            </w: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27,356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21,509</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75,805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62,178</w:t>
            </w:r>
          </w:p>
        </w:tc>
      </w:tr>
      <w:tr>
        <w:trPr>
          <w:trHeight w:val="216"/>
        </w:trPr>
        <w:tc>
          <w:tcPr>
            <w:tcW w:w="4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Total Non-United States</w:t>
            </w: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84,006</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67,836</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235,824</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193,727</w:t>
            </w:r>
          </w:p>
        </w:tc>
      </w:tr>
      <w:tr>
        <w:trPr>
          <w:trHeight w:val="241"/>
        </w:trPr>
        <w:tc>
          <w:tcPr>
            <w:tcW w:w="4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Revenues, net</w:t>
            </w:r>
          </w:p>
        </w:tc>
        <w:tc>
          <w:tcPr>
            <w:tcW w:w="22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472,073</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410,971</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1,356,946</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1,216,610</w:t>
            </w:r>
          </w:p>
        </w:tc>
      </w:tr>
      <w:tr>
        <w:trPr>
          <w:trHeight w:val="20"/>
        </w:trPr>
        <w:tc>
          <w:tcPr>
            <w:tcW w:w="45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Long-lived assets by geographic area, which consist of property and equipment, net and operating lease ROU assets were as follows:</w:t>
      </w:r>
    </w:p>
    <w:p>
      <w:pPr>
        <w:spacing w:after="0" w:line="139" w:lineRule="exact"/>
        <w:rPr>
          <w:sz w:val="20"/>
          <w:szCs w:val="20"/>
          <w:color w:val="auto"/>
        </w:rPr>
      </w:pPr>
    </w:p>
    <w:tbl>
      <w:tblPr>
        <w:tblLayout w:type="fixed"/>
        <w:tblInd w:w="640" w:type="dxa"/>
        <w:tblCellMar>
          <w:top w:w="0" w:type="dxa"/>
          <w:left w:w="0" w:type="dxa"/>
          <w:bottom w:w="0" w:type="dxa"/>
          <w:right w:w="0" w:type="dxa"/>
        </w:tblCellMar>
      </w:tblPr>
      <w:tr>
        <w:trPr>
          <w:trHeight w:val="185"/>
        </w:trPr>
        <w:tc>
          <w:tcPr>
            <w:tcW w:w="6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40" w:type="dxa"/>
            <w:vAlign w:val="bottom"/>
            <w:gridSpan w:val="3"/>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460" w:type="dxa"/>
            <w:vAlign w:val="bottom"/>
          </w:tcPr>
          <w:p>
            <w:pPr>
              <w:spacing w:after="0"/>
              <w:rPr>
                <w:sz w:val="16"/>
                <w:szCs w:val="16"/>
                <w:color w:val="auto"/>
              </w:rPr>
            </w:pPr>
          </w:p>
        </w:tc>
      </w:tr>
      <w:tr>
        <w:trPr>
          <w:trHeight w:val="24"/>
        </w:trPr>
        <w:tc>
          <w:tcPr>
            <w:tcW w:w="62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184"/>
        </w:trPr>
        <w:tc>
          <w:tcPr>
            <w:tcW w:w="6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80" w:type="dxa"/>
            <w:vAlign w:val="bottom"/>
          </w:tcPr>
          <w:p>
            <w:pPr>
              <w:spacing w:after="0"/>
              <w:rPr>
                <w:sz w:val="15"/>
                <w:szCs w:val="15"/>
                <w:color w:val="auto"/>
              </w:rPr>
            </w:pPr>
          </w:p>
        </w:tc>
        <w:tc>
          <w:tcPr>
            <w:tcW w:w="146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09"/>
        </w:trPr>
        <w:tc>
          <w:tcPr>
            <w:tcW w:w="6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Long-lived assets</w:t>
            </w:r>
          </w:p>
        </w:tc>
        <w:tc>
          <w:tcPr>
            <w:tcW w:w="20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r>
      <w:tr>
        <w:trPr>
          <w:trHeight w:val="223"/>
        </w:trPr>
        <w:tc>
          <w:tcPr>
            <w:tcW w:w="6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India</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61,015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53,813</w:t>
            </w:r>
          </w:p>
        </w:tc>
      </w:tr>
      <w:tr>
        <w:trPr>
          <w:trHeight w:val="223"/>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The United States</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57,307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61,592</w:t>
            </w:r>
          </w:p>
        </w:tc>
      </w:tr>
      <w:tr>
        <w:trPr>
          <w:trHeight w:val="223"/>
        </w:trPr>
        <w:tc>
          <w:tcPr>
            <w:tcW w:w="6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South Africa</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27,783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20,890</w:t>
            </w:r>
          </w:p>
        </w:tc>
      </w:tr>
      <w:tr>
        <w:trPr>
          <w:trHeight w:val="223"/>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The Philippines</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27,600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21,952</w:t>
            </w:r>
          </w:p>
        </w:tc>
      </w:tr>
      <w:tr>
        <w:trPr>
          <w:trHeight w:val="223"/>
        </w:trPr>
        <w:tc>
          <w:tcPr>
            <w:tcW w:w="6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Rest of World</w:t>
            </w: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5,486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6,982</w:t>
            </w:r>
          </w:p>
        </w:tc>
      </w:tr>
      <w:tr>
        <w:trPr>
          <w:trHeight w:val="241"/>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Long-lived assets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179,191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165,229</w:t>
            </w: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 Revenues, net and Accounts Receivable, net</w:t>
      </w:r>
    </w:p>
    <w:p>
      <w:pPr>
        <w:spacing w:after="0" w:line="239" w:lineRule="exact"/>
        <w:rPr>
          <w:sz w:val="20"/>
          <w:szCs w:val="20"/>
          <w:color w:val="auto"/>
        </w:rPr>
      </w:pPr>
    </w:p>
    <w:p>
      <w:pPr>
        <w:ind w:right="420" w:firstLine="393"/>
        <w:spacing w:after="0" w:line="281" w:lineRule="auto"/>
        <w:rPr>
          <w:sz w:val="20"/>
          <w:szCs w:val="20"/>
          <w:color w:val="auto"/>
        </w:rPr>
      </w:pPr>
      <w:r>
        <w:rPr>
          <w:rFonts w:ascii="Times New Roman" w:cs="Times New Roman" w:eastAsia="Times New Roman" w:hAnsi="Times New Roman"/>
          <w:sz w:val="17"/>
          <w:szCs w:val="17"/>
          <w:color w:val="auto"/>
        </w:rPr>
        <w:t>Refer to Note 3 - Segment and Geographical Information to the unaudited consolidated financial statements for revenues disaggregated by reportable segments and geography.</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Contract balances</w:t>
      </w:r>
    </w:p>
    <w:p>
      <w:pPr>
        <w:spacing w:after="0" w:line="4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The following table provides information about accounts receivable, contract assets and contract liabilities from contracts with customers:</w:t>
      </w:r>
    </w:p>
    <w:p>
      <w:pPr>
        <w:spacing w:after="0" w:line="56" w:lineRule="exact"/>
        <w:rPr>
          <w:sz w:val="20"/>
          <w:szCs w:val="20"/>
          <w:color w:val="auto"/>
        </w:rPr>
      </w:pPr>
    </w:p>
    <w:p>
      <w:pPr>
        <w:ind w:left="9100"/>
        <w:spacing w:after="0"/>
        <w:rPr>
          <w:sz w:val="20"/>
          <w:szCs w:val="20"/>
          <w:color w:val="auto"/>
        </w:rPr>
      </w:pPr>
      <w:r>
        <w:rPr>
          <w:rFonts w:ascii="Times New Roman" w:cs="Times New Roman" w:eastAsia="Times New Roman" w:hAnsi="Times New Roman"/>
          <w:sz w:val="16"/>
          <w:szCs w:val="16"/>
          <w:b w:val="1"/>
          <w:bCs w:val="1"/>
          <w:color w:val="auto"/>
        </w:rPr>
        <w:t>As of</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60" w:type="dxa"/>
            <w:vAlign w:val="bottom"/>
          </w:tcPr>
          <w:p>
            <w:pPr>
              <w:spacing w:after="0"/>
              <w:rPr>
                <w:sz w:val="16"/>
                <w:szCs w:val="16"/>
                <w:color w:val="auto"/>
              </w:rPr>
            </w:pPr>
          </w:p>
        </w:tc>
        <w:tc>
          <w:tcPr>
            <w:tcW w:w="4540" w:type="dxa"/>
            <w:vAlign w:val="bottom"/>
            <w:tcBorders>
              <w:top w:val="single" w:sz="8" w:color="CCEEFF"/>
            </w:tcBorders>
            <w:shd w:val="clear" w:color="auto" w:fill="CCEEFF"/>
          </w:tcPr>
          <w:p>
            <w:pPr>
              <w:spacing w:after="0"/>
              <w:rPr>
                <w:sz w:val="16"/>
                <w:szCs w:val="16"/>
                <w:color w:val="auto"/>
              </w:rPr>
            </w:pPr>
          </w:p>
        </w:tc>
        <w:tc>
          <w:tcPr>
            <w:tcW w:w="236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780" w:type="dxa"/>
            <w:vAlign w:val="bottom"/>
            <w:tcBorders>
              <w:top w:val="single" w:sz="8" w:color="auto"/>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220" w:type="dxa"/>
            <w:vAlign w:val="bottom"/>
            <w:tcBorders>
              <w:top w:val="single" w:sz="8" w:color="auto"/>
            </w:tcBorders>
            <w:shd w:val="clear" w:color="auto" w:fill="CCEEFF"/>
          </w:tcPr>
          <w:p>
            <w:pPr>
              <w:spacing w:after="0"/>
              <w:rPr>
                <w:sz w:val="16"/>
                <w:szCs w:val="16"/>
                <w:color w:val="auto"/>
              </w:rPr>
            </w:pPr>
          </w:p>
        </w:tc>
        <w:tc>
          <w:tcPr>
            <w:tcW w:w="1620" w:type="dxa"/>
            <w:vAlign w:val="bottom"/>
            <w:tcBorders>
              <w:top w:val="single" w:sz="8" w:color="auto"/>
            </w:tcBorders>
            <w:shd w:val="clear" w:color="auto" w:fill="CCEEFF"/>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40" w:type="dxa"/>
            <w:vAlign w:val="bottom"/>
          </w:tcPr>
          <w:p>
            <w:pPr>
              <w:spacing w:after="0"/>
              <w:rPr>
                <w:sz w:val="16"/>
                <w:szCs w:val="16"/>
                <w:color w:val="auto"/>
              </w:rPr>
            </w:pPr>
          </w:p>
        </w:tc>
      </w:tr>
      <w:tr>
        <w:trPr>
          <w:trHeight w:val="32"/>
        </w:trPr>
        <w:tc>
          <w:tcPr>
            <w:tcW w:w="460" w:type="dxa"/>
            <w:vAlign w:val="bottom"/>
          </w:tcPr>
          <w:p>
            <w:pPr>
              <w:spacing w:after="0"/>
              <w:rPr>
                <w:sz w:val="2"/>
                <w:szCs w:val="2"/>
                <w:color w:val="auto"/>
              </w:rPr>
            </w:pPr>
          </w:p>
        </w:tc>
        <w:tc>
          <w:tcPr>
            <w:tcW w:w="454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166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1620" w:type="dxa"/>
            <w:vAlign w:val="bottom"/>
            <w:tcBorders>
              <w:top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223"/>
        </w:trPr>
        <w:tc>
          <w:tcPr>
            <w:tcW w:w="460" w:type="dxa"/>
            <w:vAlign w:val="bottom"/>
          </w:tcPr>
          <w:p>
            <w:pPr>
              <w:spacing w:after="0"/>
              <w:rPr>
                <w:sz w:val="19"/>
                <w:szCs w:val="19"/>
                <w:color w:val="auto"/>
              </w:rPr>
            </w:pPr>
          </w:p>
        </w:tc>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Accounts receivable, net</w:t>
            </w:r>
          </w:p>
        </w:tc>
        <w:tc>
          <w:tcPr>
            <w:tcW w:w="2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340,904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308,108</w:t>
            </w:r>
          </w:p>
        </w:tc>
        <w:tc>
          <w:tcPr>
            <w:tcW w:w="40" w:type="dxa"/>
            <w:vAlign w:val="bottom"/>
          </w:tcPr>
          <w:p>
            <w:pPr>
              <w:spacing w:after="0"/>
              <w:rPr>
                <w:sz w:val="19"/>
                <w:szCs w:val="19"/>
                <w:color w:val="auto"/>
              </w:rPr>
            </w:pPr>
          </w:p>
        </w:tc>
      </w:tr>
      <w:tr>
        <w:trPr>
          <w:trHeight w:val="223"/>
        </w:trPr>
        <w:tc>
          <w:tcPr>
            <w:tcW w:w="460" w:type="dxa"/>
            <w:vAlign w:val="bottom"/>
          </w:tcPr>
          <w:p>
            <w:pPr>
              <w:spacing w:after="0"/>
              <w:rPr>
                <w:sz w:val="19"/>
                <w:szCs w:val="19"/>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7"/>
                <w:szCs w:val="17"/>
                <w:color w:val="auto"/>
              </w:rPr>
              <w:t>Contract assets</w:t>
            </w:r>
          </w:p>
        </w:tc>
        <w:tc>
          <w:tcPr>
            <w:tcW w:w="25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6,083</w:t>
            </w:r>
          </w:p>
        </w:tc>
        <w:tc>
          <w:tcPr>
            <w:tcW w:w="120" w:type="dxa"/>
            <w:vAlign w:val="bottom"/>
          </w:tcPr>
          <w:p>
            <w:pPr>
              <w:spacing w:after="0"/>
              <w:rPr>
                <w:sz w:val="19"/>
                <w:szCs w:val="19"/>
                <w:color w:val="auto"/>
              </w:rPr>
            </w:pPr>
          </w:p>
        </w:tc>
        <w:tc>
          <w:tcPr>
            <w:tcW w:w="22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9,665</w:t>
            </w:r>
          </w:p>
        </w:tc>
        <w:tc>
          <w:tcPr>
            <w:tcW w:w="40" w:type="dxa"/>
            <w:vAlign w:val="bottom"/>
          </w:tcPr>
          <w:p>
            <w:pPr>
              <w:spacing w:after="0"/>
              <w:rPr>
                <w:sz w:val="19"/>
                <w:szCs w:val="19"/>
                <w:color w:val="auto"/>
              </w:rPr>
            </w:pPr>
          </w:p>
        </w:tc>
      </w:tr>
      <w:tr>
        <w:trPr>
          <w:trHeight w:val="223"/>
        </w:trPr>
        <w:tc>
          <w:tcPr>
            <w:tcW w:w="460" w:type="dxa"/>
            <w:vAlign w:val="bottom"/>
          </w:tcPr>
          <w:p>
            <w:pPr>
              <w:spacing w:after="0"/>
              <w:rPr>
                <w:sz w:val="19"/>
                <w:szCs w:val="19"/>
                <w:color w:val="auto"/>
              </w:rPr>
            </w:pPr>
          </w:p>
        </w:tc>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Contract liabilities:</w:t>
            </w:r>
          </w:p>
        </w:tc>
        <w:tc>
          <w:tcPr>
            <w:tcW w:w="23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223"/>
        </w:trPr>
        <w:tc>
          <w:tcPr>
            <w:tcW w:w="460" w:type="dxa"/>
            <w:vAlign w:val="bottom"/>
          </w:tcPr>
          <w:p>
            <w:pPr>
              <w:spacing w:after="0"/>
              <w:rPr>
                <w:sz w:val="19"/>
                <w:szCs w:val="19"/>
                <w:color w:val="auto"/>
              </w:rPr>
            </w:pPr>
          </w:p>
        </w:tc>
        <w:tc>
          <w:tcPr>
            <w:tcW w:w="45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Deferred revenue (consideration received in advance)</w:t>
            </w:r>
          </w:p>
        </w:tc>
        <w:tc>
          <w:tcPr>
            <w:tcW w:w="25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9,346</w:t>
            </w:r>
          </w:p>
        </w:tc>
        <w:tc>
          <w:tcPr>
            <w:tcW w:w="120" w:type="dxa"/>
            <w:vAlign w:val="bottom"/>
          </w:tcPr>
          <w:p>
            <w:pPr>
              <w:spacing w:after="0"/>
              <w:rPr>
                <w:sz w:val="19"/>
                <w:szCs w:val="19"/>
                <w:color w:val="auto"/>
              </w:rPr>
            </w:pPr>
          </w:p>
        </w:tc>
        <w:tc>
          <w:tcPr>
            <w:tcW w:w="22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9,764</w:t>
            </w:r>
          </w:p>
        </w:tc>
        <w:tc>
          <w:tcPr>
            <w:tcW w:w="40" w:type="dxa"/>
            <w:vAlign w:val="bottom"/>
          </w:tcPr>
          <w:p>
            <w:pPr>
              <w:spacing w:after="0"/>
              <w:rPr>
                <w:sz w:val="19"/>
                <w:szCs w:val="19"/>
                <w:color w:val="auto"/>
              </w:rPr>
            </w:pPr>
          </w:p>
        </w:tc>
      </w:tr>
      <w:tr>
        <w:trPr>
          <w:trHeight w:val="223"/>
        </w:trPr>
        <w:tc>
          <w:tcPr>
            <w:tcW w:w="460" w:type="dxa"/>
            <w:vAlign w:val="bottom"/>
          </w:tcPr>
          <w:p>
            <w:pPr>
              <w:spacing w:after="0"/>
              <w:rPr>
                <w:sz w:val="19"/>
                <w:szCs w:val="19"/>
                <w:color w:val="auto"/>
              </w:rPr>
            </w:pPr>
          </w:p>
        </w:tc>
        <w:tc>
          <w:tcPr>
            <w:tcW w:w="4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Consideration received for process transition activities</w:t>
            </w:r>
          </w:p>
        </w:tc>
        <w:tc>
          <w:tcPr>
            <w:tcW w:w="2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18,710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12,411</w:t>
            </w:r>
          </w:p>
        </w:tc>
        <w:tc>
          <w:tcPr>
            <w:tcW w:w="40" w:type="dxa"/>
            <w:vAlign w:val="bottom"/>
          </w:tcPr>
          <w:p>
            <w:pPr>
              <w:spacing w:after="0"/>
              <w:rPr>
                <w:sz w:val="19"/>
                <w:szCs w:val="19"/>
                <w:color w:val="auto"/>
              </w:rPr>
            </w:pPr>
          </w:p>
        </w:tc>
      </w:tr>
      <w:tr>
        <w:trPr>
          <w:trHeight w:val="865"/>
        </w:trPr>
        <w:tc>
          <w:tcPr>
            <w:tcW w:w="46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2360" w:type="dxa"/>
            <w:vAlign w:val="bottom"/>
          </w:tcPr>
          <w:p>
            <w:pPr>
              <w:jc w:val="right"/>
              <w:ind w:right="1553"/>
              <w:spacing w:after="0"/>
              <w:rPr>
                <w:sz w:val="20"/>
                <w:szCs w:val="20"/>
                <w:color w:val="auto"/>
              </w:rPr>
            </w:pPr>
            <w:r>
              <w:rPr>
                <w:rFonts w:ascii="Times New Roman" w:cs="Times New Roman" w:eastAsia="Times New Roman" w:hAnsi="Times New Roman"/>
                <w:sz w:val="17"/>
                <w:szCs w:val="17"/>
                <w:color w:val="auto"/>
              </w:rPr>
              <w:t>13</w:t>
            </w:r>
          </w:p>
        </w:tc>
        <w:tc>
          <w:tcPr>
            <w:tcW w:w="2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12"/>
        </w:trPr>
        <w:tc>
          <w:tcPr>
            <w:tcW w:w="460" w:type="dxa"/>
            <w:vAlign w:val="bottom"/>
            <w:tcBorders>
              <w:bottom w:val="single" w:sz="8" w:color="9A9A9A"/>
            </w:tcBorders>
          </w:tcPr>
          <w:p>
            <w:pPr>
              <w:spacing w:after="0"/>
              <w:rPr>
                <w:sz w:val="9"/>
                <w:szCs w:val="9"/>
                <w:color w:val="auto"/>
              </w:rPr>
            </w:pPr>
          </w:p>
        </w:tc>
        <w:tc>
          <w:tcPr>
            <w:tcW w:w="4540" w:type="dxa"/>
            <w:vAlign w:val="bottom"/>
            <w:tcBorders>
              <w:bottom w:val="single" w:sz="8" w:color="9A9A9A"/>
            </w:tcBorders>
          </w:tcPr>
          <w:p>
            <w:pPr>
              <w:spacing w:after="0"/>
              <w:rPr>
                <w:sz w:val="9"/>
                <w:szCs w:val="9"/>
                <w:color w:val="auto"/>
              </w:rPr>
            </w:pPr>
          </w:p>
        </w:tc>
        <w:tc>
          <w:tcPr>
            <w:tcW w:w="236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6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6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EXLSERVICE HOLDINGS, INC.</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UNAUDITED CONSOLIDATED FINANCIAL STATEMENTS—(continued)</w:t>
      </w:r>
    </w:p>
    <w:p>
      <w:pPr>
        <w:spacing w:after="0" w:line="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September 30, 2024</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(In thousands, except per share amount and share count)</w:t>
      </w:r>
    </w:p>
    <w:p>
      <w:pPr>
        <w:spacing w:after="0" w:line="219" w:lineRule="exact"/>
        <w:rPr>
          <w:sz w:val="20"/>
          <w:szCs w:val="20"/>
          <w:color w:val="auto"/>
        </w:rPr>
      </w:pPr>
    </w:p>
    <w:p>
      <w:pPr>
        <w:jc w:val="both"/>
        <w:ind w:firstLine="315"/>
        <w:spacing w:after="0" w:line="261" w:lineRule="auto"/>
        <w:rPr>
          <w:sz w:val="20"/>
          <w:szCs w:val="20"/>
          <w:color w:val="auto"/>
        </w:rPr>
      </w:pPr>
      <w:r>
        <w:rPr>
          <w:rFonts w:ascii="Times New Roman" w:cs="Times New Roman" w:eastAsia="Times New Roman" w:hAnsi="Times New Roman"/>
          <w:sz w:val="17"/>
          <w:szCs w:val="17"/>
          <w:color w:val="auto"/>
        </w:rPr>
        <w:t>Accounts receivable includes $168,420 and $148,735 as of September 30, 2024 and December 31, 2023, respectively, representing unbilled receivables. The Company has accrued the unbilled receivables for work performed in accordance with the terms of contracts with customers and considers no significant performance risk associated with its unbilled receivables.</w:t>
      </w:r>
    </w:p>
    <w:p>
      <w:pPr>
        <w:spacing w:after="0" w:line="18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There was no significant impairment of contract assets as of September 30, 2024 and December 31, 2023.</w:t>
      </w:r>
    </w:p>
    <w:p>
      <w:pPr>
        <w:spacing w:after="0" w:line="237" w:lineRule="exact"/>
        <w:rPr>
          <w:sz w:val="20"/>
          <w:szCs w:val="20"/>
          <w:color w:val="auto"/>
        </w:rPr>
      </w:pPr>
    </w:p>
    <w:p>
      <w:pPr>
        <w:jc w:val="both"/>
        <w:ind w:firstLine="315"/>
        <w:spacing w:after="0" w:line="269" w:lineRule="auto"/>
        <w:rPr>
          <w:sz w:val="20"/>
          <w:szCs w:val="20"/>
          <w:color w:val="auto"/>
        </w:rPr>
      </w:pPr>
      <w:r>
        <w:rPr>
          <w:rFonts w:ascii="Times New Roman" w:cs="Times New Roman" w:eastAsia="Times New Roman" w:hAnsi="Times New Roman"/>
          <w:sz w:val="17"/>
          <w:szCs w:val="17"/>
          <w:color w:val="auto"/>
        </w:rPr>
        <w:t>Revenue recognized during the three and nine months ended September 30, 2024 and 2023, which was included in the contract liabilities balance at the beginning of the respective periods: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980" w:type="dxa"/>
            <w:vAlign w:val="bottom"/>
          </w:tcPr>
          <w:p>
            <w:pPr>
              <w:spacing w:after="0"/>
              <w:rPr>
                <w:sz w:val="17"/>
                <w:szCs w:val="17"/>
                <w:color w:val="auto"/>
              </w:rPr>
            </w:pPr>
          </w:p>
        </w:tc>
        <w:tc>
          <w:tcPr>
            <w:tcW w:w="26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3"/>
                <w:szCs w:val="13"/>
                <w:b w:val="1"/>
                <w:bCs w:val="1"/>
                <w:color w:val="auto"/>
              </w:rPr>
              <w:t>Nine months ended September 30,</w:t>
            </w:r>
          </w:p>
        </w:tc>
        <w:tc>
          <w:tcPr>
            <w:tcW w:w="540" w:type="dxa"/>
            <w:vAlign w:val="bottom"/>
            <w:tcBorders>
              <w:bottom w:val="single" w:sz="8" w:color="auto"/>
            </w:tcBorders>
          </w:tcPr>
          <w:p>
            <w:pPr>
              <w:spacing w:after="0"/>
              <w:rPr>
                <w:sz w:val="17"/>
                <w:szCs w:val="17"/>
                <w:color w:val="auto"/>
              </w:rPr>
            </w:pPr>
          </w:p>
        </w:tc>
      </w:tr>
      <w:tr>
        <w:trPr>
          <w:trHeight w:val="190"/>
        </w:trPr>
        <w:tc>
          <w:tcPr>
            <w:tcW w:w="498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4"/>
                <w:szCs w:val="14"/>
                <w:b w:val="1"/>
                <w:bCs w:val="1"/>
                <w:color w:val="auto"/>
              </w:rPr>
              <w:t>2023</w:t>
            </w: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40" w:type="dxa"/>
            <w:vAlign w:val="bottom"/>
            <w:tcBorders>
              <w:bottom w:val="single" w:sz="8" w:color="auto"/>
            </w:tcBorders>
          </w:tcPr>
          <w:p>
            <w:pPr>
              <w:spacing w:after="0"/>
              <w:rPr>
                <w:sz w:val="16"/>
                <w:szCs w:val="16"/>
                <w:color w:val="auto"/>
              </w:rPr>
            </w:pPr>
          </w:p>
        </w:tc>
      </w:tr>
      <w:tr>
        <w:trPr>
          <w:trHeight w:val="222"/>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Deferred revenue (consideration received in advance)</w:t>
            </w:r>
          </w:p>
        </w:tc>
        <w:tc>
          <w:tcPr>
            <w:tcW w:w="1000" w:type="dxa"/>
            <w:vAlign w:val="bottom"/>
            <w:shd w:val="clear" w:color="auto" w:fill="CCEEFF"/>
          </w:tcPr>
          <w:p>
            <w:pPr>
              <w:jc w:val="right"/>
              <w:ind w:right="801"/>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803</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878"/>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690</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42"/>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9,095</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38"/>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8"/>
              </w:rPr>
              <w:t>16,682</w:t>
            </w:r>
          </w:p>
        </w:tc>
      </w:tr>
      <w:tr>
        <w:trPr>
          <w:trHeight w:val="228"/>
        </w:trPr>
        <w:tc>
          <w:tcPr>
            <w:tcW w:w="4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Consideration received for process transition activities</w:t>
            </w:r>
          </w:p>
        </w:tc>
        <w:tc>
          <w:tcPr>
            <w:tcW w:w="1000" w:type="dxa"/>
            <w:vAlign w:val="bottom"/>
          </w:tcPr>
          <w:p>
            <w:pPr>
              <w:jc w:val="right"/>
              <w:ind w:right="801"/>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717</w:t>
            </w:r>
          </w:p>
        </w:tc>
        <w:tc>
          <w:tcPr>
            <w:tcW w:w="100" w:type="dxa"/>
            <w:vAlign w:val="bottom"/>
          </w:tcPr>
          <w:p>
            <w:pPr>
              <w:spacing w:after="0"/>
              <w:rPr>
                <w:sz w:val="19"/>
                <w:szCs w:val="19"/>
                <w:color w:val="auto"/>
              </w:rPr>
            </w:pPr>
          </w:p>
        </w:tc>
        <w:tc>
          <w:tcPr>
            <w:tcW w:w="1080" w:type="dxa"/>
            <w:vAlign w:val="bottom"/>
          </w:tcPr>
          <w:p>
            <w:pPr>
              <w:jc w:val="right"/>
              <w:ind w:right="878"/>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373</w:t>
            </w:r>
          </w:p>
        </w:tc>
        <w:tc>
          <w:tcPr>
            <w:tcW w:w="100" w:type="dxa"/>
            <w:vAlign w:val="bottom"/>
          </w:tcPr>
          <w:p>
            <w:pPr>
              <w:spacing w:after="0"/>
              <w:rPr>
                <w:sz w:val="19"/>
                <w:szCs w:val="19"/>
                <w:color w:val="auto"/>
              </w:rPr>
            </w:pPr>
          </w:p>
        </w:tc>
        <w:tc>
          <w:tcPr>
            <w:tcW w:w="940" w:type="dxa"/>
            <w:vAlign w:val="bottom"/>
          </w:tcPr>
          <w:p>
            <w:pPr>
              <w:jc w:val="right"/>
              <w:ind w:right="742"/>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1,996</w:t>
            </w:r>
          </w:p>
        </w:tc>
        <w:tc>
          <w:tcPr>
            <w:tcW w:w="100" w:type="dxa"/>
            <w:vAlign w:val="bottom"/>
          </w:tcPr>
          <w:p>
            <w:pPr>
              <w:spacing w:after="0"/>
              <w:rPr>
                <w:sz w:val="19"/>
                <w:szCs w:val="19"/>
                <w:color w:val="auto"/>
              </w:rPr>
            </w:pPr>
          </w:p>
        </w:tc>
        <w:tc>
          <w:tcPr>
            <w:tcW w:w="920" w:type="dxa"/>
            <w:vAlign w:val="bottom"/>
          </w:tcPr>
          <w:p>
            <w:pPr>
              <w:jc w:val="right"/>
              <w:ind w:right="738"/>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1,381</w:t>
            </w:r>
          </w:p>
        </w:tc>
      </w:tr>
    </w:tbl>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Contract acquisition and fulfillment costs</w:t>
      </w:r>
    </w:p>
    <w:p>
      <w:pPr>
        <w:spacing w:after="0" w:line="22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following table provides details of the Company’s contract acquisition and fulfillment costs:</w:t>
      </w:r>
    </w:p>
    <w:p>
      <w:pPr>
        <w:spacing w:after="0" w:line="340" w:lineRule="exact"/>
        <w:rPr>
          <w:sz w:val="20"/>
          <w:szCs w:val="20"/>
          <w:color w:val="auto"/>
        </w:rPr>
      </w:pPr>
    </w:p>
    <w:tbl>
      <w:tblPr>
        <w:tblLayout w:type="fixed"/>
        <w:tblInd w:w="140" w:type="dxa"/>
        <w:tblCellMar>
          <w:top w:w="0" w:type="dxa"/>
          <w:left w:w="0" w:type="dxa"/>
          <w:bottom w:w="0" w:type="dxa"/>
          <w:right w:w="0" w:type="dxa"/>
        </w:tblCellMar>
      </w:tblPr>
      <w:tr>
        <w:trPr>
          <w:trHeight w:val="230"/>
        </w:trPr>
        <w:tc>
          <w:tcPr>
            <w:tcW w:w="424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2620" w:type="dxa"/>
            <w:vAlign w:val="bottom"/>
            <w:tcBorders>
              <w:bottom w:val="single" w:sz="8" w:color="auto"/>
            </w:tcBorders>
            <w:gridSpan w:val="6"/>
          </w:tcPr>
          <w:p>
            <w:pPr>
              <w:ind w:left="380"/>
              <w:spacing w:after="0"/>
              <w:rPr>
                <w:sz w:val="20"/>
                <w:szCs w:val="20"/>
                <w:color w:val="auto"/>
              </w:rPr>
            </w:pPr>
            <w:r>
              <w:rPr>
                <w:rFonts w:ascii="Times New Roman" w:cs="Times New Roman" w:eastAsia="Times New Roman" w:hAnsi="Times New Roman"/>
                <w:sz w:val="17"/>
                <w:szCs w:val="17"/>
                <w:b w:val="1"/>
                <w:bCs w:val="1"/>
                <w:color w:val="auto"/>
              </w:rPr>
              <w:t>Contract Acquisition Costs</w:t>
            </w:r>
          </w:p>
        </w:tc>
        <w:tc>
          <w:tcPr>
            <w:tcW w:w="5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r>
      <w:tr>
        <w:trPr>
          <w:trHeight w:val="184"/>
        </w:trPr>
        <w:tc>
          <w:tcPr>
            <w:tcW w:w="424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3"/>
          </w:tcPr>
          <w:p>
            <w:pPr>
              <w:ind w:left="2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3"/>
          </w:tcPr>
          <w:p>
            <w:pPr>
              <w:ind w:left="3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5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298"/>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89"/>
        </w:trPr>
        <w:tc>
          <w:tcPr>
            <w:tcW w:w="4240" w:type="dxa"/>
            <w:vAlign w:val="bottom"/>
          </w:tcPr>
          <w:p>
            <w:pPr>
              <w:spacing w:after="0"/>
              <w:rPr>
                <w:sz w:val="16"/>
                <w:szCs w:val="16"/>
                <w:color w:val="auto"/>
              </w:rPr>
            </w:pPr>
          </w:p>
        </w:tc>
        <w:tc>
          <w:tcPr>
            <w:tcW w:w="13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2023</w:t>
            </w:r>
          </w:p>
        </w:tc>
        <w:tc>
          <w:tcPr>
            <w:tcW w:w="80" w:type="dxa"/>
            <w:vAlign w:val="bottom"/>
          </w:tcPr>
          <w:p>
            <w:pPr>
              <w:spacing w:after="0"/>
              <w:rPr>
                <w:sz w:val="16"/>
                <w:szCs w:val="16"/>
                <w:color w:val="auto"/>
              </w:rPr>
            </w:pPr>
          </w:p>
        </w:tc>
        <w:tc>
          <w:tcPr>
            <w:tcW w:w="13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2023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jc w:val="right"/>
              <w:ind w:right="78"/>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23"/>
        </w:trPr>
        <w:tc>
          <w:tcPr>
            <w:tcW w:w="4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Opening Balance</w:t>
            </w:r>
          </w:p>
        </w:tc>
        <w:tc>
          <w:tcPr>
            <w:tcW w:w="3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1,990</w:t>
            </w:r>
          </w:p>
        </w:tc>
        <w:tc>
          <w:tcPr>
            <w:tcW w:w="100" w:type="dxa"/>
            <w:vAlign w:val="bottom"/>
          </w:tcPr>
          <w:p>
            <w:pPr>
              <w:spacing w:after="0"/>
              <w:rPr>
                <w:sz w:val="19"/>
                <w:szCs w:val="19"/>
                <w:color w:val="auto"/>
              </w:rPr>
            </w:pPr>
          </w:p>
        </w:tc>
        <w:tc>
          <w:tcPr>
            <w:tcW w:w="6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2,183</w:t>
            </w:r>
          </w:p>
        </w:tc>
        <w:tc>
          <w:tcPr>
            <w:tcW w:w="80" w:type="dxa"/>
            <w:vAlign w:val="bottom"/>
          </w:tcPr>
          <w:p>
            <w:pPr>
              <w:spacing w:after="0"/>
              <w:rPr>
                <w:sz w:val="19"/>
                <w:szCs w:val="19"/>
                <w:color w:val="auto"/>
              </w:rPr>
            </w:pPr>
          </w:p>
        </w:tc>
        <w:tc>
          <w:tcPr>
            <w:tcW w:w="4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2,122</w:t>
            </w:r>
          </w:p>
        </w:tc>
        <w:tc>
          <w:tcPr>
            <w:tcW w:w="100" w:type="dxa"/>
            <w:vAlign w:val="bottom"/>
          </w:tcPr>
          <w:p>
            <w:pPr>
              <w:spacing w:after="0"/>
              <w:rPr>
                <w:sz w:val="19"/>
                <w:szCs w:val="19"/>
                <w:color w:val="auto"/>
              </w:rPr>
            </w:pPr>
          </w:p>
        </w:tc>
        <w:tc>
          <w:tcPr>
            <w:tcW w:w="6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1,095</w:t>
            </w:r>
          </w:p>
        </w:tc>
        <w:tc>
          <w:tcPr>
            <w:tcW w:w="10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1,095</w:t>
            </w:r>
          </w:p>
        </w:tc>
      </w:tr>
      <w:tr>
        <w:trPr>
          <w:trHeight w:val="223"/>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Additions</w:t>
            </w: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377</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1,591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1,841</w:t>
            </w:r>
          </w:p>
        </w:tc>
      </w:tr>
      <w:tr>
        <w:trPr>
          <w:trHeight w:val="223"/>
        </w:trPr>
        <w:tc>
          <w:tcPr>
            <w:tcW w:w="4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Amortization</w:t>
            </w: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(218)</w:t>
            </w:r>
          </w:p>
        </w:tc>
        <w:tc>
          <w:tcPr>
            <w:tcW w:w="10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(233)</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(721)</w:t>
            </w:r>
          </w:p>
        </w:tc>
        <w:tc>
          <w:tcPr>
            <w:tcW w:w="10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(621)</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(814)</w:t>
            </w:r>
          </w:p>
        </w:tc>
      </w:tr>
      <w:tr>
        <w:trPr>
          <w:trHeight w:val="241"/>
        </w:trPr>
        <w:tc>
          <w:tcPr>
            <w:tcW w:w="4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Closing Balance</w:t>
            </w:r>
          </w:p>
        </w:tc>
        <w:tc>
          <w:tcPr>
            <w:tcW w:w="3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1,778</w:t>
            </w: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2,065</w:t>
            </w:r>
          </w:p>
        </w:tc>
        <w:tc>
          <w:tcPr>
            <w:tcW w:w="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1,778</w:t>
            </w:r>
          </w:p>
        </w:tc>
        <w:tc>
          <w:tcPr>
            <w:tcW w:w="1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2,065</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2,122</w:t>
            </w: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36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2640" w:type="dxa"/>
            <w:vAlign w:val="bottom"/>
            <w:tcBorders>
              <w:bottom w:val="single" w:sz="8" w:color="auto"/>
            </w:tcBorders>
            <w:gridSpan w:val="6"/>
          </w:tcPr>
          <w:p>
            <w:pPr>
              <w:ind w:left="420"/>
              <w:spacing w:after="0"/>
              <w:rPr>
                <w:sz w:val="20"/>
                <w:szCs w:val="20"/>
                <w:color w:val="auto"/>
              </w:rPr>
            </w:pPr>
            <w:r>
              <w:rPr>
                <w:rFonts w:ascii="Times New Roman" w:cs="Times New Roman" w:eastAsia="Times New Roman" w:hAnsi="Times New Roman"/>
                <w:sz w:val="17"/>
                <w:szCs w:val="17"/>
                <w:b w:val="1"/>
                <w:bCs w:val="1"/>
                <w:color w:val="auto"/>
              </w:rPr>
              <w:t>Contract Fulfillment Costs</w:t>
            </w:r>
          </w:p>
        </w:tc>
        <w:tc>
          <w:tcPr>
            <w:tcW w:w="6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r>
      <w:tr>
        <w:trPr>
          <w:trHeight w:val="184"/>
        </w:trPr>
        <w:tc>
          <w:tcPr>
            <w:tcW w:w="436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3"/>
          </w:tcPr>
          <w:p>
            <w:pPr>
              <w:ind w:left="2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3"/>
          </w:tcPr>
          <w:p>
            <w:pPr>
              <w:ind w:left="3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6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90"/>
        </w:trPr>
        <w:tc>
          <w:tcPr>
            <w:tcW w:w="4360" w:type="dxa"/>
            <w:vAlign w:val="bottom"/>
          </w:tcPr>
          <w:p>
            <w:pPr>
              <w:spacing w:after="0"/>
              <w:rPr>
                <w:sz w:val="16"/>
                <w:szCs w:val="16"/>
                <w:color w:val="auto"/>
              </w:rPr>
            </w:pPr>
          </w:p>
        </w:tc>
        <w:tc>
          <w:tcPr>
            <w:tcW w:w="13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2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2023</w:t>
            </w:r>
          </w:p>
        </w:tc>
        <w:tc>
          <w:tcPr>
            <w:tcW w:w="80" w:type="dxa"/>
            <w:vAlign w:val="bottom"/>
          </w:tcPr>
          <w:p>
            <w:pPr>
              <w:spacing w:after="0"/>
              <w:rPr>
                <w:sz w:val="16"/>
                <w:szCs w:val="16"/>
                <w:color w:val="auto"/>
              </w:rPr>
            </w:pPr>
          </w:p>
        </w:tc>
        <w:tc>
          <w:tcPr>
            <w:tcW w:w="13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2023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22"/>
        </w:trPr>
        <w:tc>
          <w:tcPr>
            <w:tcW w:w="4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Opening Balance</w:t>
            </w:r>
          </w:p>
        </w:tc>
        <w:tc>
          <w:tcPr>
            <w:tcW w:w="3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30,404</w:t>
            </w:r>
          </w:p>
        </w:tc>
        <w:tc>
          <w:tcPr>
            <w:tcW w:w="80" w:type="dxa"/>
            <w:vAlign w:val="bottom"/>
            <w:tcBorders>
              <w:top w:val="single" w:sz="8" w:color="CCEEFF"/>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21,445</w:t>
            </w:r>
          </w:p>
        </w:tc>
        <w:tc>
          <w:tcPr>
            <w:tcW w:w="8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top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24,673</w:t>
            </w:r>
          </w:p>
        </w:tc>
        <w:tc>
          <w:tcPr>
            <w:tcW w:w="10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13,871</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top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7"/>
                <w:szCs w:val="17"/>
                <w:color w:val="auto"/>
              </w:rPr>
              <w:t>13,871</w:t>
            </w:r>
          </w:p>
        </w:tc>
      </w:tr>
      <w:tr>
        <w:trPr>
          <w:trHeight w:val="223"/>
        </w:trPr>
        <w:tc>
          <w:tcPr>
            <w:tcW w:w="4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Additions</w:t>
            </w: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3,530</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3,790</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10,814</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12,633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ind w:left="760"/>
              <w:spacing w:after="0"/>
              <w:rPr>
                <w:sz w:val="20"/>
                <w:szCs w:val="20"/>
                <w:color w:val="auto"/>
              </w:rPr>
            </w:pPr>
            <w:r>
              <w:rPr>
                <w:rFonts w:ascii="Times New Roman" w:cs="Times New Roman" w:eastAsia="Times New Roman" w:hAnsi="Times New Roman"/>
                <w:sz w:val="17"/>
                <w:szCs w:val="17"/>
                <w:color w:val="auto"/>
              </w:rPr>
              <w:t>13,605</w:t>
            </w:r>
          </w:p>
        </w:tc>
      </w:tr>
      <w:tr>
        <w:trPr>
          <w:trHeight w:val="223"/>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Amortization</w:t>
            </w:r>
          </w:p>
        </w:tc>
        <w:tc>
          <w:tcPr>
            <w:tcW w:w="3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(713)</w:t>
            </w:r>
          </w:p>
        </w:tc>
        <w:tc>
          <w:tcPr>
            <w:tcW w:w="8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(878)</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(2,266)</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(2,147)</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7"/>
                <w:szCs w:val="17"/>
                <w:color w:val="auto"/>
              </w:rPr>
              <w:t>(2,803)</w:t>
            </w:r>
          </w:p>
        </w:tc>
      </w:tr>
      <w:tr>
        <w:trPr>
          <w:trHeight w:val="216"/>
        </w:trPr>
        <w:tc>
          <w:tcPr>
            <w:tcW w:w="4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Closing Balance</w:t>
            </w:r>
          </w:p>
        </w:tc>
        <w:tc>
          <w:tcPr>
            <w:tcW w:w="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33,221</w:t>
            </w:r>
          </w:p>
        </w:tc>
        <w:tc>
          <w:tcPr>
            <w:tcW w:w="80" w:type="dxa"/>
            <w:vAlign w:val="bottom"/>
          </w:tcPr>
          <w:p>
            <w:pPr>
              <w:spacing w:after="0"/>
              <w:rPr>
                <w:sz w:val="18"/>
                <w:szCs w:val="18"/>
                <w:color w:val="auto"/>
              </w:rPr>
            </w:pPr>
          </w:p>
        </w:tc>
        <w:tc>
          <w:tcPr>
            <w:tcW w:w="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24,357</w:t>
            </w:r>
          </w:p>
        </w:tc>
        <w:tc>
          <w:tcPr>
            <w:tcW w:w="80" w:type="dxa"/>
            <w:vAlign w:val="bottom"/>
          </w:tcPr>
          <w:p>
            <w:pPr>
              <w:spacing w:after="0"/>
              <w:rPr>
                <w:sz w:val="18"/>
                <w:szCs w:val="18"/>
                <w:color w:val="auto"/>
              </w:rPr>
            </w:pPr>
          </w:p>
        </w:tc>
        <w:tc>
          <w:tcPr>
            <w:tcW w:w="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7"/>
                <w:szCs w:val="17"/>
                <w:color w:val="auto"/>
              </w:rPr>
              <w:t>33,221</w:t>
            </w:r>
          </w:p>
        </w:tc>
        <w:tc>
          <w:tcPr>
            <w:tcW w:w="100" w:type="dxa"/>
            <w:vAlign w:val="bottom"/>
          </w:tcPr>
          <w:p>
            <w:pPr>
              <w:spacing w:after="0"/>
              <w:rPr>
                <w:sz w:val="18"/>
                <w:szCs w:val="18"/>
                <w:color w:val="auto"/>
              </w:rPr>
            </w:pPr>
          </w:p>
        </w:tc>
        <w:tc>
          <w:tcPr>
            <w:tcW w:w="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24,357</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7"/>
                <w:szCs w:val="17"/>
                <w:color w:val="auto"/>
              </w:rPr>
              <w:t>24,673</w:t>
            </w:r>
          </w:p>
        </w:tc>
      </w:tr>
      <w:tr>
        <w:trPr>
          <w:trHeight w:val="20"/>
        </w:trPr>
        <w:tc>
          <w:tcPr>
            <w:tcW w:w="43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There was no significant impairment for contract acquisition and contract fulfillment costs as of September 30, 2024 and December 31, 2023.</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Allowance for expected credit losses</w:t>
      </w:r>
    </w:p>
    <w:p>
      <w:pPr>
        <w:spacing w:after="0" w:line="23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The following table provides information about accounts receivable, net of allowance for expected credit losses:</w:t>
      </w:r>
    </w:p>
    <w:p>
      <w:pPr>
        <w:spacing w:after="0" w:line="56" w:lineRule="exact"/>
        <w:rPr>
          <w:sz w:val="20"/>
          <w:szCs w:val="20"/>
          <w:color w:val="auto"/>
        </w:rPr>
      </w:pPr>
    </w:p>
    <w:tbl>
      <w:tblPr>
        <w:tblLayout w:type="fixed"/>
        <w:tblInd w:w="480" w:type="dxa"/>
        <w:tblCellMar>
          <w:top w:w="0" w:type="dxa"/>
          <w:left w:w="0" w:type="dxa"/>
          <w:bottom w:w="0" w:type="dxa"/>
          <w:right w:w="0" w:type="dxa"/>
        </w:tblCellMar>
      </w:tblPr>
      <w:tr>
        <w:trPr>
          <w:trHeight w:val="210"/>
        </w:trPr>
        <w:tc>
          <w:tcPr>
            <w:tcW w:w="64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gridSpan w:val="3"/>
          </w:tcPr>
          <w:p>
            <w:pPr>
              <w:jc w:val="right"/>
              <w:ind w:right="53"/>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800" w:type="dxa"/>
            <w:vAlign w:val="bottom"/>
            <w:tcBorders>
              <w:bottom w:val="single" w:sz="8" w:color="auto"/>
            </w:tcBorders>
          </w:tcPr>
          <w:p>
            <w:pPr>
              <w:spacing w:after="0"/>
              <w:rPr>
                <w:sz w:val="18"/>
                <w:szCs w:val="18"/>
                <w:color w:val="auto"/>
              </w:rPr>
            </w:pPr>
          </w:p>
        </w:tc>
      </w:tr>
      <w:tr>
        <w:trPr>
          <w:trHeight w:val="204"/>
        </w:trPr>
        <w:tc>
          <w:tcPr>
            <w:tcW w:w="6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92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260" w:type="dxa"/>
            <w:vAlign w:val="bottom"/>
          </w:tcPr>
          <w:p>
            <w:pPr>
              <w:spacing w:after="0"/>
              <w:rPr>
                <w:sz w:val="17"/>
                <w:szCs w:val="17"/>
                <w:color w:val="auto"/>
              </w:rPr>
            </w:pPr>
          </w:p>
        </w:tc>
        <w:tc>
          <w:tcPr>
            <w:tcW w:w="1800" w:type="dxa"/>
            <w:vAlign w:val="bottom"/>
          </w:tcPr>
          <w:p>
            <w:pPr>
              <w:jc w:val="right"/>
              <w:ind w:right="295"/>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17"/>
        </w:trPr>
        <w:tc>
          <w:tcPr>
            <w:tcW w:w="6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Accounts receivable, including unbilled receivables</w:t>
            </w:r>
          </w:p>
        </w:tc>
        <w:tc>
          <w:tcPr>
            <w:tcW w:w="240" w:type="dxa"/>
            <w:vAlign w:val="bottom"/>
            <w:tcBorders>
              <w:top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344,778</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311,811</w:t>
            </w:r>
          </w:p>
        </w:tc>
      </w:tr>
      <w:tr>
        <w:trPr>
          <w:trHeight w:val="223"/>
        </w:trPr>
        <w:tc>
          <w:tcPr>
            <w:tcW w:w="6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Less: Allowance for expected credit losses</w:t>
            </w:r>
          </w:p>
        </w:tc>
        <w:tc>
          <w:tcPr>
            <w:tcW w:w="24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(3,874)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(3,703)</w:t>
            </w:r>
          </w:p>
        </w:tc>
      </w:tr>
      <w:tr>
        <w:trPr>
          <w:trHeight w:val="241"/>
        </w:trPr>
        <w:tc>
          <w:tcPr>
            <w:tcW w:w="6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Accounts receivable, net</w:t>
            </w:r>
          </w:p>
        </w:tc>
        <w:tc>
          <w:tcPr>
            <w:tcW w:w="24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340,904</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308,108</w:t>
            </w:r>
          </w:p>
        </w:tc>
      </w:tr>
      <w:tr>
        <w:trPr>
          <w:trHeight w:val="20"/>
        </w:trPr>
        <w:tc>
          <w:tcPr>
            <w:tcW w:w="64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EXLSERVICE HOLDINGS, INC.</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UNAUDITED CONSOLIDATED FINANCIAL STATEMENTS—(continued)</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September 30, 2024</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per share amount and share count)</w:t>
      </w:r>
    </w:p>
    <w:p>
      <w:pPr>
        <w:spacing w:after="0" w:line="21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The movement in “Allowance for expected credit losses” was as follows: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20" w:type="dxa"/>
            <w:vAlign w:val="bottom"/>
            <w:gridSpan w:val="5"/>
          </w:tcPr>
          <w:p>
            <w:pPr>
              <w:ind w:left="1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20" w:type="dxa"/>
            <w:vAlign w:val="bottom"/>
          </w:tcPr>
          <w:p>
            <w:pPr>
              <w:spacing w:after="0"/>
              <w:rPr>
                <w:sz w:val="18"/>
                <w:szCs w:val="18"/>
                <w:color w:val="auto"/>
              </w:rPr>
            </w:pPr>
          </w:p>
        </w:tc>
        <w:tc>
          <w:tcPr>
            <w:tcW w:w="2040" w:type="dxa"/>
            <w:vAlign w:val="bottom"/>
            <w:gridSpan w:val="5"/>
          </w:tcPr>
          <w:p>
            <w:pPr>
              <w:ind w:left="22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160" w:type="dxa"/>
            <w:vAlign w:val="bottom"/>
          </w:tcPr>
          <w:p>
            <w:pPr>
              <w:spacing w:after="0"/>
              <w:rPr>
                <w:sz w:val="18"/>
                <w:szCs w:val="18"/>
                <w:color w:val="auto"/>
              </w:rPr>
            </w:pPr>
          </w:p>
        </w:tc>
        <w:tc>
          <w:tcPr>
            <w:tcW w:w="1140" w:type="dxa"/>
            <w:vAlign w:val="bottom"/>
          </w:tcPr>
          <w:p>
            <w:pPr>
              <w:jc w:val="center"/>
              <w:ind w:right="56"/>
              <w:spacing w:after="0"/>
              <w:rPr>
                <w:sz w:val="20"/>
                <w:szCs w:val="20"/>
                <w:color w:val="auto"/>
              </w:rPr>
            </w:pPr>
            <w:r>
              <w:rPr>
                <w:rFonts w:ascii="Times New Roman" w:cs="Times New Roman" w:eastAsia="Times New Roman" w:hAnsi="Times New Roman"/>
                <w:sz w:val="16"/>
                <w:szCs w:val="16"/>
                <w:b w:val="1"/>
                <w:bCs w:val="1"/>
                <w:color w:val="auto"/>
                <w:w w:val="96"/>
              </w:rPr>
              <w:t>Year ended</w:t>
            </w:r>
          </w:p>
        </w:tc>
      </w:tr>
      <w:tr>
        <w:trPr>
          <w:trHeight w:val="153"/>
        </w:trPr>
        <w:tc>
          <w:tcPr>
            <w:tcW w:w="5420" w:type="dxa"/>
            <w:vAlign w:val="bottom"/>
          </w:tcPr>
          <w:p>
            <w:pPr>
              <w:spacing w:after="0"/>
              <w:rPr>
                <w:sz w:val="13"/>
                <w:szCs w:val="13"/>
                <w:color w:val="auto"/>
              </w:rPr>
            </w:pPr>
          </w:p>
        </w:tc>
        <w:tc>
          <w:tcPr>
            <w:tcW w:w="1120" w:type="dxa"/>
            <w:vAlign w:val="bottom"/>
            <w:tcBorders>
              <w:top w:val="single" w:sz="8" w:color="auto"/>
            </w:tcBorders>
            <w:gridSpan w:val="3"/>
          </w:tcPr>
          <w:p>
            <w:pPr>
              <w:ind w:left="40"/>
              <w:spacing w:after="0" w:line="153"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1040" w:type="dxa"/>
            <w:vAlign w:val="bottom"/>
            <w:tcBorders>
              <w:top w:val="single" w:sz="8" w:color="auto"/>
            </w:tcBorders>
            <w:gridSpan w:val="2"/>
          </w:tcPr>
          <w:p>
            <w:pPr>
              <w:ind w:left="40"/>
              <w:spacing w:after="0" w:line="153"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100" w:type="dxa"/>
            <w:vAlign w:val="bottom"/>
          </w:tcPr>
          <w:p>
            <w:pPr>
              <w:spacing w:after="0"/>
              <w:rPr>
                <w:sz w:val="13"/>
                <w:szCs w:val="13"/>
                <w:color w:val="auto"/>
              </w:rPr>
            </w:pPr>
          </w:p>
        </w:tc>
        <w:tc>
          <w:tcPr>
            <w:tcW w:w="1140" w:type="dxa"/>
            <w:vAlign w:val="bottom"/>
            <w:tcBorders>
              <w:top w:val="single" w:sz="8" w:color="auto"/>
            </w:tcBorders>
            <w:gridSpan w:val="3"/>
          </w:tcPr>
          <w:p>
            <w:pPr>
              <w:ind w:left="40"/>
              <w:spacing w:after="0" w:line="153"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1040" w:type="dxa"/>
            <w:vAlign w:val="bottom"/>
            <w:tcBorders>
              <w:top w:val="single" w:sz="8" w:color="auto"/>
            </w:tcBorders>
            <w:gridSpan w:val="2"/>
          </w:tcPr>
          <w:p>
            <w:pPr>
              <w:ind w:left="40"/>
              <w:spacing w:after="0" w:line="153"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jc w:val="center"/>
              <w:ind w:right="56"/>
              <w:spacing w:after="0" w:line="153" w:lineRule="exact"/>
              <w:rPr>
                <w:sz w:val="20"/>
                <w:szCs w:val="20"/>
                <w:color w:val="auto"/>
              </w:rPr>
            </w:pPr>
            <w:r>
              <w:rPr>
                <w:rFonts w:ascii="Times New Roman" w:cs="Times New Roman" w:eastAsia="Times New Roman" w:hAnsi="Times New Roman"/>
                <w:sz w:val="16"/>
                <w:szCs w:val="16"/>
                <w:b w:val="1"/>
                <w:bCs w:val="1"/>
                <w:color w:val="auto"/>
                <w:w w:val="98"/>
              </w:rPr>
              <w:t>December 31,</w:t>
            </w:r>
          </w:p>
        </w:tc>
      </w:tr>
      <w:tr>
        <w:trPr>
          <w:trHeight w:val="209"/>
        </w:trPr>
        <w:tc>
          <w:tcPr>
            <w:tcW w:w="54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right="56"/>
              <w:spacing w:after="0"/>
              <w:rPr>
                <w:sz w:val="20"/>
                <w:szCs w:val="20"/>
                <w:color w:val="auto"/>
              </w:rPr>
            </w:pPr>
            <w:r>
              <w:rPr>
                <w:rFonts w:ascii="Times New Roman" w:cs="Times New Roman" w:eastAsia="Times New Roman" w:hAnsi="Times New Roman"/>
                <w:sz w:val="16"/>
                <w:szCs w:val="16"/>
                <w:b w:val="1"/>
                <w:bCs w:val="1"/>
                <w:color w:val="auto"/>
                <w:w w:val="99"/>
              </w:rPr>
              <w:t>2023</w:t>
            </w:r>
          </w:p>
        </w:tc>
      </w:tr>
      <w:tr>
        <w:trPr>
          <w:trHeight w:val="217"/>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Opening Balance</w:t>
            </w: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3,560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1,800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3,703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1,332</w:t>
            </w:r>
          </w:p>
        </w:tc>
      </w:tr>
      <w:tr>
        <w:trPr>
          <w:trHeight w:val="223"/>
        </w:trPr>
        <w:tc>
          <w:tcPr>
            <w:tcW w:w="5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Additions/(reductions)</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1,964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2,441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2,450</w:t>
            </w:r>
          </w:p>
        </w:tc>
      </w:tr>
      <w:tr>
        <w:trPr>
          <w:trHeight w:val="223"/>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Reductions due to write-off of accounts receivable</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w:t>
            </w:r>
          </w:p>
        </w:tc>
      </w:tr>
      <w:tr>
        <w:trPr>
          <w:trHeight w:val="223"/>
        </w:trPr>
        <w:tc>
          <w:tcPr>
            <w:tcW w:w="5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Currency translation adjustments</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41"/>
        </w:trPr>
        <w:tc>
          <w:tcPr>
            <w:tcW w:w="54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Closing Balance</w:t>
            </w:r>
          </w:p>
        </w:tc>
        <w:tc>
          <w:tcPr>
            <w:tcW w:w="2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3,874</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3,696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3,874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3,696</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3,703</w:t>
            </w:r>
          </w:p>
        </w:tc>
      </w:tr>
      <w:tr>
        <w:trPr>
          <w:trHeight w:val="20"/>
        </w:trPr>
        <w:tc>
          <w:tcPr>
            <w:tcW w:w="54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Customer and credit risk concentration</w:t>
      </w:r>
    </w:p>
    <w:p>
      <w:pPr>
        <w:spacing w:after="0" w:line="23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No single customer accounted for more than 10% of the Company's revenues, net during the three and nine months ended September 30, 2024 and 2023.</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Company’s management believes that the loss of any of its top ten clients could have a material adverse effect on its financial performance.</w:t>
      </w:r>
    </w:p>
    <w:p>
      <w:pPr>
        <w:spacing w:after="0" w:line="204" w:lineRule="exact"/>
        <w:rPr>
          <w:sz w:val="20"/>
          <w:szCs w:val="20"/>
          <w:color w:val="auto"/>
        </w:rPr>
      </w:pPr>
    </w:p>
    <w:p>
      <w:pPr>
        <w:jc w:val="both"/>
        <w:ind w:firstLine="393"/>
        <w:spacing w:after="0" w:line="281" w:lineRule="auto"/>
        <w:rPr>
          <w:sz w:val="20"/>
          <w:szCs w:val="20"/>
          <w:color w:val="auto"/>
        </w:rPr>
      </w:pPr>
      <w:r>
        <w:rPr>
          <w:rFonts w:ascii="Times New Roman" w:cs="Times New Roman" w:eastAsia="Times New Roman" w:hAnsi="Times New Roman"/>
          <w:sz w:val="17"/>
          <w:szCs w:val="17"/>
          <w:color w:val="auto"/>
        </w:rPr>
        <w:t>To reduce credit risk, the Company conducts ongoing credit evaluations of its customers. No customer accounted for more than 10% of accounts receivable, net, as of September 30, 2024 and December 31, 2023.</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5. Earnings Per Share</w:t>
      </w:r>
    </w:p>
    <w:p>
      <w:pPr>
        <w:spacing w:after="0" w:line="23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The following table sets forth the computation of basic and diluted earnings per share: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4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04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80" w:type="dxa"/>
            <w:vAlign w:val="bottom"/>
          </w:tcPr>
          <w:p>
            <w:pPr>
              <w:spacing w:after="0"/>
              <w:rPr>
                <w:sz w:val="16"/>
                <w:szCs w:val="16"/>
                <w:color w:val="auto"/>
              </w:rPr>
            </w:pPr>
          </w:p>
        </w:tc>
        <w:tc>
          <w:tcPr>
            <w:tcW w:w="2980" w:type="dxa"/>
            <w:vAlign w:val="bottom"/>
            <w:gridSpan w:val="4"/>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4"/>
        </w:trPr>
        <w:tc>
          <w:tcPr>
            <w:tcW w:w="44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79"/>
        </w:trPr>
        <w:tc>
          <w:tcPr>
            <w:tcW w:w="4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40" w:type="dxa"/>
            <w:vAlign w:val="bottom"/>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40" w:type="dxa"/>
            <w:vAlign w:val="bottom"/>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4"/>
        </w:trPr>
        <w:tc>
          <w:tcPr>
            <w:tcW w:w="44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3"/>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Numerators:</w:t>
            </w: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23"/>
        </w:trPr>
        <w:tc>
          <w:tcPr>
            <w:tcW w:w="4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36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53,037</w:t>
            </w:r>
          </w:p>
        </w:tc>
        <w:tc>
          <w:tcPr>
            <w:tcW w:w="100" w:type="dxa"/>
            <w:vAlign w:val="bottom"/>
          </w:tcPr>
          <w:p>
            <w:pPr>
              <w:spacing w:after="0"/>
              <w:rPr>
                <w:sz w:val="19"/>
                <w:szCs w:val="19"/>
                <w:color w:val="auto"/>
              </w:rPr>
            </w:pPr>
          </w:p>
        </w:tc>
        <w:tc>
          <w:tcPr>
            <w:tcW w:w="400" w:type="dxa"/>
            <w:vAlign w:val="bottom"/>
          </w:tcPr>
          <w:p>
            <w:pPr>
              <w:jc w:val="right"/>
              <w:ind w:right="213"/>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43,876</w:t>
            </w:r>
          </w:p>
        </w:tc>
        <w:tc>
          <w:tcPr>
            <w:tcW w:w="100" w:type="dxa"/>
            <w:vAlign w:val="bottom"/>
          </w:tcPr>
          <w:p>
            <w:pPr>
              <w:spacing w:after="0"/>
              <w:rPr>
                <w:sz w:val="19"/>
                <w:szCs w:val="19"/>
                <w:color w:val="auto"/>
              </w:rPr>
            </w:pPr>
          </w:p>
        </w:tc>
        <w:tc>
          <w:tcPr>
            <w:tcW w:w="380" w:type="dxa"/>
            <w:vAlign w:val="bottom"/>
          </w:tcPr>
          <w:p>
            <w:pPr>
              <w:jc w:val="right"/>
              <w:ind w:right="193"/>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147,625</w:t>
            </w:r>
          </w:p>
        </w:tc>
        <w:tc>
          <w:tcPr>
            <w:tcW w:w="80" w:type="dxa"/>
            <w:vAlign w:val="bottom"/>
          </w:tcPr>
          <w:p>
            <w:pPr>
              <w:spacing w:after="0"/>
              <w:rPr>
                <w:sz w:val="19"/>
                <w:szCs w:val="19"/>
                <w:color w:val="auto"/>
              </w:rPr>
            </w:pPr>
          </w:p>
        </w:tc>
        <w:tc>
          <w:tcPr>
            <w:tcW w:w="400" w:type="dxa"/>
            <w:vAlign w:val="bottom"/>
          </w:tcPr>
          <w:p>
            <w:pPr>
              <w:jc w:val="right"/>
              <w:ind w:right="213"/>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144,275</w:t>
            </w:r>
          </w:p>
        </w:tc>
      </w:tr>
      <w:tr>
        <w:trPr>
          <w:trHeight w:val="223"/>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Denominators: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23"/>
        </w:trPr>
        <w:tc>
          <w:tcPr>
            <w:tcW w:w="44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Basic weighted average common shares outstanding</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161,732,872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166,159,619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163,197,767</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166,707,599</w:t>
            </w:r>
          </w:p>
        </w:tc>
      </w:tr>
      <w:tr>
        <w:trPr>
          <w:trHeight w:val="223"/>
        </w:trPr>
        <w:tc>
          <w:tcPr>
            <w:tcW w:w="4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Dilutive effect of stock-based awards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1,454,861</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1,528,755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1,422,314</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1,884,013</w:t>
            </w:r>
          </w:p>
        </w:tc>
      </w:tr>
      <w:tr>
        <w:trPr>
          <w:trHeight w:val="216"/>
        </w:trPr>
        <w:tc>
          <w:tcPr>
            <w:tcW w:w="44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Diluted weighted average common shares outstanding</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163,187,733</w:t>
            </w: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167,688,374</w:t>
            </w: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164,620,081</w:t>
            </w:r>
          </w:p>
        </w:tc>
        <w:tc>
          <w:tcPr>
            <w:tcW w:w="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168,591,612</w:t>
            </w:r>
          </w:p>
        </w:tc>
      </w:tr>
      <w:tr>
        <w:trPr>
          <w:trHeight w:val="20"/>
        </w:trPr>
        <w:tc>
          <w:tcPr>
            <w:tcW w:w="44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89"/>
        </w:trPr>
        <w:tc>
          <w:tcPr>
            <w:tcW w:w="448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7"/>
                <w:szCs w:val="17"/>
                <w:b w:val="1"/>
                <w:bCs w:val="1"/>
                <w:color w:val="auto"/>
              </w:rPr>
              <w:t>Earnings per share:</w:t>
            </w: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r>
      <w:tr>
        <w:trPr>
          <w:trHeight w:val="223"/>
        </w:trPr>
        <w:tc>
          <w:tcPr>
            <w:tcW w:w="448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Basic</w:t>
            </w:r>
          </w:p>
        </w:tc>
        <w:tc>
          <w:tcPr>
            <w:tcW w:w="36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0.33</w:t>
            </w:r>
          </w:p>
        </w:tc>
        <w:tc>
          <w:tcPr>
            <w:tcW w:w="100" w:type="dxa"/>
            <w:vAlign w:val="bottom"/>
          </w:tcPr>
          <w:p>
            <w:pPr>
              <w:spacing w:after="0"/>
              <w:rPr>
                <w:sz w:val="19"/>
                <w:szCs w:val="19"/>
                <w:color w:val="auto"/>
              </w:rPr>
            </w:pPr>
          </w:p>
        </w:tc>
        <w:tc>
          <w:tcPr>
            <w:tcW w:w="400" w:type="dxa"/>
            <w:vAlign w:val="bottom"/>
          </w:tcPr>
          <w:p>
            <w:pPr>
              <w:jc w:val="right"/>
              <w:ind w:right="213"/>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0.26</w:t>
            </w:r>
          </w:p>
        </w:tc>
        <w:tc>
          <w:tcPr>
            <w:tcW w:w="100" w:type="dxa"/>
            <w:vAlign w:val="bottom"/>
          </w:tcPr>
          <w:p>
            <w:pPr>
              <w:spacing w:after="0"/>
              <w:rPr>
                <w:sz w:val="19"/>
                <w:szCs w:val="19"/>
                <w:color w:val="auto"/>
              </w:rPr>
            </w:pPr>
          </w:p>
        </w:tc>
        <w:tc>
          <w:tcPr>
            <w:tcW w:w="380" w:type="dxa"/>
            <w:vAlign w:val="bottom"/>
          </w:tcPr>
          <w:p>
            <w:pPr>
              <w:jc w:val="right"/>
              <w:ind w:right="193"/>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0.90</w:t>
            </w:r>
          </w:p>
        </w:tc>
        <w:tc>
          <w:tcPr>
            <w:tcW w:w="80" w:type="dxa"/>
            <w:vAlign w:val="bottom"/>
          </w:tcPr>
          <w:p>
            <w:pPr>
              <w:spacing w:after="0"/>
              <w:rPr>
                <w:sz w:val="19"/>
                <w:szCs w:val="19"/>
                <w:color w:val="auto"/>
              </w:rPr>
            </w:pPr>
          </w:p>
        </w:tc>
        <w:tc>
          <w:tcPr>
            <w:tcW w:w="400" w:type="dxa"/>
            <w:vAlign w:val="bottom"/>
          </w:tcPr>
          <w:p>
            <w:pPr>
              <w:jc w:val="right"/>
              <w:ind w:right="213"/>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0.87</w:t>
            </w:r>
          </w:p>
        </w:tc>
      </w:tr>
      <w:tr>
        <w:trPr>
          <w:trHeight w:val="223"/>
        </w:trPr>
        <w:tc>
          <w:tcPr>
            <w:tcW w:w="44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rPr>
              <w:t>Diluted</w:t>
            </w:r>
          </w:p>
        </w:tc>
        <w:tc>
          <w:tcPr>
            <w:tcW w:w="36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0.90</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0.86</w:t>
            </w:r>
          </w:p>
        </w:tc>
      </w:tr>
      <w:tr>
        <w:trPr>
          <w:trHeight w:val="170"/>
        </w:trPr>
        <w:tc>
          <w:tcPr>
            <w:tcW w:w="4480" w:type="dxa"/>
            <w:vAlign w:val="bottom"/>
          </w:tcPr>
          <w:p>
            <w:pPr>
              <w:ind w:left="20"/>
              <w:spacing w:after="0" w:line="171" w:lineRule="exact"/>
              <w:rPr>
                <w:sz w:val="20"/>
                <w:szCs w:val="20"/>
                <w:color w:val="auto"/>
              </w:rPr>
            </w:pPr>
            <w:r>
              <w:rPr>
                <w:rFonts w:ascii="Times New Roman" w:cs="Times New Roman" w:eastAsia="Times New Roman" w:hAnsi="Times New Roman"/>
                <w:sz w:val="17"/>
                <w:szCs w:val="17"/>
                <w:color w:val="auto"/>
              </w:rPr>
              <w:t>Weighted average potentially dilutive shares considered anti-</w:t>
            </w: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8"/>
        </w:trPr>
        <w:tc>
          <w:tcPr>
            <w:tcW w:w="4480" w:type="dxa"/>
            <w:vAlign w:val="bottom"/>
          </w:tcPr>
          <w:p>
            <w:pPr>
              <w:ind w:left="20"/>
              <w:spacing w:after="0" w:line="178" w:lineRule="exact"/>
              <w:rPr>
                <w:sz w:val="20"/>
                <w:szCs w:val="20"/>
                <w:color w:val="auto"/>
              </w:rPr>
            </w:pPr>
            <w:r>
              <w:rPr>
                <w:rFonts w:ascii="Times New Roman" w:cs="Times New Roman" w:eastAsia="Times New Roman" w:hAnsi="Times New Roman"/>
                <w:sz w:val="17"/>
                <w:szCs w:val="17"/>
                <w:color w:val="auto"/>
              </w:rPr>
              <w:t>dilutive and not included in computing diluted earnings per</w:t>
            </w: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228"/>
        </w:trPr>
        <w:tc>
          <w:tcPr>
            <w:tcW w:w="4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share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1,790,695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2,899,035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2,762,178</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1,564,844</w:t>
            </w:r>
          </w:p>
        </w:tc>
      </w:tr>
    </w:tbl>
    <w:p>
      <w:pPr>
        <w:spacing w:after="0" w:line="153" w:lineRule="exact"/>
        <w:rPr>
          <w:sz w:val="20"/>
          <w:szCs w:val="20"/>
          <w:color w:val="auto"/>
        </w:rPr>
      </w:pPr>
    </w:p>
    <w:p>
      <w:pPr>
        <w:jc w:val="both"/>
        <w:ind w:firstLine="393"/>
        <w:spacing w:after="0" w:line="267" w:lineRule="auto"/>
        <w:rPr>
          <w:sz w:val="20"/>
          <w:szCs w:val="20"/>
          <w:color w:val="auto"/>
        </w:rPr>
      </w:pPr>
      <w:r>
        <w:rPr>
          <w:rFonts w:ascii="Times New Roman" w:cs="Times New Roman" w:eastAsia="Times New Roman" w:hAnsi="Times New Roman"/>
          <w:sz w:val="17"/>
          <w:szCs w:val="17"/>
          <w:color w:val="auto"/>
        </w:rPr>
        <w:t>On March 15, 2024, the Company entered into a master confirmation (the “Master Accelerated Share Repurchase Confirmation”) and a supplemental confirmation (together with the Master Accelerated Share Repurchase Confirmation, the “2024 ASR Agreement”), with Citibank, N.A. (“Citibank”). Refer to Note 19 - Capital Structure to the unaudited consolidated financial statements for further details. During the nine months ended September 30, 2024, the Company recorded the initial delivery and final settlement of shares in treasury stock, which resulted in an immediate reduction of its outstanding shares used to calculate the weighted average common shares outstanding for basic and diluted earnings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EXLSERVICE HOLDINGS, INC.</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UNAUDITED CONSOLIDATED FINANCIAL STATEMENTS—(continued)</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September 30, 2024</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per share amount and share count)</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6. Other Income, net</w:t>
      </w:r>
    </w:p>
    <w:p>
      <w:pPr>
        <w:spacing w:after="0" w:line="12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Other income, net consists of the following:</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260" w:type="dxa"/>
            <w:vAlign w:val="bottom"/>
          </w:tcPr>
          <w:p>
            <w:pPr>
              <w:spacing w:after="0"/>
              <w:rPr>
                <w:sz w:val="16"/>
                <w:szCs w:val="16"/>
                <w:color w:val="auto"/>
              </w:rPr>
            </w:pPr>
          </w:p>
        </w:tc>
        <w:tc>
          <w:tcPr>
            <w:tcW w:w="2960" w:type="dxa"/>
            <w:vAlign w:val="bottom"/>
            <w:gridSpan w:val="6"/>
          </w:tcPr>
          <w:p>
            <w:pPr>
              <w:ind w:left="3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80" w:type="dxa"/>
            <w:vAlign w:val="bottom"/>
          </w:tcPr>
          <w:p>
            <w:pPr>
              <w:spacing w:after="0"/>
              <w:rPr>
                <w:sz w:val="16"/>
                <w:szCs w:val="16"/>
                <w:color w:val="auto"/>
              </w:rPr>
            </w:pPr>
          </w:p>
        </w:tc>
        <w:tc>
          <w:tcPr>
            <w:tcW w:w="2620" w:type="dxa"/>
            <w:vAlign w:val="bottom"/>
            <w:gridSpan w:val="4"/>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4"/>
        </w:trPr>
        <w:tc>
          <w:tcPr>
            <w:tcW w:w="526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84"/>
        </w:trPr>
        <w:tc>
          <w:tcPr>
            <w:tcW w:w="526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98"/>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2"/>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Gain on sale and fair value mark-to-market on investments</w:t>
            </w:r>
          </w:p>
        </w:tc>
        <w:tc>
          <w:tcPr>
            <w:tcW w:w="880" w:type="dxa"/>
            <w:vAlign w:val="bottom"/>
            <w:shd w:val="clear" w:color="auto" w:fill="CCEEFF"/>
          </w:tcPr>
          <w:p>
            <w:pPr>
              <w:jc w:val="right"/>
              <w:ind w:right="701"/>
              <w:spacing w:after="0"/>
              <w:rPr>
                <w:sz w:val="20"/>
                <w:szCs w:val="20"/>
                <w:color w:val="auto"/>
              </w:rPr>
            </w:pPr>
            <w:r>
              <w:rPr>
                <w:rFonts w:ascii="Times New Roman" w:cs="Times New Roman" w:eastAsia="Times New Roman" w:hAnsi="Times New Roman"/>
                <w:sz w:val="17"/>
                <w:szCs w:val="17"/>
                <w:color w:val="auto"/>
                <w:w w:val="93"/>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1,766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1,337</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3,944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4,076</w:t>
            </w:r>
          </w:p>
        </w:tc>
      </w:tr>
      <w:tr>
        <w:trPr>
          <w:trHeight w:val="223"/>
        </w:trPr>
        <w:tc>
          <w:tcPr>
            <w:tcW w:w="5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Interest and dividend income</w:t>
            </w:r>
          </w:p>
        </w:tc>
        <w:tc>
          <w:tcPr>
            <w:tcW w:w="8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2,547</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2,106</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7,206</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5,480</w:t>
            </w:r>
          </w:p>
        </w:tc>
      </w:tr>
      <w:tr>
        <w:trPr>
          <w:trHeight w:val="223"/>
        </w:trPr>
        <w:tc>
          <w:tcPr>
            <w:tcW w:w="526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7"/>
                <w:szCs w:val="17"/>
                <w:color w:val="auto"/>
              </w:rPr>
              <w:t xml:space="preserve">Fair value changes of contingent consideration </w:t>
            </w:r>
            <w:r>
              <w:rPr>
                <w:rFonts w:ascii="Times New Roman" w:cs="Times New Roman" w:eastAsia="Times New Roman" w:hAnsi="Times New Roman"/>
                <w:sz w:val="22"/>
                <w:szCs w:val="22"/>
                <w:color w:val="auto"/>
                <w:vertAlign w:val="superscript"/>
              </w:rPr>
              <w:t>(1)</w:t>
            </w:r>
          </w:p>
        </w:tc>
        <w:tc>
          <w:tcPr>
            <w:tcW w:w="88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(2,500)</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(2,500)</w:t>
            </w:r>
          </w:p>
        </w:tc>
      </w:tr>
      <w:tr>
        <w:trPr>
          <w:trHeight w:val="223"/>
        </w:trPr>
        <w:tc>
          <w:tcPr>
            <w:tcW w:w="5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Others, net</w:t>
            </w:r>
          </w:p>
        </w:tc>
        <w:tc>
          <w:tcPr>
            <w:tcW w:w="8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61</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(165)</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137</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(462)</w:t>
            </w:r>
          </w:p>
        </w:tc>
      </w:tr>
      <w:tr>
        <w:trPr>
          <w:trHeight w:val="241"/>
        </w:trPr>
        <w:tc>
          <w:tcPr>
            <w:tcW w:w="5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income, net</w:t>
            </w:r>
          </w:p>
        </w:tc>
        <w:tc>
          <w:tcPr>
            <w:tcW w:w="880" w:type="dxa"/>
            <w:vAlign w:val="bottom"/>
            <w:tcBorders>
              <w:bottom w:val="single" w:sz="8" w:color="auto"/>
            </w:tcBorders>
            <w:shd w:val="clear" w:color="auto" w:fill="CCEEFF"/>
          </w:tcPr>
          <w:p>
            <w:pPr>
              <w:jc w:val="right"/>
              <w:ind w:right="701"/>
              <w:spacing w:after="0"/>
              <w:rPr>
                <w:sz w:val="20"/>
                <w:szCs w:val="20"/>
                <w:color w:val="auto"/>
              </w:rPr>
            </w:pPr>
            <w:r>
              <w:rPr>
                <w:rFonts w:ascii="Times New Roman" w:cs="Times New Roman" w:eastAsia="Times New Roman" w:hAnsi="Times New Roman"/>
                <w:sz w:val="17"/>
                <w:szCs w:val="17"/>
                <w:color w:val="auto"/>
                <w:w w:val="93"/>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4,374</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778</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11,876</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6,594</w:t>
            </w: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 Refer to Note 16 - Fair Value Measurements to the unaudited consolidated financial statements for further details.</w:t>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7. Cash, Cash Equivalents and Restricted Cash</w:t>
      </w:r>
    </w:p>
    <w:p>
      <w:pPr>
        <w:spacing w:after="0" w:line="25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For the purposes of unaudited statements of cash flows, cash, cash equivalents and restricted cash consist of the following:</w:t>
      </w:r>
    </w:p>
    <w:p>
      <w:pPr>
        <w:spacing w:after="0" w:line="166"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5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40" w:type="dxa"/>
            <w:vAlign w:val="bottom"/>
            <w:gridSpan w:val="2"/>
          </w:tcPr>
          <w:p>
            <w:pPr>
              <w:ind w:left="48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20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24"/>
        </w:trPr>
        <w:tc>
          <w:tcPr>
            <w:tcW w:w="56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179"/>
        </w:trPr>
        <w:tc>
          <w:tcPr>
            <w:tcW w:w="5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200" w:type="dxa"/>
            <w:vAlign w:val="bottom"/>
          </w:tcPr>
          <w:p>
            <w:pPr>
              <w:spacing w:after="0"/>
              <w:rPr>
                <w:sz w:val="15"/>
                <w:szCs w:val="15"/>
                <w:color w:val="auto"/>
              </w:rPr>
            </w:pPr>
          </w:p>
        </w:tc>
        <w:tc>
          <w:tcPr>
            <w:tcW w:w="16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 2023</w:t>
            </w:r>
          </w:p>
        </w:tc>
        <w:tc>
          <w:tcPr>
            <w:tcW w:w="200" w:type="dxa"/>
            <w:vAlign w:val="bottom"/>
          </w:tcPr>
          <w:p>
            <w:pPr>
              <w:spacing w:after="0"/>
              <w:rPr>
                <w:sz w:val="15"/>
                <w:szCs w:val="15"/>
                <w:color w:val="auto"/>
              </w:rPr>
            </w:pPr>
          </w:p>
        </w:tc>
        <w:tc>
          <w:tcPr>
            <w:tcW w:w="1560" w:type="dxa"/>
            <w:vAlign w:val="bottom"/>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4"/>
        </w:trPr>
        <w:tc>
          <w:tcPr>
            <w:tcW w:w="56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16"/>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and cash equivalents</w:t>
            </w:r>
          </w:p>
        </w:tc>
        <w:tc>
          <w:tcPr>
            <w:tcW w:w="2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150,102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122,655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136,953</w:t>
            </w:r>
          </w:p>
        </w:tc>
      </w:tr>
      <w:tr>
        <w:trPr>
          <w:trHeight w:val="223"/>
        </w:trPr>
        <w:tc>
          <w:tcPr>
            <w:tcW w:w="5640" w:type="dxa"/>
            <w:vAlign w:val="bottom"/>
          </w:tcPr>
          <w:p>
            <w:pPr>
              <w:spacing w:after="0" w:line="223" w:lineRule="exact"/>
              <w:rPr>
                <w:sz w:val="20"/>
                <w:szCs w:val="20"/>
                <w:color w:val="auto"/>
              </w:rPr>
            </w:pPr>
            <w:r>
              <w:rPr>
                <w:rFonts w:ascii="Times New Roman" w:cs="Times New Roman" w:eastAsia="Times New Roman" w:hAnsi="Times New Roman"/>
                <w:sz w:val="17"/>
                <w:szCs w:val="17"/>
                <w:color w:val="auto"/>
              </w:rPr>
              <w:t xml:space="preserve">Restricted cash (current) </w:t>
            </w:r>
            <w:r>
              <w:rPr>
                <w:rFonts w:ascii="Times New Roman" w:cs="Times New Roman" w:eastAsia="Times New Roman" w:hAnsi="Times New Roman"/>
                <w:sz w:val="22"/>
                <w:szCs w:val="22"/>
                <w:color w:val="auto"/>
                <w:vertAlign w:val="superscript"/>
              </w:rPr>
              <w:t>(1)</w:t>
            </w:r>
          </w:p>
        </w:tc>
        <w:tc>
          <w:tcPr>
            <w:tcW w:w="2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7,342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3,257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4,062</w:t>
            </w:r>
          </w:p>
        </w:tc>
      </w:tr>
      <w:tr>
        <w:trPr>
          <w:trHeight w:val="223"/>
        </w:trPr>
        <w:tc>
          <w:tcPr>
            <w:tcW w:w="5640" w:type="dxa"/>
            <w:vAlign w:val="bottom"/>
            <w:shd w:val="clear" w:color="auto" w:fill="CCEEFF"/>
          </w:tcPr>
          <w:p>
            <w:pPr>
              <w:spacing w:after="0" w:line="223" w:lineRule="exact"/>
              <w:rPr>
                <w:sz w:val="20"/>
                <w:szCs w:val="20"/>
                <w:color w:val="auto"/>
              </w:rPr>
            </w:pPr>
            <w:r>
              <w:rPr>
                <w:rFonts w:ascii="Times New Roman" w:cs="Times New Roman" w:eastAsia="Times New Roman" w:hAnsi="Times New Roman"/>
                <w:sz w:val="17"/>
                <w:szCs w:val="17"/>
                <w:color w:val="auto"/>
              </w:rPr>
              <w:t xml:space="preserve">Restricted cash (non-current) </w:t>
            </w:r>
            <w:r>
              <w:rPr>
                <w:rFonts w:ascii="Times New Roman" w:cs="Times New Roman" w:eastAsia="Times New Roman" w:hAnsi="Times New Roman"/>
                <w:sz w:val="22"/>
                <w:szCs w:val="22"/>
                <w:color w:val="auto"/>
                <w:vertAlign w:val="superscript"/>
              </w:rPr>
              <w:t>(2)</w:t>
            </w:r>
          </w:p>
        </w:tc>
        <w:tc>
          <w:tcPr>
            <w:tcW w:w="22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5,820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2,047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4,386</w:t>
            </w:r>
          </w:p>
        </w:tc>
      </w:tr>
      <w:tr>
        <w:trPr>
          <w:trHeight w:val="216"/>
        </w:trPr>
        <w:tc>
          <w:tcPr>
            <w:tcW w:w="5640" w:type="dxa"/>
            <w:vAlign w:val="bottom"/>
          </w:tcPr>
          <w:p>
            <w:pPr>
              <w:spacing w:after="0"/>
              <w:rPr>
                <w:sz w:val="20"/>
                <w:szCs w:val="20"/>
                <w:color w:val="auto"/>
              </w:rPr>
            </w:pPr>
            <w:r>
              <w:rPr>
                <w:rFonts w:ascii="Times New Roman" w:cs="Times New Roman" w:eastAsia="Times New Roman" w:hAnsi="Times New Roman"/>
                <w:sz w:val="17"/>
                <w:szCs w:val="17"/>
                <w:color w:val="auto"/>
              </w:rPr>
              <w:t>Cash, cash equivalents and restricted cash</w:t>
            </w:r>
          </w:p>
        </w:tc>
        <w:tc>
          <w:tcPr>
            <w:tcW w:w="2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163,264</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127,959</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145,401</w:t>
            </w:r>
          </w:p>
        </w:tc>
      </w:tr>
      <w:tr>
        <w:trPr>
          <w:trHeight w:val="20"/>
        </w:trPr>
        <w:tc>
          <w:tcPr>
            <w:tcW w:w="56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152" w:lineRule="exact"/>
        <w:rPr>
          <w:sz w:val="20"/>
          <w:szCs w:val="20"/>
          <w:color w:val="auto"/>
        </w:rPr>
      </w:pPr>
    </w:p>
    <w:p>
      <w:pPr>
        <w:jc w:val="both"/>
        <w:ind w:firstLine="398"/>
        <w:spacing w:after="0" w:line="277" w:lineRule="auto"/>
        <w:tabs>
          <w:tab w:leader="none" w:pos="655" w:val="left"/>
        </w:tabs>
        <w:numPr>
          <w:ilvl w:val="1"/>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Restricted cash (current) primarily represents funds held on behalf of customers in dedicated bank accounts. The corresponding liability against the same is included under “Accrued Expenses and other current liabilities.” Restricted cash also includes funds held as collateral in a dedicated bank account for irrevocable letters of credit issued in favor of third parties for facility leases.</w:t>
      </w:r>
    </w:p>
    <w:p>
      <w:pPr>
        <w:spacing w:after="0" w:line="44" w:lineRule="exact"/>
        <w:rPr>
          <w:rFonts w:ascii="Times New Roman" w:cs="Times New Roman" w:eastAsia="Times New Roman" w:hAnsi="Times New Roman"/>
          <w:sz w:val="17"/>
          <w:szCs w:val="17"/>
          <w:color w:val="auto"/>
        </w:rPr>
      </w:pPr>
    </w:p>
    <w:p>
      <w:pPr>
        <w:jc w:val="both"/>
        <w:ind w:firstLine="398"/>
        <w:spacing w:after="0" w:line="277" w:lineRule="auto"/>
        <w:tabs>
          <w:tab w:leader="none" w:pos="645" w:val="left"/>
        </w:tabs>
        <w:numPr>
          <w:ilvl w:val="1"/>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Restricted cash (non-current) represents deposits with banks against bank guarantees issued through banks in favor of relevant statutory authorities for equipment imports, deposits for obtaining indirect tax registrations and for demands against pending income tax and value added tax (“VAT”) assessments. These deposits with banks will mature one year after the balance sheet date.</w:t>
      </w:r>
    </w:p>
    <w:p>
      <w:pPr>
        <w:spacing w:after="0" w:line="265" w:lineRule="exact"/>
        <w:rPr>
          <w:rFonts w:ascii="Times New Roman" w:cs="Times New Roman" w:eastAsia="Times New Roman" w:hAnsi="Times New Roman"/>
          <w:sz w:val="17"/>
          <w:szCs w:val="17"/>
          <w:color w:val="auto"/>
        </w:rPr>
      </w:pPr>
    </w:p>
    <w:p>
      <w:pPr>
        <w:ind w:left="180" w:hanging="175"/>
        <w:spacing w:after="0"/>
        <w:tabs>
          <w:tab w:leader="none" w:pos="180" w:val="left"/>
        </w:tabs>
        <w:numPr>
          <w:ilvl w:val="0"/>
          <w:numId w:val="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Investments</w:t>
      </w:r>
    </w:p>
    <w:p>
      <w:pPr>
        <w:spacing w:after="0" w:line="33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Investments consist of the following:</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40" w:type="dxa"/>
            <w:vAlign w:val="bottom"/>
            <w:gridSpan w:val="3"/>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56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5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220" w:type="dxa"/>
            <w:vAlign w:val="bottom"/>
          </w:tcPr>
          <w:p>
            <w:pPr>
              <w:spacing w:after="0"/>
              <w:rPr>
                <w:sz w:val="15"/>
                <w:szCs w:val="15"/>
                <w:color w:val="auto"/>
              </w:rPr>
            </w:pPr>
          </w:p>
        </w:tc>
        <w:tc>
          <w:tcPr>
            <w:tcW w:w="156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4"/>
        </w:trPr>
        <w:tc>
          <w:tcPr>
            <w:tcW w:w="56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Short-term investments</w:t>
            </w:r>
          </w:p>
        </w:tc>
        <w:tc>
          <w:tcPr>
            <w:tcW w:w="22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56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Mutual funds</w:t>
            </w:r>
          </w:p>
        </w:tc>
        <w:tc>
          <w:tcPr>
            <w:tcW w:w="22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99,621</w:t>
            </w:r>
          </w:p>
        </w:tc>
        <w:tc>
          <w:tcPr>
            <w:tcW w:w="80" w:type="dxa"/>
            <w:vAlign w:val="bottom"/>
          </w:tcPr>
          <w:p>
            <w:pPr>
              <w:spacing w:after="0"/>
              <w:rPr>
                <w:sz w:val="19"/>
                <w:szCs w:val="19"/>
                <w:color w:val="auto"/>
              </w:rPr>
            </w:pPr>
          </w:p>
        </w:tc>
        <w:tc>
          <w:tcPr>
            <w:tcW w:w="22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52,650</w:t>
            </w:r>
          </w:p>
        </w:tc>
        <w:tc>
          <w:tcPr>
            <w:tcW w:w="0" w:type="dxa"/>
            <w:vAlign w:val="bottom"/>
          </w:tcPr>
          <w:p>
            <w:pPr>
              <w:spacing w:after="0"/>
              <w:rPr>
                <w:sz w:val="1"/>
                <w:szCs w:val="1"/>
                <w:color w:val="auto"/>
              </w:rPr>
            </w:pPr>
          </w:p>
        </w:tc>
      </w:tr>
      <w:tr>
        <w:trPr>
          <w:trHeight w:val="223"/>
        </w:trPr>
        <w:tc>
          <w:tcPr>
            <w:tcW w:w="5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Term deposits</w:t>
            </w:r>
          </w:p>
        </w:tc>
        <w:tc>
          <w:tcPr>
            <w:tcW w:w="22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76,027</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101,231</w:t>
            </w:r>
          </w:p>
        </w:tc>
        <w:tc>
          <w:tcPr>
            <w:tcW w:w="0" w:type="dxa"/>
            <w:vAlign w:val="bottom"/>
          </w:tcPr>
          <w:p>
            <w:pPr>
              <w:spacing w:after="0"/>
              <w:rPr>
                <w:sz w:val="1"/>
                <w:szCs w:val="1"/>
                <w:color w:val="auto"/>
              </w:rPr>
            </w:pPr>
          </w:p>
        </w:tc>
      </w:tr>
      <w:tr>
        <w:trPr>
          <w:trHeight w:val="216"/>
        </w:trPr>
        <w:tc>
          <w:tcPr>
            <w:tcW w:w="5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Short-term investments</w:t>
            </w:r>
          </w:p>
        </w:tc>
        <w:tc>
          <w:tcPr>
            <w:tcW w:w="2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175,648</w:t>
            </w:r>
          </w:p>
        </w:tc>
        <w:tc>
          <w:tcPr>
            <w:tcW w:w="80" w:type="dxa"/>
            <w:vAlign w:val="bottom"/>
          </w:tcPr>
          <w:p>
            <w:pPr>
              <w:spacing w:after="0"/>
              <w:rPr>
                <w:sz w:val="18"/>
                <w:szCs w:val="18"/>
                <w:color w:val="auto"/>
              </w:rPr>
            </w:pPr>
          </w:p>
        </w:tc>
        <w:tc>
          <w:tcPr>
            <w:tcW w:w="2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153,881</w:t>
            </w:r>
          </w:p>
        </w:tc>
        <w:tc>
          <w:tcPr>
            <w:tcW w:w="0" w:type="dxa"/>
            <w:vAlign w:val="bottom"/>
          </w:tcPr>
          <w:p>
            <w:pPr>
              <w:spacing w:after="0"/>
              <w:rPr>
                <w:sz w:val="1"/>
                <w:szCs w:val="1"/>
                <w:color w:val="auto"/>
              </w:rPr>
            </w:pPr>
          </w:p>
        </w:tc>
      </w:tr>
      <w:tr>
        <w:trPr>
          <w:trHeight w:val="20"/>
        </w:trPr>
        <w:tc>
          <w:tcPr>
            <w:tcW w:w="564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Long-term investments</w:t>
            </w:r>
          </w:p>
        </w:tc>
        <w:tc>
          <w:tcPr>
            <w:tcW w:w="2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1"/>
        </w:trPr>
        <w:tc>
          <w:tcPr>
            <w:tcW w:w="56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Term deposits</w:t>
            </w:r>
          </w:p>
        </w:tc>
        <w:tc>
          <w:tcPr>
            <w:tcW w:w="2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9,464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239</w:t>
            </w:r>
          </w:p>
        </w:tc>
        <w:tc>
          <w:tcPr>
            <w:tcW w:w="0" w:type="dxa"/>
            <w:vAlign w:val="bottom"/>
          </w:tcPr>
          <w:p>
            <w:pPr>
              <w:spacing w:after="0"/>
              <w:rPr>
                <w:sz w:val="1"/>
                <w:szCs w:val="1"/>
                <w:color w:val="auto"/>
              </w:rPr>
            </w:pPr>
          </w:p>
        </w:tc>
      </w:tr>
      <w:tr>
        <w:trPr>
          <w:trHeight w:val="223"/>
        </w:trPr>
        <w:tc>
          <w:tcPr>
            <w:tcW w:w="56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Investment in equity affiliate</w:t>
            </w:r>
          </w:p>
        </w:tc>
        <w:tc>
          <w:tcPr>
            <w:tcW w:w="2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4,720</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4,191</w:t>
            </w:r>
          </w:p>
        </w:tc>
        <w:tc>
          <w:tcPr>
            <w:tcW w:w="0" w:type="dxa"/>
            <w:vAlign w:val="bottom"/>
          </w:tcPr>
          <w:p>
            <w:pPr>
              <w:spacing w:after="0"/>
              <w:rPr>
                <w:sz w:val="1"/>
                <w:szCs w:val="1"/>
                <w:color w:val="auto"/>
              </w:rPr>
            </w:pPr>
          </w:p>
        </w:tc>
      </w:tr>
      <w:tr>
        <w:trPr>
          <w:trHeight w:val="241"/>
        </w:trPr>
        <w:tc>
          <w:tcPr>
            <w:tcW w:w="5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Long-term investments</w:t>
            </w:r>
          </w:p>
        </w:tc>
        <w:tc>
          <w:tcPr>
            <w:tcW w:w="22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14,184</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4,430</w:t>
            </w:r>
          </w:p>
        </w:tc>
        <w:tc>
          <w:tcPr>
            <w:tcW w:w="0" w:type="dxa"/>
            <w:vAlign w:val="bottom"/>
          </w:tcPr>
          <w:p>
            <w:pPr>
              <w:spacing w:after="0"/>
              <w:rPr>
                <w:sz w:val="1"/>
                <w:szCs w:val="1"/>
                <w:color w:val="auto"/>
              </w:rPr>
            </w:pP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Refer to Note 16 - Fair Value Measurements to the unaudited consolidated financial statements for further details.</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EXLSERVICE HOLDINGS, INC.</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UNAUDITED CONSOLIDATED FINANCIAL STATEMENTS—(continued)</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September 30, 2024</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per share amount and share count)</w:t>
      </w: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 Property and Equipment, net</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Property and equipment consists of the following:</w:t>
      </w:r>
    </w:p>
    <w:p>
      <w:pPr>
        <w:spacing w:after="0" w:line="244" w:lineRule="exact"/>
        <w:rPr>
          <w:sz w:val="20"/>
          <w:szCs w:val="20"/>
          <w:color w:val="auto"/>
        </w:rPr>
      </w:pPr>
    </w:p>
    <w:tbl>
      <w:tblPr>
        <w:tblLayout w:type="fixed"/>
        <w:tblInd w:w="940" w:type="dxa"/>
        <w:tblCellMar>
          <w:top w:w="0" w:type="dxa"/>
          <w:left w:w="0" w:type="dxa"/>
          <w:bottom w:w="0" w:type="dxa"/>
          <w:right w:w="0" w:type="dxa"/>
        </w:tblCellMar>
      </w:tblPr>
      <w:tr>
        <w:trPr>
          <w:trHeight w:val="185"/>
        </w:trPr>
        <w:tc>
          <w:tcPr>
            <w:tcW w:w="5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00" w:type="dxa"/>
            <w:vAlign w:val="bottom"/>
            <w:gridSpan w:val="3"/>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580" w:type="dxa"/>
            <w:vAlign w:val="bottom"/>
          </w:tcPr>
          <w:p>
            <w:pPr>
              <w:spacing w:after="0"/>
              <w:rPr>
                <w:sz w:val="16"/>
                <w:szCs w:val="16"/>
                <w:color w:val="auto"/>
              </w:rPr>
            </w:pPr>
          </w:p>
        </w:tc>
      </w:tr>
      <w:tr>
        <w:trPr>
          <w:trHeight w:val="24"/>
        </w:trPr>
        <w:tc>
          <w:tcPr>
            <w:tcW w:w="56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184"/>
        </w:trPr>
        <w:tc>
          <w:tcPr>
            <w:tcW w:w="5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220" w:type="dxa"/>
            <w:vAlign w:val="bottom"/>
          </w:tcPr>
          <w:p>
            <w:pPr>
              <w:spacing w:after="0"/>
              <w:rPr>
                <w:sz w:val="15"/>
                <w:szCs w:val="15"/>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22"/>
        </w:trPr>
        <w:tc>
          <w:tcPr>
            <w:tcW w:w="5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Property, plant and equipment, gross</w:t>
            </w:r>
          </w:p>
        </w:tc>
        <w:tc>
          <w:tcPr>
            <w:tcW w:w="220" w:type="dxa"/>
            <w:vAlign w:val="bottom"/>
            <w:tcBorders>
              <w:top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580" w:type="dxa"/>
            <w:vAlign w:val="bottom"/>
            <w:tcBorders>
              <w:top w:val="single" w:sz="8" w:color="auto"/>
            </w:tcBorders>
            <w:shd w:val="clear" w:color="auto" w:fill="CCEEFF"/>
          </w:tcPr>
          <w:p>
            <w:pPr>
              <w:jc w:val="center"/>
              <w:ind w:left="780"/>
              <w:spacing w:after="0"/>
              <w:rPr>
                <w:sz w:val="20"/>
                <w:szCs w:val="20"/>
                <w:color w:val="auto"/>
              </w:rPr>
            </w:pPr>
            <w:r>
              <w:rPr>
                <w:rFonts w:ascii="Times New Roman" w:cs="Times New Roman" w:eastAsia="Times New Roman" w:hAnsi="Times New Roman"/>
                <w:sz w:val="17"/>
                <w:szCs w:val="17"/>
                <w:color w:val="auto"/>
              </w:rPr>
              <w:t>357,102</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580" w:type="dxa"/>
            <w:vAlign w:val="bottom"/>
            <w:tcBorders>
              <w:top w:val="single" w:sz="8" w:color="auto"/>
            </w:tcBorders>
            <w:shd w:val="clear" w:color="auto" w:fill="CCEEFF"/>
          </w:tcPr>
          <w:p>
            <w:pPr>
              <w:jc w:val="center"/>
              <w:ind w:left="757"/>
              <w:spacing w:after="0"/>
              <w:rPr>
                <w:sz w:val="20"/>
                <w:szCs w:val="20"/>
                <w:color w:val="auto"/>
              </w:rPr>
            </w:pPr>
            <w:r>
              <w:rPr>
                <w:rFonts w:ascii="Times New Roman" w:cs="Times New Roman" w:eastAsia="Times New Roman" w:hAnsi="Times New Roman"/>
                <w:sz w:val="17"/>
                <w:szCs w:val="17"/>
                <w:color w:val="auto"/>
              </w:rPr>
              <w:t>324,038</w:t>
            </w:r>
          </w:p>
        </w:tc>
      </w:tr>
      <w:tr>
        <w:trPr>
          <w:trHeight w:val="223"/>
        </w:trPr>
        <w:tc>
          <w:tcPr>
            <w:tcW w:w="5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Less: Accumulated depreciation and amortization</w:t>
            </w:r>
          </w:p>
        </w:tc>
        <w:tc>
          <w:tcPr>
            <w:tcW w:w="2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center"/>
              <w:ind w:left="760"/>
              <w:spacing w:after="0"/>
              <w:rPr>
                <w:sz w:val="20"/>
                <w:szCs w:val="20"/>
                <w:color w:val="auto"/>
              </w:rPr>
            </w:pPr>
            <w:r>
              <w:rPr>
                <w:rFonts w:ascii="Times New Roman" w:cs="Times New Roman" w:eastAsia="Times New Roman" w:hAnsi="Times New Roman"/>
                <w:sz w:val="17"/>
                <w:szCs w:val="17"/>
                <w:color w:val="auto"/>
              </w:rPr>
              <w:t>(249,707)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center"/>
              <w:ind w:left="737"/>
              <w:spacing w:after="0"/>
              <w:rPr>
                <w:sz w:val="20"/>
                <w:szCs w:val="20"/>
                <w:color w:val="auto"/>
              </w:rPr>
            </w:pPr>
            <w:r>
              <w:rPr>
                <w:rFonts w:ascii="Times New Roman" w:cs="Times New Roman" w:eastAsia="Times New Roman" w:hAnsi="Times New Roman"/>
                <w:sz w:val="17"/>
                <w:szCs w:val="17"/>
                <w:color w:val="auto"/>
              </w:rPr>
              <w:t>(223,665)</w:t>
            </w:r>
          </w:p>
        </w:tc>
      </w:tr>
      <w:tr>
        <w:trPr>
          <w:trHeight w:val="241"/>
        </w:trPr>
        <w:tc>
          <w:tcPr>
            <w:tcW w:w="5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Property, plant and equipment, net</w:t>
            </w:r>
          </w:p>
        </w:tc>
        <w:tc>
          <w:tcPr>
            <w:tcW w:w="22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580" w:type="dxa"/>
            <w:vAlign w:val="bottom"/>
            <w:tcBorders>
              <w:bottom w:val="single" w:sz="8" w:color="auto"/>
            </w:tcBorders>
            <w:shd w:val="clear" w:color="auto" w:fill="CCEEFF"/>
          </w:tcPr>
          <w:p>
            <w:pPr>
              <w:jc w:val="center"/>
              <w:ind w:left="780"/>
              <w:spacing w:after="0"/>
              <w:rPr>
                <w:sz w:val="20"/>
                <w:szCs w:val="20"/>
                <w:color w:val="auto"/>
              </w:rPr>
            </w:pPr>
            <w:r>
              <w:rPr>
                <w:rFonts w:ascii="Times New Roman" w:cs="Times New Roman" w:eastAsia="Times New Roman" w:hAnsi="Times New Roman"/>
                <w:sz w:val="17"/>
                <w:szCs w:val="17"/>
                <w:color w:val="auto"/>
              </w:rPr>
              <w:t>107,395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580" w:type="dxa"/>
            <w:vAlign w:val="bottom"/>
            <w:tcBorders>
              <w:bottom w:val="single" w:sz="8" w:color="auto"/>
            </w:tcBorders>
            <w:shd w:val="clear" w:color="auto" w:fill="CCEEFF"/>
          </w:tcPr>
          <w:p>
            <w:pPr>
              <w:jc w:val="center"/>
              <w:ind w:left="757"/>
              <w:spacing w:after="0"/>
              <w:rPr>
                <w:sz w:val="20"/>
                <w:szCs w:val="20"/>
                <w:color w:val="auto"/>
              </w:rPr>
            </w:pPr>
            <w:r>
              <w:rPr>
                <w:rFonts w:ascii="Times New Roman" w:cs="Times New Roman" w:eastAsia="Times New Roman" w:hAnsi="Times New Roman"/>
                <w:sz w:val="17"/>
                <w:szCs w:val="17"/>
                <w:color w:val="auto"/>
              </w:rPr>
              <w:t>100,373</w:t>
            </w:r>
          </w:p>
        </w:tc>
      </w:tr>
      <w:tr>
        <w:trPr>
          <w:trHeight w:val="20"/>
        </w:trPr>
        <w:tc>
          <w:tcPr>
            <w:tcW w:w="56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firstLine="393"/>
        <w:spacing w:after="0" w:line="281" w:lineRule="auto"/>
        <w:rPr>
          <w:sz w:val="20"/>
          <w:szCs w:val="20"/>
          <w:color w:val="auto"/>
        </w:rPr>
      </w:pPr>
      <w:r>
        <w:rPr>
          <w:rFonts w:ascii="Times New Roman" w:cs="Times New Roman" w:eastAsia="Times New Roman" w:hAnsi="Times New Roman"/>
          <w:sz w:val="17"/>
          <w:szCs w:val="17"/>
          <w:color w:val="auto"/>
        </w:rPr>
        <w:t>During the three and nine months ended September 30, 2024, there were no changes in estimated useful lives of property and equipment during the ordinary course of operations.</w:t>
      </w:r>
    </w:p>
    <w:p>
      <w:pPr>
        <w:spacing w:after="0" w:line="172" w:lineRule="exact"/>
        <w:rPr>
          <w:sz w:val="20"/>
          <w:szCs w:val="20"/>
          <w:color w:val="auto"/>
        </w:rPr>
      </w:pPr>
    </w:p>
    <w:p>
      <w:pPr>
        <w:ind w:firstLine="393"/>
        <w:spacing w:after="0" w:line="281" w:lineRule="auto"/>
        <w:rPr>
          <w:sz w:val="20"/>
          <w:szCs w:val="20"/>
          <w:color w:val="auto"/>
        </w:rPr>
      </w:pPr>
      <w:r>
        <w:rPr>
          <w:rFonts w:ascii="Times New Roman" w:cs="Times New Roman" w:eastAsia="Times New Roman" w:hAnsi="Times New Roman"/>
          <w:sz w:val="17"/>
          <w:szCs w:val="17"/>
          <w:color w:val="auto"/>
        </w:rPr>
        <w:t>The depreciation and amortization expense, excluding amortization of acquisition-related intangibles, recognized in the unaudited consolidated statements of income was as follows:</w:t>
      </w:r>
    </w:p>
    <w:p>
      <w:pPr>
        <w:spacing w:after="0" w:line="74" w:lineRule="exact"/>
        <w:rPr>
          <w:sz w:val="20"/>
          <w:szCs w:val="20"/>
          <w:color w:val="auto"/>
        </w:rPr>
      </w:pPr>
    </w:p>
    <w:tbl>
      <w:tblPr>
        <w:tblLayout w:type="fixed"/>
        <w:tblInd w:w="480" w:type="dxa"/>
        <w:tblCellMar>
          <w:top w:w="0" w:type="dxa"/>
          <w:left w:w="0" w:type="dxa"/>
          <w:bottom w:w="0" w:type="dxa"/>
          <w:right w:w="0" w:type="dxa"/>
        </w:tblCellMar>
      </w:tblPr>
      <w:tr>
        <w:trPr>
          <w:trHeight w:val="185"/>
        </w:trPr>
        <w:tc>
          <w:tcPr>
            <w:tcW w:w="4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8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20" w:type="dxa"/>
            <w:vAlign w:val="bottom"/>
          </w:tcPr>
          <w:p>
            <w:pPr>
              <w:spacing w:after="0"/>
              <w:rPr>
                <w:sz w:val="16"/>
                <w:szCs w:val="16"/>
                <w:color w:val="auto"/>
              </w:rPr>
            </w:pPr>
          </w:p>
        </w:tc>
        <w:tc>
          <w:tcPr>
            <w:tcW w:w="2500" w:type="dxa"/>
            <w:vAlign w:val="bottom"/>
            <w:gridSpan w:val="4"/>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4"/>
        </w:trPr>
        <w:tc>
          <w:tcPr>
            <w:tcW w:w="47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84"/>
        </w:trPr>
        <w:tc>
          <w:tcPr>
            <w:tcW w:w="47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6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4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2"/>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Depreciation and amortization expense</w:t>
            </w:r>
          </w:p>
        </w:tc>
        <w:tc>
          <w:tcPr>
            <w:tcW w:w="2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10,350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8,426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29,449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26,682</w:t>
            </w:r>
          </w:p>
        </w:tc>
      </w:tr>
    </w:tbl>
    <w:p>
      <w:pPr>
        <w:spacing w:after="0" w:line="29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Internally developed software costs included in property and equipment was as follows:</w:t>
      </w:r>
    </w:p>
    <w:p>
      <w:pPr>
        <w:spacing w:after="0" w:line="48" w:lineRule="exact"/>
        <w:rPr>
          <w:sz w:val="20"/>
          <w:szCs w:val="20"/>
          <w:color w:val="auto"/>
        </w:rPr>
      </w:pPr>
    </w:p>
    <w:tbl>
      <w:tblPr>
        <w:tblLayout w:type="fixed"/>
        <w:tblInd w:w="1040" w:type="dxa"/>
        <w:tblCellMar>
          <w:top w:w="0" w:type="dxa"/>
          <w:left w:w="0" w:type="dxa"/>
          <w:bottom w:w="0" w:type="dxa"/>
          <w:right w:w="0" w:type="dxa"/>
        </w:tblCellMar>
      </w:tblPr>
      <w:tr>
        <w:trPr>
          <w:trHeight w:val="185"/>
        </w:trPr>
        <w:tc>
          <w:tcPr>
            <w:tcW w:w="5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40" w:type="dxa"/>
            <w:vAlign w:val="bottom"/>
            <w:gridSpan w:val="3"/>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860" w:type="dxa"/>
            <w:vAlign w:val="bottom"/>
          </w:tcPr>
          <w:p>
            <w:pPr>
              <w:spacing w:after="0"/>
              <w:rPr>
                <w:sz w:val="16"/>
                <w:szCs w:val="16"/>
                <w:color w:val="auto"/>
              </w:rPr>
            </w:pPr>
          </w:p>
        </w:tc>
      </w:tr>
      <w:tr>
        <w:trPr>
          <w:trHeight w:val="24"/>
        </w:trPr>
        <w:tc>
          <w:tcPr>
            <w:tcW w:w="52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184"/>
        </w:trPr>
        <w:tc>
          <w:tcPr>
            <w:tcW w:w="5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9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320" w:type="dxa"/>
            <w:vAlign w:val="bottom"/>
          </w:tcPr>
          <w:p>
            <w:pPr>
              <w:spacing w:after="0"/>
              <w:rPr>
                <w:sz w:val="15"/>
                <w:szCs w:val="15"/>
                <w:color w:val="auto"/>
              </w:rPr>
            </w:pPr>
          </w:p>
        </w:tc>
        <w:tc>
          <w:tcPr>
            <w:tcW w:w="186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22"/>
        </w:trPr>
        <w:tc>
          <w:tcPr>
            <w:tcW w:w="5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Cost</w:t>
            </w:r>
          </w:p>
        </w:tc>
        <w:tc>
          <w:tcPr>
            <w:tcW w:w="280" w:type="dxa"/>
            <w:vAlign w:val="bottom"/>
            <w:tcBorders>
              <w:top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820" w:type="dxa"/>
            <w:vAlign w:val="bottom"/>
            <w:tcBorders>
              <w:top w:val="single" w:sz="8" w:color="auto"/>
            </w:tcBorders>
            <w:shd w:val="clear" w:color="auto" w:fill="CCEEFF"/>
          </w:tcPr>
          <w:p>
            <w:pPr>
              <w:jc w:val="center"/>
              <w:ind w:left="1100"/>
              <w:spacing w:after="0"/>
              <w:rPr>
                <w:sz w:val="20"/>
                <w:szCs w:val="20"/>
                <w:color w:val="auto"/>
              </w:rPr>
            </w:pPr>
            <w:r>
              <w:rPr>
                <w:rFonts w:ascii="Times New Roman" w:cs="Times New Roman" w:eastAsia="Times New Roman" w:hAnsi="Times New Roman"/>
                <w:sz w:val="17"/>
                <w:szCs w:val="17"/>
                <w:color w:val="auto"/>
              </w:rPr>
              <w:t>59,286</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860" w:type="dxa"/>
            <w:vAlign w:val="bottom"/>
            <w:tcBorders>
              <w:top w:val="single" w:sz="8" w:color="auto"/>
            </w:tcBorders>
            <w:shd w:val="clear" w:color="auto" w:fill="CCEEFF"/>
          </w:tcPr>
          <w:p>
            <w:pPr>
              <w:jc w:val="center"/>
              <w:ind w:left="1137"/>
              <w:spacing w:after="0"/>
              <w:rPr>
                <w:sz w:val="20"/>
                <w:szCs w:val="20"/>
                <w:color w:val="auto"/>
              </w:rPr>
            </w:pPr>
            <w:r>
              <w:rPr>
                <w:rFonts w:ascii="Times New Roman" w:cs="Times New Roman" w:eastAsia="Times New Roman" w:hAnsi="Times New Roman"/>
                <w:sz w:val="17"/>
                <w:szCs w:val="17"/>
                <w:color w:val="auto"/>
              </w:rPr>
              <w:t>46,625</w:t>
            </w:r>
          </w:p>
        </w:tc>
      </w:tr>
      <w:tr>
        <w:trPr>
          <w:trHeight w:val="223"/>
        </w:trPr>
        <w:tc>
          <w:tcPr>
            <w:tcW w:w="5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Less : Accumulated amortization</w:t>
            </w:r>
          </w:p>
        </w:tc>
        <w:tc>
          <w:tcPr>
            <w:tcW w:w="28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center"/>
              <w:ind w:left="1100"/>
              <w:spacing w:after="0"/>
              <w:rPr>
                <w:sz w:val="20"/>
                <w:szCs w:val="20"/>
                <w:color w:val="auto"/>
              </w:rPr>
            </w:pPr>
            <w:r>
              <w:rPr>
                <w:rFonts w:ascii="Times New Roman" w:cs="Times New Roman" w:eastAsia="Times New Roman" w:hAnsi="Times New Roman"/>
                <w:sz w:val="17"/>
                <w:szCs w:val="17"/>
                <w:color w:val="auto"/>
              </w:rPr>
              <w:t>(33,817)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center"/>
              <w:ind w:left="1097"/>
              <w:spacing w:after="0"/>
              <w:rPr>
                <w:sz w:val="20"/>
                <w:szCs w:val="20"/>
                <w:color w:val="auto"/>
              </w:rPr>
            </w:pPr>
            <w:r>
              <w:rPr>
                <w:rFonts w:ascii="Times New Roman" w:cs="Times New Roman" w:eastAsia="Times New Roman" w:hAnsi="Times New Roman"/>
                <w:sz w:val="17"/>
                <w:szCs w:val="17"/>
                <w:color w:val="auto"/>
              </w:rPr>
              <w:t>(25,413)</w:t>
            </w:r>
          </w:p>
        </w:tc>
      </w:tr>
      <w:tr>
        <w:trPr>
          <w:trHeight w:val="241"/>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Internally developed software, net</w:t>
            </w:r>
          </w:p>
        </w:tc>
        <w:tc>
          <w:tcPr>
            <w:tcW w:w="28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820" w:type="dxa"/>
            <w:vAlign w:val="bottom"/>
            <w:tcBorders>
              <w:bottom w:val="single" w:sz="8" w:color="auto"/>
            </w:tcBorders>
            <w:shd w:val="clear" w:color="auto" w:fill="CCEEFF"/>
          </w:tcPr>
          <w:p>
            <w:pPr>
              <w:jc w:val="center"/>
              <w:ind w:left="1100"/>
              <w:spacing w:after="0"/>
              <w:rPr>
                <w:sz w:val="20"/>
                <w:szCs w:val="20"/>
                <w:color w:val="auto"/>
              </w:rPr>
            </w:pPr>
            <w:r>
              <w:rPr>
                <w:rFonts w:ascii="Times New Roman" w:cs="Times New Roman" w:eastAsia="Times New Roman" w:hAnsi="Times New Roman"/>
                <w:sz w:val="17"/>
                <w:szCs w:val="17"/>
                <w:color w:val="auto"/>
              </w:rPr>
              <w:t>25,469</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860" w:type="dxa"/>
            <w:vAlign w:val="bottom"/>
            <w:tcBorders>
              <w:bottom w:val="single" w:sz="8" w:color="auto"/>
            </w:tcBorders>
            <w:shd w:val="clear" w:color="auto" w:fill="CCEEFF"/>
          </w:tcPr>
          <w:p>
            <w:pPr>
              <w:jc w:val="center"/>
              <w:ind w:left="1137"/>
              <w:spacing w:after="0"/>
              <w:rPr>
                <w:sz w:val="20"/>
                <w:szCs w:val="20"/>
                <w:color w:val="auto"/>
              </w:rPr>
            </w:pPr>
            <w:r>
              <w:rPr>
                <w:rFonts w:ascii="Times New Roman" w:cs="Times New Roman" w:eastAsia="Times New Roman" w:hAnsi="Times New Roman"/>
                <w:sz w:val="17"/>
                <w:szCs w:val="17"/>
                <w:color w:val="auto"/>
              </w:rPr>
              <w:t>21,212</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The amortization expense on internally developed software recognized in the unaudited consolidated statements of income was as follows:</w:t>
      </w:r>
    </w:p>
    <w:p>
      <w:pPr>
        <w:spacing w:after="0" w:line="139" w:lineRule="exact"/>
        <w:rPr>
          <w:sz w:val="20"/>
          <w:szCs w:val="20"/>
          <w:color w:val="auto"/>
        </w:rPr>
      </w:pPr>
    </w:p>
    <w:tbl>
      <w:tblPr>
        <w:tblLayout w:type="fixed"/>
        <w:tblInd w:w="280" w:type="dxa"/>
        <w:tblCellMar>
          <w:top w:w="0" w:type="dxa"/>
          <w:left w:w="0" w:type="dxa"/>
          <w:bottom w:w="0" w:type="dxa"/>
          <w:right w:w="0" w:type="dxa"/>
        </w:tblCellMar>
      </w:tblPr>
      <w:tr>
        <w:trPr>
          <w:trHeight w:val="185"/>
        </w:trPr>
        <w:tc>
          <w:tcPr>
            <w:tcW w:w="4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8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80" w:type="dxa"/>
            <w:vAlign w:val="bottom"/>
          </w:tcPr>
          <w:p>
            <w:pPr>
              <w:spacing w:after="0"/>
              <w:rPr>
                <w:sz w:val="16"/>
                <w:szCs w:val="16"/>
                <w:color w:val="auto"/>
              </w:rPr>
            </w:pPr>
          </w:p>
        </w:tc>
        <w:tc>
          <w:tcPr>
            <w:tcW w:w="2680" w:type="dxa"/>
            <w:vAlign w:val="bottom"/>
            <w:gridSpan w:val="4"/>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4"/>
        </w:trPr>
        <w:tc>
          <w:tcPr>
            <w:tcW w:w="46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4"/>
        </w:trPr>
        <w:tc>
          <w:tcPr>
            <w:tcW w:w="46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8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04"/>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2"/>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Amortization expense</w:t>
            </w:r>
          </w:p>
        </w:tc>
        <w:tc>
          <w:tcPr>
            <w:tcW w:w="2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7"/>
                <w:szCs w:val="17"/>
                <w:color w:val="auto"/>
              </w:rPr>
              <w:t>2,961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2,311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7"/>
                <w:szCs w:val="17"/>
                <w:color w:val="auto"/>
              </w:rPr>
              <w:t>8,408</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6,711</w:t>
            </w:r>
          </w:p>
        </w:tc>
      </w:tr>
    </w:tbl>
    <w:p>
      <w:pPr>
        <w:spacing w:after="0" w:line="28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There were no indicators of impairment related to long-lived assets as of September 30, 2024 and December 31, 2023.</w:t>
      </w:r>
    </w:p>
    <w:p>
      <w:pPr>
        <w:spacing w:after="0" w:line="353" w:lineRule="exact"/>
        <w:rPr>
          <w:sz w:val="20"/>
          <w:szCs w:val="20"/>
          <w:color w:val="auto"/>
        </w:rPr>
      </w:pPr>
    </w:p>
    <w:p>
      <w:pPr>
        <w:ind w:right="6340" w:firstLine="5"/>
        <w:spacing w:after="0" w:line="532" w:lineRule="auto"/>
        <w:tabs>
          <w:tab w:leader="none" w:pos="262" w:val="left"/>
        </w:tabs>
        <w:numPr>
          <w:ilvl w:val="0"/>
          <w:numId w:val="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Business Combinations, Goodwill and Other Intangible Assets Incandescent Technologies, Inc.</w:t>
      </w:r>
    </w:p>
    <w:p>
      <w:pPr>
        <w:spacing w:after="0" w:line="1" w:lineRule="exact"/>
        <w:rPr>
          <w:sz w:val="20"/>
          <w:szCs w:val="20"/>
          <w:color w:val="auto"/>
        </w:rPr>
      </w:pPr>
    </w:p>
    <w:p>
      <w:pPr>
        <w:jc w:val="both"/>
        <w:ind w:firstLine="393"/>
        <w:spacing w:after="0" w:line="261" w:lineRule="auto"/>
        <w:rPr>
          <w:sz w:val="20"/>
          <w:szCs w:val="20"/>
          <w:color w:val="auto"/>
        </w:rPr>
      </w:pPr>
      <w:r>
        <w:rPr>
          <w:rFonts w:ascii="Times New Roman" w:cs="Times New Roman" w:eastAsia="Times New Roman" w:hAnsi="Times New Roman"/>
          <w:sz w:val="17"/>
          <w:szCs w:val="17"/>
          <w:color w:val="auto"/>
        </w:rPr>
        <w:t>On August 1, 2024, the Company, through its wholly owned subsidiary Clairvoyant AI, Inc., completed the acquisition of ITI Data, a Nebraska corporation, pursuant to an equity securities purchase agreement dated July 31, 2024 (the "Purchase Agreement"). The Company purchased 100% of the issued and outstanding equity securities in ITI Data.</w:t>
      </w:r>
    </w:p>
    <w:p>
      <w:pPr>
        <w:spacing w:after="0" w:line="201" w:lineRule="exact"/>
        <w:rPr>
          <w:sz w:val="20"/>
          <w:szCs w:val="20"/>
          <w:color w:val="auto"/>
        </w:rPr>
      </w:pPr>
    </w:p>
    <w:p>
      <w:pPr>
        <w:jc w:val="both"/>
        <w:ind w:firstLine="393"/>
        <w:spacing w:after="0" w:line="277" w:lineRule="auto"/>
        <w:rPr>
          <w:sz w:val="20"/>
          <w:szCs w:val="20"/>
          <w:color w:val="auto"/>
        </w:rPr>
      </w:pPr>
      <w:r>
        <w:rPr>
          <w:rFonts w:ascii="Times New Roman" w:cs="Times New Roman" w:eastAsia="Times New Roman" w:hAnsi="Times New Roman"/>
          <w:sz w:val="17"/>
          <w:szCs w:val="17"/>
          <w:color w:val="auto"/>
        </w:rPr>
        <w:t>ITI Data is a data management solutions firm that works with the global banks, financial services and healthcare companies. It delivers enterprise business solutions for clients processing significant data volumes with complex data management requirements. The acquisition strengthens the Company’s ability to deliver reliable, data-driven insights to its clients and ultimately drive greater value and innovation across their operations.</w:t>
      </w:r>
    </w:p>
    <w:p>
      <w:pPr>
        <w:spacing w:after="0" w:line="189" w:lineRule="exact"/>
        <w:rPr>
          <w:sz w:val="20"/>
          <w:szCs w:val="20"/>
          <w:color w:val="auto"/>
        </w:rPr>
      </w:pPr>
    </w:p>
    <w:p>
      <w:pPr>
        <w:jc w:val="both"/>
        <w:ind w:firstLine="393"/>
        <w:spacing w:after="0" w:line="297" w:lineRule="auto"/>
        <w:rPr>
          <w:sz w:val="20"/>
          <w:szCs w:val="20"/>
          <w:color w:val="auto"/>
        </w:rPr>
      </w:pPr>
      <w:r>
        <w:rPr>
          <w:rFonts w:ascii="Times New Roman" w:cs="Times New Roman" w:eastAsia="Times New Roman" w:hAnsi="Times New Roman"/>
          <w:sz w:val="17"/>
          <w:szCs w:val="17"/>
          <w:color w:val="auto"/>
        </w:rPr>
        <w:t>The base purchase consideration payable at the closing of the transaction was $26,000, excluding cash acquired, debt and other estimated post-closing adjustments. The Purchase Agreement also allows the seller the ability to earn up to $13,000 of</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EXLSERVICE HOLDINGS, INC.</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UNAUDITED CONSOLIDATED FINANCIAL STATEMENTS—(continued)</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September 30, 2024</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per share amount and share count)</w:t>
      </w:r>
    </w:p>
    <w:p>
      <w:pPr>
        <w:spacing w:after="0" w:line="23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contingent consideration, based on the achievement of certain performance goals by ITI Data during the two years ending July 31, 2026. The contingent consideration had an estimated fair value of $7,700, and has been presented as contingent consideration under “Accrued expenses and other current liabilities” and “Other non-current liabilities,” as applicable in the consolidated balance sheets. A portion of the purchase consideration otherwise payable was placed into escrow as security for the post-closing working capital adjustments and the indemnification obligations under the Purchase Agreement. To finance the acquisition, the Company utilized its available cash on hand.</w:t>
      </w:r>
    </w:p>
    <w:p>
      <w:pPr>
        <w:spacing w:after="0" w:line="19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The Company’s preliminary purchase price allocation to net tangible and intangible assets of ITI Data as of August 1, 2024 is as follows:</w:t>
      </w:r>
    </w:p>
    <w:p>
      <w:pPr>
        <w:spacing w:after="0" w:line="59" w:lineRule="exact"/>
        <w:rPr>
          <w:sz w:val="20"/>
          <w:szCs w:val="20"/>
          <w:color w:val="auto"/>
        </w:rPr>
      </w:pPr>
    </w:p>
    <w:tbl>
      <w:tblPr>
        <w:tblLayout w:type="fixed"/>
        <w:tblInd w:w="640" w:type="dxa"/>
        <w:tblCellMar>
          <w:top w:w="0" w:type="dxa"/>
          <w:left w:w="0" w:type="dxa"/>
          <w:bottom w:w="0" w:type="dxa"/>
          <w:right w:w="0" w:type="dxa"/>
        </w:tblCellMar>
      </w:tblPr>
      <w:tr>
        <w:trPr>
          <w:trHeight w:val="223"/>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Intangible assets</w:t>
            </w:r>
          </w:p>
        </w:tc>
        <w:tc>
          <w:tcPr>
            <w:tcW w:w="840" w:type="dxa"/>
            <w:vAlign w:val="bottom"/>
            <w:shd w:val="clear" w:color="auto" w:fill="CCEEFF"/>
          </w:tcPr>
          <w:p>
            <w:pPr>
              <w:jc w:val="right"/>
              <w:ind w:right="653"/>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10,720</w:t>
            </w:r>
          </w:p>
        </w:tc>
      </w:tr>
      <w:tr>
        <w:trPr>
          <w:trHeight w:val="223"/>
        </w:trPr>
        <w:tc>
          <w:tcPr>
            <w:tcW w:w="5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assets, net</w:t>
            </w:r>
          </w:p>
        </w:tc>
        <w:tc>
          <w:tcPr>
            <w:tcW w:w="8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581</w:t>
            </w:r>
          </w:p>
        </w:tc>
      </w:tr>
      <w:tr>
        <w:trPr>
          <w:trHeight w:val="223"/>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Goodwill</w:t>
            </w:r>
          </w:p>
        </w:tc>
        <w:tc>
          <w:tcPr>
            <w:tcW w:w="8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22,035</w:t>
            </w:r>
          </w:p>
        </w:tc>
      </w:tr>
      <w:tr>
        <w:trPr>
          <w:trHeight w:val="216"/>
        </w:trPr>
        <w:tc>
          <w:tcPr>
            <w:tcW w:w="5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purchase consideration*</w:t>
            </w:r>
          </w:p>
        </w:tc>
        <w:tc>
          <w:tcPr>
            <w:tcW w:w="840" w:type="dxa"/>
            <w:vAlign w:val="bottom"/>
            <w:tcBorders>
              <w:bottom w:val="single" w:sz="8" w:color="auto"/>
            </w:tcBorders>
          </w:tcPr>
          <w:p>
            <w:pPr>
              <w:jc w:val="right"/>
              <w:ind w:right="653"/>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33,336</w:t>
            </w:r>
          </w:p>
        </w:tc>
      </w:tr>
      <w:tr>
        <w:trPr>
          <w:trHeight w:val="20"/>
        </w:trPr>
        <w:tc>
          <w:tcPr>
            <w:tcW w:w="5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7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 Includes contingent consideration of $7,700 recognized at fair value as of the date of acquisition.</w:t>
      </w:r>
    </w:p>
    <w:p>
      <w:pPr>
        <w:spacing w:after="0" w:line="250" w:lineRule="exact"/>
        <w:rPr>
          <w:sz w:val="20"/>
          <w:szCs w:val="20"/>
          <w:color w:val="auto"/>
        </w:rPr>
      </w:pPr>
    </w:p>
    <w:p>
      <w:pPr>
        <w:jc w:val="both"/>
        <w:ind w:firstLine="393"/>
        <w:spacing w:after="0" w:line="269" w:lineRule="auto"/>
        <w:rPr>
          <w:sz w:val="20"/>
          <w:szCs w:val="20"/>
          <w:color w:val="auto"/>
        </w:rPr>
      </w:pPr>
      <w:r>
        <w:rPr>
          <w:rFonts w:ascii="Times New Roman" w:cs="Times New Roman" w:eastAsia="Times New Roman" w:hAnsi="Times New Roman"/>
          <w:sz w:val="17"/>
          <w:szCs w:val="17"/>
          <w:color w:val="auto"/>
        </w:rPr>
        <w:t>The fair value of assets acquired and liabilities assumed from the acquisition of ITI Data is based on a preliminary valuation and, as such, the Company's estimates and assumptions are subject to change within the measurement period. The Company is in the process of finalizing the adjustments related to debt, working capital position and other post-closing adjustments, which, when determined, may result in the recognition of additional assets or liabilities as of the acquisition date, and shall accordingly lead to finalization of the purchase consideration. The measurement period will not exceed one year from the acquisition date.</w:t>
      </w:r>
    </w:p>
    <w:p>
      <w:pPr>
        <w:spacing w:after="0" w:line="200" w:lineRule="exact"/>
        <w:rPr>
          <w:sz w:val="20"/>
          <w:szCs w:val="20"/>
          <w:color w:val="auto"/>
        </w:rPr>
      </w:pPr>
    </w:p>
    <w:p>
      <w:pPr>
        <w:spacing w:after="0" w:line="209" w:lineRule="exact"/>
        <w:rPr>
          <w:sz w:val="20"/>
          <w:szCs w:val="20"/>
          <w:color w:val="auto"/>
        </w:rPr>
      </w:pPr>
    </w:p>
    <w:p>
      <w:pPr>
        <w:jc w:val="both"/>
        <w:ind w:firstLine="393"/>
        <w:spacing w:after="0" w:line="297" w:lineRule="auto"/>
        <w:rPr>
          <w:sz w:val="20"/>
          <w:szCs w:val="20"/>
          <w:color w:val="auto"/>
        </w:rPr>
      </w:pPr>
      <w:r>
        <w:rPr>
          <w:rFonts w:ascii="Times New Roman" w:cs="Times New Roman" w:eastAsia="Times New Roman" w:hAnsi="Times New Roman"/>
          <w:sz w:val="17"/>
          <w:szCs w:val="17"/>
          <w:color w:val="auto"/>
        </w:rPr>
        <w:t>In connection with this acquisition, the Company recorded $10,420 in customer-related intangibles which are being amortized on a straight-line basis (which approximates the economic pattern of benefits) over the estimated weighted average amortization period of 5 years.</w:t>
      </w:r>
    </w:p>
    <w:p>
      <w:pPr>
        <w:spacing w:after="0" w:line="17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The ITI Data acquisition is treated as a stock acquisition for tax purposes.</w:t>
      </w:r>
    </w:p>
    <w:p>
      <w:pPr>
        <w:spacing w:after="0" w:line="250" w:lineRule="exact"/>
        <w:rPr>
          <w:sz w:val="20"/>
          <w:szCs w:val="20"/>
          <w:color w:val="auto"/>
        </w:rPr>
      </w:pPr>
    </w:p>
    <w:p>
      <w:pPr>
        <w:jc w:val="both"/>
        <w:ind w:firstLine="393"/>
        <w:spacing w:after="0" w:line="277" w:lineRule="auto"/>
        <w:rPr>
          <w:sz w:val="20"/>
          <w:szCs w:val="20"/>
          <w:color w:val="auto"/>
        </w:rPr>
      </w:pPr>
      <w:r>
        <w:rPr>
          <w:rFonts w:ascii="Times New Roman" w:cs="Times New Roman" w:eastAsia="Times New Roman" w:hAnsi="Times New Roman"/>
          <w:sz w:val="17"/>
          <w:szCs w:val="17"/>
          <w:color w:val="auto"/>
        </w:rPr>
        <w:t>The goodwill recognized represents the acquired capabilities, operating synergies and other benefits expected to result from combining the acquired operations with the Company’s existing operations. The goodwill has been assigned to the Company’s Analytics reportable segment based upon the Company’s assessment of nature of services rendered by ITI Data.</w:t>
      </w:r>
    </w:p>
    <w:p>
      <w:pPr>
        <w:spacing w:after="0" w:line="189" w:lineRule="exact"/>
        <w:rPr>
          <w:sz w:val="20"/>
          <w:szCs w:val="20"/>
          <w:color w:val="auto"/>
        </w:rPr>
      </w:pPr>
    </w:p>
    <w:p>
      <w:pPr>
        <w:jc w:val="both"/>
        <w:ind w:firstLine="393"/>
        <w:spacing w:after="0" w:line="277" w:lineRule="auto"/>
        <w:rPr>
          <w:sz w:val="20"/>
          <w:szCs w:val="20"/>
          <w:color w:val="auto"/>
        </w:rPr>
      </w:pPr>
      <w:r>
        <w:rPr>
          <w:rFonts w:ascii="Times New Roman" w:cs="Times New Roman" w:eastAsia="Times New Roman" w:hAnsi="Times New Roman"/>
          <w:sz w:val="17"/>
          <w:szCs w:val="17"/>
          <w:color w:val="auto"/>
        </w:rPr>
        <w:t>The results of operations of the acquired business and the fair value of the acquired assets and assumed liabilities are included in the Company’s unaudited consolidated financial statements with effect from the date of the acquisition. The acquisition did not materially impact the Company's financial position, results of operations or cash flows, and therefore, the Company has not provided unaudited supplemental pro forma results.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Goodwill</w:t>
      </w:r>
    </w:p>
    <w:p>
      <w:pPr>
        <w:spacing w:after="0" w:line="24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The following table sets forth details of changes in goodwill by reportable segment of the Company:</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Insurance</w:t>
            </w:r>
          </w:p>
        </w:tc>
        <w:tc>
          <w:tcPr>
            <w:tcW w:w="160" w:type="dxa"/>
            <w:vAlign w:val="bottom"/>
          </w:tcPr>
          <w:p>
            <w:pPr>
              <w:spacing w:after="0"/>
              <w:rPr>
                <w:sz w:val="16"/>
                <w:szCs w:val="16"/>
                <w:color w:val="auto"/>
              </w:rPr>
            </w:pPr>
          </w:p>
        </w:tc>
        <w:tc>
          <w:tcPr>
            <w:tcW w:w="114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Healthcare</w:t>
            </w:r>
          </w:p>
        </w:tc>
        <w:tc>
          <w:tcPr>
            <w:tcW w:w="160" w:type="dxa"/>
            <w:vAlign w:val="bottom"/>
          </w:tcPr>
          <w:p>
            <w:pPr>
              <w:spacing w:after="0"/>
              <w:rPr>
                <w:sz w:val="16"/>
                <w:szCs w:val="16"/>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7"/>
              </w:rPr>
              <w:t>Emerging</w:t>
            </w:r>
          </w:p>
        </w:tc>
        <w:tc>
          <w:tcPr>
            <w:tcW w:w="160" w:type="dxa"/>
            <w:vAlign w:val="bottom"/>
          </w:tcPr>
          <w:p>
            <w:pPr>
              <w:spacing w:after="0"/>
              <w:rPr>
                <w:sz w:val="16"/>
                <w:szCs w:val="16"/>
                <w:color w:val="auto"/>
              </w:rPr>
            </w:pPr>
          </w:p>
        </w:tc>
        <w:tc>
          <w:tcPr>
            <w:tcW w:w="98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Analytics</w:t>
            </w:r>
          </w:p>
        </w:tc>
        <w:tc>
          <w:tcPr>
            <w:tcW w:w="260" w:type="dxa"/>
            <w:vAlign w:val="bottom"/>
          </w:tcPr>
          <w:p>
            <w:pPr>
              <w:spacing w:after="0"/>
              <w:rPr>
                <w:sz w:val="16"/>
                <w:szCs w:val="16"/>
                <w:color w:val="auto"/>
              </w:rPr>
            </w:pPr>
          </w:p>
        </w:tc>
        <w:tc>
          <w:tcPr>
            <w:tcW w:w="860" w:type="dxa"/>
            <w:vAlign w:val="bottom"/>
            <w:vMerge w:val="restart"/>
          </w:tcPr>
          <w:p>
            <w:pPr>
              <w:jc w:val="right"/>
              <w:ind w:right="294"/>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09"/>
        </w:trPr>
        <w:tc>
          <w:tcPr>
            <w:tcW w:w="4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8"/>
              </w:rPr>
              <w:t>Business</w:t>
            </w:r>
          </w:p>
        </w:tc>
        <w:tc>
          <w:tcPr>
            <w:tcW w:w="16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as of January 1, 2024</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50,035</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21,872</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47,001</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286,731</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405,639</w:t>
            </w:r>
          </w:p>
        </w:tc>
        <w:tc>
          <w:tcPr>
            <w:tcW w:w="0" w:type="dxa"/>
            <w:vAlign w:val="bottom"/>
          </w:tcPr>
          <w:p>
            <w:pPr>
              <w:spacing w:after="0"/>
              <w:rPr>
                <w:sz w:val="1"/>
                <w:szCs w:val="1"/>
                <w:color w:val="auto"/>
              </w:rPr>
            </w:pPr>
          </w:p>
        </w:tc>
      </w:tr>
      <w:tr>
        <w:trPr>
          <w:trHeight w:val="223"/>
        </w:trPr>
        <w:tc>
          <w:tcPr>
            <w:tcW w:w="438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Acquisition</w:t>
            </w:r>
          </w:p>
        </w:tc>
        <w:tc>
          <w:tcPr>
            <w:tcW w:w="18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22,035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22,035</w:t>
            </w:r>
          </w:p>
        </w:tc>
        <w:tc>
          <w:tcPr>
            <w:tcW w:w="0" w:type="dxa"/>
            <w:vAlign w:val="bottom"/>
          </w:tcPr>
          <w:p>
            <w:pPr>
              <w:spacing w:after="0"/>
              <w:rPr>
                <w:sz w:val="1"/>
                <w:szCs w:val="1"/>
                <w:color w:val="auto"/>
              </w:rPr>
            </w:pPr>
          </w:p>
        </w:tc>
      </w:tr>
      <w:tr>
        <w:trPr>
          <w:trHeight w:val="223"/>
        </w:trPr>
        <w:tc>
          <w:tcPr>
            <w:tcW w:w="43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Currency translation adjustments</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0" w:type="dxa"/>
            <w:vAlign w:val="bottom"/>
          </w:tcPr>
          <w:p>
            <w:pPr>
              <w:spacing w:after="0"/>
              <w:rPr>
                <w:sz w:val="1"/>
                <w:szCs w:val="1"/>
                <w:color w:val="auto"/>
              </w:rPr>
            </w:pPr>
          </w:p>
        </w:tc>
      </w:tr>
      <w:tr>
        <w:trPr>
          <w:trHeight w:val="216"/>
        </w:trPr>
        <w:tc>
          <w:tcPr>
            <w:tcW w:w="4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Balance as of September 30, 2024</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50,147</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21,867</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46,883</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308,766</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427,663</w:t>
            </w: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jc w:val="both"/>
        <w:ind w:firstLine="393"/>
        <w:spacing w:after="0" w:line="254" w:lineRule="auto"/>
        <w:rPr>
          <w:sz w:val="20"/>
          <w:szCs w:val="20"/>
          <w:color w:val="auto"/>
        </w:rPr>
      </w:pPr>
      <w:r>
        <w:rPr>
          <w:rFonts w:ascii="Times New Roman" w:cs="Times New Roman" w:eastAsia="Times New Roman" w:hAnsi="Times New Roman"/>
          <w:sz w:val="17"/>
          <w:szCs w:val="17"/>
          <w:color w:val="auto"/>
        </w:rPr>
        <w:t>As of September 30, 2024, the Company performed an assessment to determine whether events or circumstances exist that may lead to a determination that it is more likely than not that the fair value of a reporting unit is less than its carrying amount. The Company considered current and forecasted economic and market conditions and qualitative factors, such as the Company’s performance during the nine months ended September 30, 2024, business forecasts for the remainder of the year,</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EXLSERVICE HOLDINGS, INC.</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UNAUDITED CONSOLIDATED FINANCIAL STATEMENTS—(continued)</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September 30, 2024</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per share amount and share count)</w:t>
      </w:r>
    </w:p>
    <w:p>
      <w:pPr>
        <w:spacing w:after="0" w:line="2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stock price movements, generation and availability of cash and expansion plans. The Company reviewed key assumptions, including revisions of projected future revenues for reporting units against the results of the annual impairment test performed during the fourth quarter of 2023. The Company did not identify any triggers or indications of potential impairment for its reporting units as of September 30, 2024.</w:t>
      </w:r>
    </w:p>
    <w:p>
      <w:pPr>
        <w:spacing w:after="0" w:line="188" w:lineRule="exact"/>
        <w:rPr>
          <w:sz w:val="20"/>
          <w:szCs w:val="20"/>
          <w:color w:val="auto"/>
        </w:rPr>
      </w:pPr>
    </w:p>
    <w:p>
      <w:pPr>
        <w:jc w:val="both"/>
        <w:ind w:firstLine="393"/>
        <w:spacing w:after="0" w:line="261" w:lineRule="auto"/>
        <w:rPr>
          <w:sz w:val="20"/>
          <w:szCs w:val="20"/>
          <w:color w:val="auto"/>
        </w:rPr>
      </w:pPr>
      <w:r>
        <w:rPr>
          <w:rFonts w:ascii="Times New Roman" w:cs="Times New Roman" w:eastAsia="Times New Roman" w:hAnsi="Times New Roman"/>
          <w:sz w:val="17"/>
          <w:szCs w:val="17"/>
          <w:color w:val="auto"/>
        </w:rPr>
        <w:t>The recoverability of goodwill is dependent upon the continued growth of cash flows from the Company’s business activities. This growth is based on business forecasts and improvement in profitability of its reporting units. The Company continues to maintain its focus on cultivating long-term client relationships as well as attracting new clients.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Other Intangible Assets</w:t>
      </w:r>
    </w:p>
    <w:p>
      <w:pPr>
        <w:spacing w:after="0" w:line="11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Information regarding the Company’s intangible assets is set forth below:</w:t>
      </w:r>
    </w:p>
    <w:p>
      <w:pPr>
        <w:spacing w:after="0" w:line="244" w:lineRule="exact"/>
        <w:rPr>
          <w:sz w:val="20"/>
          <w:szCs w:val="20"/>
          <w:color w:val="auto"/>
        </w:rPr>
      </w:pPr>
    </w:p>
    <w:tbl>
      <w:tblPr>
        <w:tblLayout w:type="fixed"/>
        <w:tblInd w:w="700" w:type="dxa"/>
        <w:tblCellMar>
          <w:top w:w="0" w:type="dxa"/>
          <w:left w:w="0" w:type="dxa"/>
          <w:bottom w:w="0" w:type="dxa"/>
          <w:right w:w="0" w:type="dxa"/>
        </w:tblCellMar>
      </w:tblPr>
      <w:tr>
        <w:trPr>
          <w:trHeight w:val="185"/>
        </w:trPr>
        <w:tc>
          <w:tcPr>
            <w:tcW w:w="2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20" w:type="dxa"/>
            <w:vAlign w:val="bottom"/>
            <w:gridSpan w:val="6"/>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w w:val="99"/>
              </w:rPr>
              <w:t>As of September 30, 2024</w:t>
            </w: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580" w:type="dxa"/>
            <w:vAlign w:val="bottom"/>
            <w:gridSpan w:val="6"/>
          </w:tcPr>
          <w:p>
            <w:pPr>
              <w:jc w:val="center"/>
              <w:ind w:right="13"/>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4"/>
        </w:trPr>
        <w:tc>
          <w:tcPr>
            <w:tcW w:w="288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jc w:val="center"/>
              <w:ind w:right="18"/>
              <w:spacing w:after="0" w:line="125" w:lineRule="exact"/>
              <w:rPr>
                <w:sz w:val="20"/>
                <w:szCs w:val="20"/>
                <w:color w:val="auto"/>
              </w:rPr>
            </w:pPr>
            <w:r>
              <w:rPr>
                <w:rFonts w:ascii="Times New Roman" w:cs="Times New Roman" w:eastAsia="Times New Roman" w:hAnsi="Times New Roman"/>
                <w:sz w:val="14"/>
                <w:szCs w:val="14"/>
                <w:b w:val="1"/>
                <w:bCs w:val="1"/>
                <w:color w:val="auto"/>
              </w:rPr>
              <w:t>Gross</w:t>
            </w:r>
          </w:p>
        </w:tc>
        <w:tc>
          <w:tcPr>
            <w:tcW w:w="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Accumulated</w:t>
            </w:r>
          </w:p>
        </w:tc>
        <w:tc>
          <w:tcPr>
            <w:tcW w:w="18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jc w:val="center"/>
              <w:ind w:right="138"/>
              <w:spacing w:after="0" w:line="125" w:lineRule="exact"/>
              <w:rPr>
                <w:sz w:val="20"/>
                <w:szCs w:val="20"/>
                <w:color w:val="auto"/>
              </w:rPr>
            </w:pPr>
            <w:r>
              <w:rPr>
                <w:rFonts w:ascii="Times New Roman" w:cs="Times New Roman" w:eastAsia="Times New Roman" w:hAnsi="Times New Roman"/>
                <w:sz w:val="14"/>
                <w:szCs w:val="14"/>
                <w:b w:val="1"/>
                <w:bCs w:val="1"/>
                <w:color w:val="auto"/>
                <w:w w:val="95"/>
              </w:rPr>
              <w:t>Net</w:t>
            </w:r>
          </w:p>
        </w:tc>
        <w:tc>
          <w:tcPr>
            <w:tcW w:w="80" w:type="dxa"/>
            <w:vAlign w:val="bottom"/>
          </w:tcPr>
          <w:p>
            <w:pPr>
              <w:spacing w:after="0"/>
              <w:rPr>
                <w:sz w:val="10"/>
                <w:szCs w:val="10"/>
                <w:color w:val="auto"/>
              </w:rPr>
            </w:pPr>
          </w:p>
        </w:tc>
        <w:tc>
          <w:tcPr>
            <w:tcW w:w="980" w:type="dxa"/>
            <w:vAlign w:val="bottom"/>
            <w:tcBorders>
              <w:top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w w:val="98"/>
              </w:rPr>
              <w:t>Gross Carrying</w:t>
            </w:r>
          </w:p>
        </w:tc>
        <w:tc>
          <w:tcPr>
            <w:tcW w:w="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jc w:val="center"/>
              <w:ind w:right="118"/>
              <w:spacing w:after="0" w:line="125" w:lineRule="exact"/>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44"/>
        </w:trPr>
        <w:tc>
          <w:tcPr>
            <w:tcW w:w="2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center"/>
              <w:ind w:right="58"/>
              <w:spacing w:after="0" w:line="145"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center"/>
              <w:ind w:right="260"/>
              <w:spacing w:after="0" w:line="145"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98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center"/>
              <w:ind w:right="78"/>
              <w:spacing w:after="0" w:line="145" w:lineRule="exact"/>
              <w:rPr>
                <w:sz w:val="20"/>
                <w:szCs w:val="20"/>
                <w:color w:val="auto"/>
              </w:rPr>
            </w:pPr>
            <w:r>
              <w:rPr>
                <w:rFonts w:ascii="Times New Roman" w:cs="Times New Roman" w:eastAsia="Times New Roman" w:hAnsi="Times New Roman"/>
                <w:sz w:val="14"/>
                <w:szCs w:val="14"/>
                <w:b w:val="1"/>
                <w:bCs w:val="1"/>
                <w:color w:val="auto"/>
                <w:w w:val="97"/>
              </w:rPr>
              <w:t>Carrying</w:t>
            </w:r>
          </w:p>
        </w:tc>
        <w:tc>
          <w:tcPr>
            <w:tcW w:w="0" w:type="dxa"/>
            <w:vAlign w:val="bottom"/>
          </w:tcPr>
          <w:p>
            <w:pPr>
              <w:spacing w:after="0"/>
              <w:rPr>
                <w:sz w:val="1"/>
                <w:szCs w:val="1"/>
                <w:color w:val="auto"/>
              </w:rPr>
            </w:pPr>
          </w:p>
        </w:tc>
      </w:tr>
      <w:tr>
        <w:trPr>
          <w:trHeight w:val="191"/>
        </w:trPr>
        <w:tc>
          <w:tcPr>
            <w:tcW w:w="2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center"/>
              <w:ind w:right="18"/>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Amortization</w:t>
            </w:r>
          </w:p>
        </w:tc>
        <w:tc>
          <w:tcPr>
            <w:tcW w:w="180" w:type="dxa"/>
            <w:vAlign w:val="bottom"/>
          </w:tcPr>
          <w:p>
            <w:pPr>
              <w:spacing w:after="0"/>
              <w:rPr>
                <w:sz w:val="16"/>
                <w:szCs w:val="16"/>
                <w:color w:val="auto"/>
              </w:rPr>
            </w:pPr>
          </w:p>
        </w:tc>
        <w:tc>
          <w:tcPr>
            <w:tcW w:w="9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200" w:type="dxa"/>
            <w:vAlign w:val="bottom"/>
          </w:tcPr>
          <w:p>
            <w:pPr>
              <w:spacing w:after="0"/>
              <w:rPr>
                <w:sz w:val="16"/>
                <w:szCs w:val="16"/>
                <w:color w:val="auto"/>
              </w:rPr>
            </w:pPr>
          </w:p>
        </w:tc>
        <w:tc>
          <w:tcPr>
            <w:tcW w:w="780" w:type="dxa"/>
            <w:vAlign w:val="bottom"/>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Amortization</w:t>
            </w:r>
          </w:p>
        </w:tc>
        <w:tc>
          <w:tcPr>
            <w:tcW w:w="160" w:type="dxa"/>
            <w:vAlign w:val="bottom"/>
          </w:tcPr>
          <w:p>
            <w:pPr>
              <w:spacing w:after="0"/>
              <w:rPr>
                <w:sz w:val="16"/>
                <w:szCs w:val="16"/>
                <w:color w:val="auto"/>
              </w:rPr>
            </w:pPr>
          </w:p>
        </w:tc>
        <w:tc>
          <w:tcPr>
            <w:tcW w:w="860" w:type="dxa"/>
            <w:vAlign w:val="bottom"/>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196"/>
        </w:trPr>
        <w:tc>
          <w:tcPr>
            <w:tcW w:w="2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Finite-lived intangible assets:</w:t>
            </w:r>
          </w:p>
        </w:tc>
        <w:tc>
          <w:tcPr>
            <w:tcW w:w="16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Customer relationships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107,350</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(57,757)</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49,593</w:t>
            </w:r>
          </w:p>
        </w:tc>
        <w:tc>
          <w:tcPr>
            <w:tcW w:w="80" w:type="dxa"/>
            <w:vAlign w:val="bottom"/>
          </w:tcPr>
          <w:p>
            <w:pPr>
              <w:spacing w:after="0"/>
              <w:rPr>
                <w:sz w:val="19"/>
                <w:szCs w:val="19"/>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99,050</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(51,085)</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47,965</w:t>
            </w:r>
          </w:p>
        </w:tc>
        <w:tc>
          <w:tcPr>
            <w:tcW w:w="0" w:type="dxa"/>
            <w:vAlign w:val="bottom"/>
          </w:tcPr>
          <w:p>
            <w:pPr>
              <w:spacing w:after="0"/>
              <w:rPr>
                <w:sz w:val="1"/>
                <w:szCs w:val="1"/>
                <w:color w:val="auto"/>
              </w:rPr>
            </w:pPr>
          </w:p>
        </w:tc>
      </w:tr>
      <w:tr>
        <w:trPr>
          <w:trHeight w:val="223"/>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Developed technology</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3,631</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(3,215)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3,552</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(2,522)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1,030</w:t>
            </w:r>
          </w:p>
        </w:tc>
        <w:tc>
          <w:tcPr>
            <w:tcW w:w="0" w:type="dxa"/>
            <w:vAlign w:val="bottom"/>
          </w:tcPr>
          <w:p>
            <w:pPr>
              <w:spacing w:after="0"/>
              <w:rPr>
                <w:sz w:val="1"/>
                <w:szCs w:val="1"/>
                <w:color w:val="auto"/>
              </w:rPr>
            </w:pPr>
          </w:p>
        </w:tc>
      </w:tr>
      <w:tr>
        <w:trPr>
          <w:trHeight w:val="223"/>
        </w:trPr>
        <w:tc>
          <w:tcPr>
            <w:tcW w:w="2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Trade names and trademarks</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1,700</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(1,408)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1,400</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(1,286)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w:t>
            </w:r>
          </w:p>
        </w:tc>
        <w:tc>
          <w:tcPr>
            <w:tcW w:w="0" w:type="dxa"/>
            <w:vAlign w:val="bottom"/>
          </w:tcPr>
          <w:p>
            <w:pPr>
              <w:spacing w:after="0"/>
              <w:rPr>
                <w:sz w:val="1"/>
                <w:szCs w:val="1"/>
                <w:color w:val="auto"/>
              </w:rPr>
            </w:pPr>
          </w:p>
        </w:tc>
      </w:tr>
      <w:tr>
        <w:trPr>
          <w:trHeight w:val="223"/>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Non-compete agreements</w:t>
            </w:r>
          </w:p>
        </w:tc>
        <w:tc>
          <w:tcPr>
            <w:tcW w:w="1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300</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336</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w:t>
            </w:r>
          </w:p>
        </w:tc>
        <w:tc>
          <w:tcPr>
            <w:tcW w:w="0" w:type="dxa"/>
            <w:vAlign w:val="bottom"/>
          </w:tcPr>
          <w:p>
            <w:pPr>
              <w:spacing w:after="0"/>
              <w:rPr>
                <w:sz w:val="1"/>
                <w:szCs w:val="1"/>
                <w:color w:val="auto"/>
              </w:rPr>
            </w:pPr>
          </w:p>
        </w:tc>
      </w:tr>
      <w:tr>
        <w:trPr>
          <w:trHeight w:val="216"/>
        </w:trPr>
        <w:tc>
          <w:tcPr>
            <w:tcW w:w="2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112,981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(62,590)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50,391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104,338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(55,074)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49,264</w:t>
            </w:r>
          </w:p>
        </w:tc>
        <w:tc>
          <w:tcPr>
            <w:tcW w:w="0" w:type="dxa"/>
            <w:vAlign w:val="bottom"/>
          </w:tcPr>
          <w:p>
            <w:pPr>
              <w:spacing w:after="0"/>
              <w:rPr>
                <w:sz w:val="1"/>
                <w:szCs w:val="1"/>
                <w:color w:val="auto"/>
              </w:rPr>
            </w:pPr>
          </w:p>
        </w:tc>
      </w:tr>
      <w:tr>
        <w:trPr>
          <w:trHeight w:val="210"/>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Indefinite-lived intangible assets:</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Trade names and trademarks</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900</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ind w:left="7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900</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ind w:left="7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900</w:t>
            </w:r>
          </w:p>
        </w:tc>
        <w:tc>
          <w:tcPr>
            <w:tcW w:w="0" w:type="dxa"/>
            <w:vAlign w:val="bottom"/>
          </w:tcPr>
          <w:p>
            <w:pPr>
              <w:spacing w:after="0"/>
              <w:rPr>
                <w:sz w:val="1"/>
                <w:szCs w:val="1"/>
                <w:color w:val="auto"/>
              </w:rPr>
            </w:pPr>
          </w:p>
        </w:tc>
      </w:tr>
      <w:tr>
        <w:trPr>
          <w:trHeight w:val="241"/>
        </w:trPr>
        <w:tc>
          <w:tcPr>
            <w:tcW w:w="28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intangible assets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113,881</w:t>
            </w:r>
          </w:p>
        </w:tc>
        <w:tc>
          <w:tcPr>
            <w:tcW w:w="60" w:type="dxa"/>
            <w:vAlign w:val="bottom"/>
            <w:tcBorders>
              <w:top w:val="single" w:sz="8" w:color="auto"/>
              <w:bottom w:val="single" w:sz="8" w:color="auto"/>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(62,590)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51,291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105,238</w:t>
            </w:r>
          </w:p>
        </w:tc>
        <w:tc>
          <w:tcPr>
            <w:tcW w:w="60" w:type="dxa"/>
            <w:vAlign w:val="bottom"/>
            <w:tcBorders>
              <w:top w:val="single" w:sz="8" w:color="auto"/>
              <w:bottom w:val="single" w:sz="8" w:color="auto"/>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(55,074)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50,164</w:t>
            </w:r>
          </w:p>
        </w:tc>
        <w:tc>
          <w:tcPr>
            <w:tcW w:w="0" w:type="dxa"/>
            <w:vAlign w:val="bottom"/>
          </w:tcPr>
          <w:p>
            <w:pPr>
              <w:spacing w:after="0"/>
              <w:rPr>
                <w:sz w:val="1"/>
                <w:szCs w:val="1"/>
                <w:color w:val="auto"/>
              </w:rPr>
            </w:pPr>
          </w:p>
        </w:tc>
      </w:tr>
      <w:tr>
        <w:trPr>
          <w:trHeight w:val="20"/>
        </w:trPr>
        <w:tc>
          <w:tcPr>
            <w:tcW w:w="28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The amortization expense recognized in the unaudited consolidated statements of income was as follows:</w:t>
      </w:r>
    </w:p>
    <w:p>
      <w:pPr>
        <w:spacing w:after="0" w:line="231" w:lineRule="exact"/>
        <w:rPr>
          <w:sz w:val="20"/>
          <w:szCs w:val="20"/>
          <w:color w:val="auto"/>
        </w:rPr>
      </w:pPr>
    </w:p>
    <w:tbl>
      <w:tblPr>
        <w:tblLayout w:type="fixed"/>
        <w:tblInd w:w="320" w:type="dxa"/>
        <w:tblCellMar>
          <w:top w:w="0" w:type="dxa"/>
          <w:left w:w="0" w:type="dxa"/>
          <w:bottom w:w="0" w:type="dxa"/>
          <w:right w:w="0" w:type="dxa"/>
        </w:tblCellMar>
      </w:tblPr>
      <w:tr>
        <w:trPr>
          <w:trHeight w:val="185"/>
        </w:trPr>
        <w:tc>
          <w:tcPr>
            <w:tcW w:w="3940" w:type="dxa"/>
            <w:vAlign w:val="bottom"/>
          </w:tcPr>
          <w:p>
            <w:pPr>
              <w:spacing w:after="0"/>
              <w:rPr>
                <w:sz w:val="16"/>
                <w:szCs w:val="16"/>
                <w:color w:val="auto"/>
              </w:rPr>
            </w:pPr>
          </w:p>
        </w:tc>
        <w:tc>
          <w:tcPr>
            <w:tcW w:w="278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8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580" w:type="dxa"/>
            <w:vAlign w:val="bottom"/>
          </w:tcPr>
          <w:p>
            <w:pPr>
              <w:spacing w:after="0"/>
              <w:rPr>
                <w:sz w:val="16"/>
                <w:szCs w:val="16"/>
                <w:color w:val="auto"/>
              </w:rPr>
            </w:pPr>
          </w:p>
        </w:tc>
      </w:tr>
      <w:tr>
        <w:trPr>
          <w:trHeight w:val="24"/>
        </w:trPr>
        <w:tc>
          <w:tcPr>
            <w:tcW w:w="394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184"/>
        </w:trPr>
        <w:tc>
          <w:tcPr>
            <w:tcW w:w="3940" w:type="dxa"/>
            <w:vAlign w:val="bottom"/>
            <w:tcBorders>
              <w:bottom w:val="single" w:sz="8" w:color="CCEEFF"/>
            </w:tcBorders>
          </w:tcPr>
          <w:p>
            <w:pPr>
              <w:spacing w:after="0"/>
              <w:rPr>
                <w:sz w:val="15"/>
                <w:szCs w:val="15"/>
                <w:color w:val="auto"/>
              </w:rPr>
            </w:pPr>
          </w:p>
        </w:tc>
        <w:tc>
          <w:tcPr>
            <w:tcW w:w="106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4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4"/>
                <w:szCs w:val="14"/>
                <w:b w:val="1"/>
                <w:bCs w:val="1"/>
                <w:color w:val="auto"/>
              </w:rPr>
              <w:t>2023</w:t>
            </w:r>
          </w:p>
        </w:tc>
        <w:tc>
          <w:tcPr>
            <w:tcW w:w="5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Borders>
              <w:bottom w:val="single" w:sz="8" w:color="auto"/>
            </w:tcBorders>
          </w:tcPr>
          <w:p>
            <w:pPr>
              <w:spacing w:after="0"/>
              <w:rPr>
                <w:sz w:val="15"/>
                <w:szCs w:val="15"/>
                <w:color w:val="auto"/>
              </w:rPr>
            </w:pPr>
          </w:p>
        </w:tc>
      </w:tr>
      <w:tr>
        <w:trPr>
          <w:trHeight w:val="222"/>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Amortization expense</w:t>
            </w:r>
          </w:p>
        </w:tc>
        <w:tc>
          <w:tcPr>
            <w:tcW w:w="1060" w:type="dxa"/>
            <w:vAlign w:val="bottom"/>
            <w:shd w:val="clear" w:color="auto" w:fill="CCEEFF"/>
          </w:tcPr>
          <w:p>
            <w:pPr>
              <w:jc w:val="right"/>
              <w:ind w:right="884"/>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3,449</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61"/>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3,157</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844"/>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9,606</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821"/>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11,510</w:t>
            </w:r>
          </w:p>
        </w:tc>
      </w:tr>
    </w:tbl>
    <w:p>
      <w:pPr>
        <w:spacing w:after="0" w:line="30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Estimated future amortization expense related to finite-lived intangible assets as of September 30, 2024 was as follows:</w:t>
      </w:r>
    </w:p>
    <w:p>
      <w:pPr>
        <w:spacing w:after="0" w:line="295" w:lineRule="exact"/>
        <w:rPr>
          <w:sz w:val="20"/>
          <w:szCs w:val="20"/>
          <w:color w:val="auto"/>
        </w:rPr>
      </w:pPr>
    </w:p>
    <w:tbl>
      <w:tblPr>
        <w:tblLayout w:type="fixed"/>
        <w:tblInd w:w="1020" w:type="dxa"/>
        <w:tblCellMar>
          <w:top w:w="0" w:type="dxa"/>
          <w:left w:w="0" w:type="dxa"/>
          <w:bottom w:w="0" w:type="dxa"/>
          <w:right w:w="0" w:type="dxa"/>
        </w:tblCellMar>
      </w:tblPr>
      <w:tr>
        <w:trPr>
          <w:trHeight w:val="223"/>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2024 (October 1 - December 31)</w:t>
            </w:r>
          </w:p>
        </w:tc>
        <w:tc>
          <w:tcPr>
            <w:tcW w:w="420" w:type="dxa"/>
            <w:vAlign w:val="bottom"/>
            <w:shd w:val="clear" w:color="auto" w:fill="CCEEFF"/>
          </w:tcPr>
          <w:p>
            <w:pPr>
              <w:jc w:val="right"/>
              <w:ind w:right="233"/>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3,431</w:t>
            </w:r>
          </w:p>
        </w:tc>
      </w:tr>
      <w:tr>
        <w:trPr>
          <w:trHeight w:val="223"/>
        </w:trPr>
        <w:tc>
          <w:tcPr>
            <w:tcW w:w="5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2025</w:t>
            </w: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12,890</w:t>
            </w:r>
          </w:p>
        </w:tc>
      </w:tr>
      <w:tr>
        <w:trPr>
          <w:trHeight w:val="223"/>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4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12,548</w:t>
            </w:r>
          </w:p>
        </w:tc>
      </w:tr>
      <w:tr>
        <w:trPr>
          <w:trHeight w:val="223"/>
        </w:trPr>
        <w:tc>
          <w:tcPr>
            <w:tcW w:w="5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2027</w:t>
            </w: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11,505</w:t>
            </w:r>
          </w:p>
        </w:tc>
      </w:tr>
      <w:tr>
        <w:trPr>
          <w:trHeight w:val="223"/>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2028 and thereafter</w:t>
            </w:r>
          </w:p>
        </w:tc>
        <w:tc>
          <w:tcPr>
            <w:tcW w:w="4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10,017</w:t>
            </w:r>
          </w:p>
        </w:tc>
      </w:tr>
      <w:tr>
        <w:trPr>
          <w:trHeight w:val="216"/>
        </w:trPr>
        <w:tc>
          <w:tcPr>
            <w:tcW w:w="5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42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50,391</w:t>
            </w:r>
          </w:p>
        </w:tc>
      </w:tr>
      <w:tr>
        <w:trPr>
          <w:trHeight w:val="20"/>
        </w:trPr>
        <w:tc>
          <w:tcPr>
            <w:tcW w:w="54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EXLSERVICE HOLDINGS, INC.</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UNAUDITED CONSOLIDATED FINANCIAL STATEMENTS—(continued)</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September 30, 2024</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per share amount and share count)</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11. Other Current Assets</w:t>
      </w:r>
    </w:p>
    <w:p>
      <w:pPr>
        <w:spacing w:after="0" w:line="12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Other current assets consist of the following:</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15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360" w:type="dxa"/>
            <w:vAlign w:val="bottom"/>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5000" w:type="dxa"/>
            <w:vAlign w:val="bottom"/>
            <w:tcBorders>
              <w:bottom w:val="single" w:sz="8" w:color="CCEEFF"/>
            </w:tcBorders>
          </w:tcPr>
          <w:p>
            <w:pPr>
              <w:spacing w:after="0"/>
              <w:rPr>
                <w:sz w:val="15"/>
                <w:szCs w:val="15"/>
                <w:color w:val="auto"/>
              </w:rPr>
            </w:pPr>
          </w:p>
        </w:tc>
        <w:tc>
          <w:tcPr>
            <w:tcW w:w="17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1480" w:type="dxa"/>
            <w:vAlign w:val="bottom"/>
            <w:tcBorders>
              <w:top w:val="single" w:sz="8" w:color="auto"/>
              <w:bottom w:val="single" w:sz="8" w:color="auto"/>
            </w:tcBorders>
            <w:gridSpan w:val="2"/>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40" w:type="dxa"/>
            <w:vAlign w:val="bottom"/>
            <w:tcBorders>
              <w:top w:val="single" w:sz="8" w:color="auto"/>
              <w:bottom w:val="single" w:sz="8" w:color="auto"/>
            </w:tcBorders>
          </w:tcPr>
          <w:p>
            <w:pPr>
              <w:spacing w:after="0"/>
              <w:rPr>
                <w:sz w:val="15"/>
                <w:szCs w:val="15"/>
                <w:color w:val="auto"/>
              </w:rPr>
            </w:pPr>
          </w:p>
        </w:tc>
        <w:tc>
          <w:tcPr>
            <w:tcW w:w="20" w:type="dxa"/>
            <w:vAlign w:val="bottom"/>
            <w:tcBorders>
              <w:top w:val="single" w:sz="8" w:color="auto"/>
              <w:bottom w:val="single" w:sz="8" w:color="CCEEFF"/>
            </w:tcBorders>
          </w:tcPr>
          <w:p>
            <w:pPr>
              <w:spacing w:after="0"/>
              <w:rPr>
                <w:sz w:val="15"/>
                <w:szCs w:val="15"/>
                <w:color w:val="auto"/>
              </w:rPr>
            </w:pPr>
          </w:p>
        </w:tc>
        <w:tc>
          <w:tcPr>
            <w:tcW w:w="80" w:type="dxa"/>
            <w:vAlign w:val="bottom"/>
            <w:tcBorders>
              <w:top w:val="single" w:sz="8" w:color="auto"/>
              <w:bottom w:val="single" w:sz="8" w:color="CCEEFF"/>
            </w:tcBorders>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1580" w:type="dxa"/>
            <w:vAlign w:val="bottom"/>
            <w:tcBorders>
              <w:top w:val="single" w:sz="8" w:color="auto"/>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360" w:type="dxa"/>
            <w:vAlign w:val="bottom"/>
            <w:tcBorders>
              <w:right w:val="single" w:sz="8" w:color="CCEEFF"/>
            </w:tcBorders>
          </w:tcPr>
          <w:p>
            <w:pPr>
              <w:spacing w:after="0"/>
              <w:rPr>
                <w:sz w:val="19"/>
                <w:szCs w:val="19"/>
                <w:color w:val="auto"/>
              </w:rPr>
            </w:pPr>
          </w:p>
        </w:tc>
        <w:tc>
          <w:tcPr>
            <w:tcW w:w="5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Advance income tax, net</w:t>
            </w:r>
          </w:p>
        </w:tc>
        <w:tc>
          <w:tcPr>
            <w:tcW w:w="1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31,632</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center"/>
              <w:ind w:right="53"/>
              <w:spacing w:after="0"/>
              <w:rPr>
                <w:sz w:val="20"/>
                <w:szCs w:val="20"/>
                <w:color w:val="auto"/>
              </w:rPr>
            </w:pPr>
            <w:r>
              <w:rPr>
                <w:rFonts w:ascii="Times New Roman" w:cs="Times New Roman" w:eastAsia="Times New Roman" w:hAnsi="Times New Roman"/>
                <w:sz w:val="17"/>
                <w:szCs w:val="17"/>
                <w:color w:val="auto"/>
                <w:w w:val="93"/>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23,269</w:t>
            </w:r>
          </w:p>
        </w:tc>
        <w:tc>
          <w:tcPr>
            <w:tcW w:w="38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0" w:type="dxa"/>
            <w:vAlign w:val="bottom"/>
          </w:tcPr>
          <w:p>
            <w:pPr>
              <w:spacing w:after="0"/>
              <w:rPr>
                <w:sz w:val="19"/>
                <w:szCs w:val="19"/>
                <w:color w:val="auto"/>
              </w:rPr>
            </w:pPr>
          </w:p>
        </w:tc>
        <w:tc>
          <w:tcPr>
            <w:tcW w:w="51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Receivables from statutory authorities</w:t>
            </w:r>
          </w:p>
        </w:tc>
        <w:tc>
          <w:tcPr>
            <w:tcW w:w="1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21,854</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18,500</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0" w:type="dxa"/>
            <w:vAlign w:val="bottom"/>
            <w:tcBorders>
              <w:right w:val="single" w:sz="8" w:color="CCEEFF"/>
            </w:tcBorders>
          </w:tcPr>
          <w:p>
            <w:pPr>
              <w:spacing w:after="0"/>
              <w:rPr>
                <w:sz w:val="19"/>
                <w:szCs w:val="19"/>
                <w:color w:val="auto"/>
              </w:rPr>
            </w:pPr>
          </w:p>
        </w:tc>
        <w:tc>
          <w:tcPr>
            <w:tcW w:w="5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Prepaid expenses</w:t>
            </w:r>
          </w:p>
        </w:tc>
        <w:tc>
          <w:tcPr>
            <w:tcW w:w="1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18,179</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18,171</w:t>
            </w:r>
          </w:p>
        </w:tc>
        <w:tc>
          <w:tcPr>
            <w:tcW w:w="38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0" w:type="dxa"/>
            <w:vAlign w:val="bottom"/>
          </w:tcPr>
          <w:p>
            <w:pPr>
              <w:spacing w:after="0"/>
              <w:rPr>
                <w:sz w:val="19"/>
                <w:szCs w:val="19"/>
                <w:color w:val="auto"/>
              </w:rPr>
            </w:pPr>
          </w:p>
        </w:tc>
        <w:tc>
          <w:tcPr>
            <w:tcW w:w="51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Derivative instruments</w:t>
            </w:r>
          </w:p>
        </w:tc>
        <w:tc>
          <w:tcPr>
            <w:tcW w:w="1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8,492</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4,308</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0" w:type="dxa"/>
            <w:vAlign w:val="bottom"/>
            <w:tcBorders>
              <w:right w:val="single" w:sz="8" w:color="CCEEFF"/>
            </w:tcBorders>
          </w:tcPr>
          <w:p>
            <w:pPr>
              <w:spacing w:after="0"/>
              <w:rPr>
                <w:sz w:val="19"/>
                <w:szCs w:val="19"/>
                <w:color w:val="auto"/>
              </w:rPr>
            </w:pPr>
          </w:p>
        </w:tc>
        <w:tc>
          <w:tcPr>
            <w:tcW w:w="5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Deferred contract fulfillment costs</w:t>
            </w:r>
          </w:p>
        </w:tc>
        <w:tc>
          <w:tcPr>
            <w:tcW w:w="1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4,208</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3,303</w:t>
            </w:r>
          </w:p>
        </w:tc>
        <w:tc>
          <w:tcPr>
            <w:tcW w:w="38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0" w:type="dxa"/>
            <w:vAlign w:val="bottom"/>
          </w:tcPr>
          <w:p>
            <w:pPr>
              <w:spacing w:after="0"/>
              <w:rPr>
                <w:sz w:val="19"/>
                <w:szCs w:val="19"/>
                <w:color w:val="auto"/>
              </w:rPr>
            </w:pPr>
          </w:p>
        </w:tc>
        <w:tc>
          <w:tcPr>
            <w:tcW w:w="51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Advances to suppliers</w:t>
            </w:r>
          </w:p>
        </w:tc>
        <w:tc>
          <w:tcPr>
            <w:tcW w:w="1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3,149</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1,883</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0" w:type="dxa"/>
            <w:vAlign w:val="bottom"/>
            <w:tcBorders>
              <w:right w:val="single" w:sz="8" w:color="CCEEFF"/>
            </w:tcBorders>
          </w:tcPr>
          <w:p>
            <w:pPr>
              <w:spacing w:after="0"/>
              <w:rPr>
                <w:sz w:val="19"/>
                <w:szCs w:val="19"/>
                <w:color w:val="auto"/>
              </w:rPr>
            </w:pPr>
          </w:p>
        </w:tc>
        <w:tc>
          <w:tcPr>
            <w:tcW w:w="5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Contract assets</w:t>
            </w:r>
          </w:p>
        </w:tc>
        <w:tc>
          <w:tcPr>
            <w:tcW w:w="1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2,465</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2,830</w:t>
            </w:r>
          </w:p>
        </w:tc>
        <w:tc>
          <w:tcPr>
            <w:tcW w:w="38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0" w:type="dxa"/>
            <w:vAlign w:val="bottom"/>
          </w:tcPr>
          <w:p>
            <w:pPr>
              <w:spacing w:after="0"/>
              <w:rPr>
                <w:sz w:val="19"/>
                <w:szCs w:val="19"/>
                <w:color w:val="auto"/>
              </w:rPr>
            </w:pPr>
          </w:p>
        </w:tc>
        <w:tc>
          <w:tcPr>
            <w:tcW w:w="51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7"/>
                <w:szCs w:val="17"/>
                <w:color w:val="auto"/>
              </w:rPr>
              <w:t>Others</w:t>
            </w:r>
          </w:p>
        </w:tc>
        <w:tc>
          <w:tcPr>
            <w:tcW w:w="17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3,714</w:t>
            </w:r>
          </w:p>
        </w:tc>
        <w:tc>
          <w:tcPr>
            <w:tcW w:w="40" w:type="dxa"/>
            <w:vAlign w:val="bottom"/>
            <w:tcBorders>
              <w:bottom w:val="single" w:sz="8" w:color="auto"/>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4,405</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60" w:type="dxa"/>
            <w:vAlign w:val="bottom"/>
            <w:tcBorders>
              <w:right w:val="single" w:sz="8" w:color="CCEEFF"/>
            </w:tcBorders>
          </w:tcPr>
          <w:p>
            <w:pPr>
              <w:spacing w:after="0"/>
              <w:rPr>
                <w:sz w:val="18"/>
                <w:szCs w:val="18"/>
                <w:color w:val="auto"/>
              </w:rPr>
            </w:pPr>
          </w:p>
        </w:tc>
        <w:tc>
          <w:tcPr>
            <w:tcW w:w="51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current assets</w:t>
            </w:r>
          </w:p>
        </w:tc>
        <w:tc>
          <w:tcPr>
            <w:tcW w:w="17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93,693</w:t>
            </w:r>
          </w:p>
        </w:tc>
        <w:tc>
          <w:tcPr>
            <w:tcW w:w="4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gridSpan w:val="2"/>
            <w:shd w:val="clear" w:color="auto" w:fill="CCEEFF"/>
          </w:tcPr>
          <w:p>
            <w:pPr>
              <w:jc w:val="center"/>
              <w:ind w:right="53"/>
              <w:spacing w:after="0"/>
              <w:rPr>
                <w:sz w:val="20"/>
                <w:szCs w:val="20"/>
                <w:color w:val="auto"/>
              </w:rPr>
            </w:pPr>
            <w:r>
              <w:rPr>
                <w:rFonts w:ascii="Times New Roman" w:cs="Times New Roman" w:eastAsia="Times New Roman" w:hAnsi="Times New Roman"/>
                <w:sz w:val="17"/>
                <w:szCs w:val="17"/>
                <w:color w:val="auto"/>
                <w:w w:val="93"/>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76,669</w:t>
            </w:r>
          </w:p>
        </w:tc>
        <w:tc>
          <w:tcPr>
            <w:tcW w:w="38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0" w:type="dxa"/>
            <w:vAlign w:val="bottom"/>
            <w:tcBorders>
              <w:right w:val="single" w:sz="8" w:color="CCEEFF"/>
            </w:tcBorders>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000" w:type="dxa"/>
            <w:vAlign w:val="bottom"/>
            <w:shd w:val="clear" w:color="auto" w:fill="CCEEFF"/>
          </w:tcPr>
          <w:p>
            <w:pPr>
              <w:spacing w:after="0" w:line="20" w:lineRule="exact"/>
              <w:rPr>
                <w:sz w:val="1"/>
                <w:szCs w:val="1"/>
                <w:color w:val="auto"/>
              </w:rPr>
            </w:pPr>
          </w:p>
        </w:tc>
        <w:tc>
          <w:tcPr>
            <w:tcW w:w="17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3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580" w:type="dxa"/>
            <w:vAlign w:val="bottom"/>
            <w:shd w:val="clear" w:color="auto" w:fill="CCEEFF"/>
          </w:tcPr>
          <w:p>
            <w:pPr>
              <w:spacing w:after="0" w:line="20" w:lineRule="exact"/>
              <w:rPr>
                <w:sz w:val="1"/>
                <w:szCs w:val="1"/>
                <w:color w:val="auto"/>
              </w:rPr>
            </w:pPr>
          </w:p>
        </w:tc>
        <w:tc>
          <w:tcPr>
            <w:tcW w:w="380" w:type="dxa"/>
            <w:vAlign w:val="bottom"/>
            <w:tcBorders>
              <w:left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4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b w:val="1"/>
                <w:bCs w:val="1"/>
                <w:color w:val="auto"/>
              </w:rPr>
              <w:t>12. Other Assets</w:t>
            </w:r>
          </w:p>
        </w:tc>
        <w:tc>
          <w:tcPr>
            <w:tcW w:w="1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5460" w:type="dxa"/>
            <w:vAlign w:val="bottom"/>
            <w:gridSpan w:val="3"/>
            <w:vMerge w:val="continue"/>
          </w:tcPr>
          <w:p>
            <w:pPr>
              <w:spacing w:after="0"/>
              <w:rPr>
                <w:sz w:val="24"/>
                <w:szCs w:val="24"/>
                <w:color w:val="auto"/>
              </w:rPr>
            </w:pPr>
          </w:p>
        </w:tc>
        <w:tc>
          <w:tcPr>
            <w:tcW w:w="1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360" w:type="dxa"/>
            <w:vAlign w:val="bottom"/>
          </w:tcPr>
          <w:p>
            <w:pPr>
              <w:spacing w:after="0"/>
              <w:rPr>
                <w:sz w:val="24"/>
                <w:szCs w:val="24"/>
                <w:color w:val="auto"/>
              </w:rPr>
            </w:pPr>
          </w:p>
        </w:tc>
        <w:tc>
          <w:tcPr>
            <w:tcW w:w="510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Other assets consist of the following:</w:t>
            </w:r>
          </w:p>
        </w:tc>
        <w:tc>
          <w:tcPr>
            <w:tcW w:w="1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7"/>
        </w:trPr>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500" w:type="dxa"/>
            <w:vAlign w:val="bottom"/>
            <w:gridSpan w:val="6"/>
          </w:tcPr>
          <w:p>
            <w:pPr>
              <w:ind w:left="8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480" w:type="dxa"/>
            <w:vAlign w:val="bottom"/>
            <w:tcBorders>
              <w:top w:val="single" w:sz="8" w:color="auto"/>
            </w:tcBorders>
            <w:gridSpan w:val="2"/>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w w:val="97"/>
              </w:rPr>
              <w:t>September 30, 2024</w:t>
            </w:r>
          </w:p>
        </w:tc>
        <w:tc>
          <w:tcPr>
            <w:tcW w:w="4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580" w:type="dxa"/>
            <w:vAlign w:val="bottom"/>
            <w:tcBorders>
              <w:top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Deferred contract fulfillment costs</w:t>
            </w:r>
          </w:p>
        </w:tc>
        <w:tc>
          <w:tcPr>
            <w:tcW w:w="17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 w:type="dxa"/>
            <w:vAlign w:val="bottom"/>
            <w:tcBorders>
              <w:top w:val="single" w:sz="8" w:color="auto"/>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29,013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w w:val="93"/>
              </w:rPr>
              <w:t>$</w:t>
            </w:r>
          </w:p>
        </w:tc>
        <w:tc>
          <w:tcPr>
            <w:tcW w:w="2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21,370</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Deposits with statutory authorities</w:t>
            </w:r>
          </w:p>
        </w:tc>
        <w:tc>
          <w:tcPr>
            <w:tcW w:w="1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7,446</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6,960</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Lease deposits</w:t>
            </w:r>
          </w:p>
        </w:tc>
        <w:tc>
          <w:tcPr>
            <w:tcW w:w="1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6,505</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5,159</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Derivative instruments</w:t>
            </w:r>
          </w:p>
        </w:tc>
        <w:tc>
          <w:tcPr>
            <w:tcW w:w="1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4,720</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3,299</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Contract assets</w:t>
            </w:r>
          </w:p>
        </w:tc>
        <w:tc>
          <w:tcPr>
            <w:tcW w:w="1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3,618</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6,835</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Others</w:t>
            </w:r>
          </w:p>
        </w:tc>
        <w:tc>
          <w:tcPr>
            <w:tcW w:w="17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5,811</w:t>
            </w:r>
          </w:p>
        </w:tc>
        <w:tc>
          <w:tcPr>
            <w:tcW w:w="10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5,901</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assets</w:t>
            </w:r>
          </w:p>
        </w:tc>
        <w:tc>
          <w:tcPr>
            <w:tcW w:w="17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57,113</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w w:val="93"/>
              </w:rPr>
              <w:t>$</w:t>
            </w:r>
          </w:p>
        </w:tc>
        <w:tc>
          <w:tcPr>
            <w:tcW w:w="2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49,524</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0" w:type="dxa"/>
            <w:vAlign w:val="bottom"/>
            <w:shd w:val="clear" w:color="auto" w:fill="CCEEFF"/>
          </w:tcPr>
          <w:p>
            <w:pPr>
              <w:spacing w:after="0" w:line="20" w:lineRule="exact"/>
              <w:rPr>
                <w:sz w:val="1"/>
                <w:szCs w:val="1"/>
                <w:color w:val="auto"/>
              </w:rPr>
            </w:pPr>
          </w:p>
        </w:tc>
        <w:tc>
          <w:tcPr>
            <w:tcW w:w="17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3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580" w:type="dxa"/>
            <w:vAlign w:val="bottom"/>
            <w:shd w:val="clear" w:color="auto" w:fill="CCEE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4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b w:val="1"/>
                <w:bCs w:val="1"/>
                <w:color w:val="auto"/>
              </w:rPr>
              <w:t>13. Accrued Expenses and Other Current Liabilities</w:t>
            </w:r>
          </w:p>
        </w:tc>
        <w:tc>
          <w:tcPr>
            <w:tcW w:w="17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8"/>
        </w:trPr>
        <w:tc>
          <w:tcPr>
            <w:tcW w:w="5460" w:type="dxa"/>
            <w:vAlign w:val="bottom"/>
            <w:gridSpan w:val="3"/>
            <w:vMerge w:val="continue"/>
          </w:tcPr>
          <w:p>
            <w:pPr>
              <w:spacing w:after="0"/>
              <w:rPr>
                <w:sz w:val="24"/>
                <w:szCs w:val="24"/>
                <w:color w:val="auto"/>
              </w:rPr>
            </w:pPr>
          </w:p>
        </w:tc>
        <w:tc>
          <w:tcPr>
            <w:tcW w:w="1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360" w:type="dxa"/>
            <w:vAlign w:val="bottom"/>
          </w:tcPr>
          <w:p>
            <w:pPr>
              <w:spacing w:after="0"/>
              <w:rPr>
                <w:sz w:val="24"/>
                <w:szCs w:val="24"/>
                <w:color w:val="auto"/>
              </w:rPr>
            </w:pPr>
          </w:p>
        </w:tc>
        <w:tc>
          <w:tcPr>
            <w:tcW w:w="510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Accrued expenses and other current liabilities consist of the following:</w:t>
            </w:r>
          </w:p>
        </w:tc>
        <w:tc>
          <w:tcPr>
            <w:tcW w:w="1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1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360" w:type="dxa"/>
            <w:vAlign w:val="bottom"/>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5000" w:type="dxa"/>
            <w:vAlign w:val="bottom"/>
            <w:tcBorders>
              <w:bottom w:val="single" w:sz="8" w:color="CCEEFF"/>
            </w:tcBorders>
          </w:tcPr>
          <w:p>
            <w:pPr>
              <w:spacing w:after="0"/>
              <w:rPr>
                <w:sz w:val="15"/>
                <w:szCs w:val="15"/>
                <w:color w:val="auto"/>
              </w:rPr>
            </w:pPr>
          </w:p>
        </w:tc>
        <w:tc>
          <w:tcPr>
            <w:tcW w:w="17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1480" w:type="dxa"/>
            <w:vAlign w:val="bottom"/>
            <w:tcBorders>
              <w:top w:val="single" w:sz="8" w:color="auto"/>
              <w:bottom w:val="single" w:sz="8" w:color="auto"/>
            </w:tcBorders>
            <w:gridSpan w:val="2"/>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40" w:type="dxa"/>
            <w:vAlign w:val="bottom"/>
            <w:tcBorders>
              <w:top w:val="single" w:sz="8" w:color="auto"/>
              <w:bottom w:val="single" w:sz="8" w:color="auto"/>
            </w:tcBorders>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80" w:type="dxa"/>
            <w:vAlign w:val="bottom"/>
            <w:tcBorders>
              <w:top w:val="single" w:sz="8" w:color="auto"/>
              <w:bottom w:val="single" w:sz="8" w:color="CCEEFF"/>
            </w:tcBorders>
          </w:tcPr>
          <w:p>
            <w:pPr>
              <w:spacing w:after="0"/>
              <w:rPr>
                <w:sz w:val="15"/>
                <w:szCs w:val="15"/>
                <w:color w:val="auto"/>
              </w:rPr>
            </w:pPr>
          </w:p>
        </w:tc>
        <w:tc>
          <w:tcPr>
            <w:tcW w:w="20" w:type="dxa"/>
            <w:vAlign w:val="bottom"/>
            <w:tcBorders>
              <w:top w:val="single" w:sz="8" w:color="auto"/>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1580" w:type="dxa"/>
            <w:vAlign w:val="bottom"/>
            <w:tcBorders>
              <w:top w:val="single" w:sz="8" w:color="auto"/>
              <w:bottom w:val="single" w:sz="8" w:color="auto"/>
            </w:tcBorders>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360" w:type="dxa"/>
            <w:vAlign w:val="bottom"/>
          </w:tcPr>
          <w:p>
            <w:pPr>
              <w:spacing w:after="0"/>
              <w:rPr>
                <w:sz w:val="19"/>
                <w:szCs w:val="19"/>
                <w:color w:val="auto"/>
              </w:rPr>
            </w:pPr>
          </w:p>
        </w:tc>
        <w:tc>
          <w:tcPr>
            <w:tcW w:w="5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Accrued expenses</w:t>
            </w:r>
          </w:p>
        </w:tc>
        <w:tc>
          <w:tcPr>
            <w:tcW w:w="1820" w:type="dxa"/>
            <w:vAlign w:val="bottom"/>
            <w:gridSpan w:val="3"/>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62,552</w:t>
            </w:r>
          </w:p>
        </w:tc>
        <w:tc>
          <w:tcPr>
            <w:tcW w:w="60" w:type="dxa"/>
            <w:vAlign w:val="bottom"/>
            <w:gridSpan w:val="2"/>
            <w:shd w:val="clear" w:color="auto" w:fill="CCEEFF"/>
          </w:tcPr>
          <w:p>
            <w:pPr>
              <w:spacing w:after="0"/>
              <w:rPr>
                <w:sz w:val="19"/>
                <w:szCs w:val="19"/>
                <w:color w:val="auto"/>
              </w:rPr>
            </w:pPr>
          </w:p>
        </w:tc>
        <w:tc>
          <w:tcPr>
            <w:tcW w:w="100" w:type="dxa"/>
            <w:vAlign w:val="bottom"/>
            <w:gridSpan w:val="2"/>
            <w:shd w:val="clear" w:color="auto" w:fill="CCEEFF"/>
          </w:tcPr>
          <w:p>
            <w:pPr>
              <w:spacing w:after="0"/>
              <w:rPr>
                <w:sz w:val="19"/>
                <w:szCs w:val="19"/>
                <w:color w:val="auto"/>
              </w:rPr>
            </w:pPr>
          </w:p>
        </w:tc>
        <w:tc>
          <w:tcPr>
            <w:tcW w:w="240" w:type="dxa"/>
            <w:vAlign w:val="bottom"/>
            <w:shd w:val="clear" w:color="auto" w:fill="CCEEFF"/>
          </w:tcPr>
          <w:p>
            <w:pPr>
              <w:jc w:val="center"/>
              <w:ind w:right="33"/>
              <w:spacing w:after="0"/>
              <w:rPr>
                <w:sz w:val="20"/>
                <w:szCs w:val="20"/>
                <w:color w:val="auto"/>
              </w:rPr>
            </w:pPr>
            <w:r>
              <w:rPr>
                <w:rFonts w:ascii="Times New Roman" w:cs="Times New Roman" w:eastAsia="Times New Roman" w:hAnsi="Times New Roman"/>
                <w:sz w:val="17"/>
                <w:szCs w:val="17"/>
                <w:color w:val="auto"/>
                <w:w w:val="93"/>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58,736</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0" w:type="dxa"/>
            <w:vAlign w:val="bottom"/>
          </w:tcPr>
          <w:p>
            <w:pPr>
              <w:spacing w:after="0"/>
              <w:rPr>
                <w:sz w:val="19"/>
                <w:szCs w:val="19"/>
                <w:color w:val="auto"/>
              </w:rPr>
            </w:pPr>
          </w:p>
        </w:tc>
        <w:tc>
          <w:tcPr>
            <w:tcW w:w="51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Payable to statutory authorities</w:t>
            </w:r>
          </w:p>
        </w:tc>
        <w:tc>
          <w:tcPr>
            <w:tcW w:w="1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23,443</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20,591</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0" w:type="dxa"/>
            <w:vAlign w:val="bottom"/>
          </w:tcPr>
          <w:p>
            <w:pPr>
              <w:spacing w:after="0"/>
              <w:rPr>
                <w:sz w:val="19"/>
                <w:szCs w:val="19"/>
                <w:color w:val="auto"/>
              </w:rPr>
            </w:pPr>
          </w:p>
        </w:tc>
        <w:tc>
          <w:tcPr>
            <w:tcW w:w="5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Client liabilities</w:t>
            </w:r>
          </w:p>
        </w:tc>
        <w:tc>
          <w:tcPr>
            <w:tcW w:w="1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7,105</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6,909</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0" w:type="dxa"/>
            <w:vAlign w:val="bottom"/>
          </w:tcPr>
          <w:p>
            <w:pPr>
              <w:spacing w:after="0"/>
              <w:rPr>
                <w:sz w:val="19"/>
                <w:szCs w:val="19"/>
                <w:color w:val="auto"/>
              </w:rPr>
            </w:pPr>
          </w:p>
        </w:tc>
        <w:tc>
          <w:tcPr>
            <w:tcW w:w="51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Contingent consideration</w:t>
            </w:r>
          </w:p>
        </w:tc>
        <w:tc>
          <w:tcPr>
            <w:tcW w:w="1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2,800</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15,000</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0" w:type="dxa"/>
            <w:vAlign w:val="bottom"/>
          </w:tcPr>
          <w:p>
            <w:pPr>
              <w:spacing w:after="0"/>
              <w:rPr>
                <w:sz w:val="19"/>
                <w:szCs w:val="19"/>
                <w:color w:val="auto"/>
              </w:rPr>
            </w:pPr>
          </w:p>
        </w:tc>
        <w:tc>
          <w:tcPr>
            <w:tcW w:w="5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Accrued capital expenditures</w:t>
            </w:r>
          </w:p>
        </w:tc>
        <w:tc>
          <w:tcPr>
            <w:tcW w:w="1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2,791</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4,134</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0" w:type="dxa"/>
            <w:vAlign w:val="bottom"/>
          </w:tcPr>
          <w:p>
            <w:pPr>
              <w:spacing w:after="0"/>
              <w:rPr>
                <w:sz w:val="19"/>
                <w:szCs w:val="19"/>
                <w:color w:val="auto"/>
              </w:rPr>
            </w:pPr>
          </w:p>
        </w:tc>
        <w:tc>
          <w:tcPr>
            <w:tcW w:w="51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Income taxes payable, net</w:t>
            </w:r>
          </w:p>
        </w:tc>
        <w:tc>
          <w:tcPr>
            <w:tcW w:w="1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1,249</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1,213</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0" w:type="dxa"/>
            <w:vAlign w:val="bottom"/>
          </w:tcPr>
          <w:p>
            <w:pPr>
              <w:spacing w:after="0"/>
              <w:rPr>
                <w:sz w:val="19"/>
                <w:szCs w:val="19"/>
                <w:color w:val="auto"/>
              </w:rPr>
            </w:pPr>
          </w:p>
        </w:tc>
        <w:tc>
          <w:tcPr>
            <w:tcW w:w="5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Derivative instruments</w:t>
            </w:r>
          </w:p>
        </w:tc>
        <w:tc>
          <w:tcPr>
            <w:tcW w:w="1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991</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2,009</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0" w:type="dxa"/>
            <w:vAlign w:val="bottom"/>
          </w:tcPr>
          <w:p>
            <w:pPr>
              <w:spacing w:after="0"/>
              <w:rPr>
                <w:sz w:val="19"/>
                <w:szCs w:val="19"/>
                <w:color w:val="auto"/>
              </w:rPr>
            </w:pPr>
          </w:p>
        </w:tc>
        <w:tc>
          <w:tcPr>
            <w:tcW w:w="51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Others</w:t>
            </w:r>
          </w:p>
        </w:tc>
        <w:tc>
          <w:tcPr>
            <w:tcW w:w="17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4,228</w:t>
            </w:r>
          </w:p>
        </w:tc>
        <w:tc>
          <w:tcPr>
            <w:tcW w:w="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5,521</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60" w:type="dxa"/>
            <w:vAlign w:val="bottom"/>
          </w:tcPr>
          <w:p>
            <w:pPr>
              <w:spacing w:after="0"/>
              <w:rPr>
                <w:sz w:val="20"/>
                <w:szCs w:val="20"/>
                <w:color w:val="auto"/>
              </w:rPr>
            </w:pPr>
          </w:p>
        </w:tc>
        <w:tc>
          <w:tcPr>
            <w:tcW w:w="51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Accrued expenses and other current liabilities</w:t>
            </w:r>
          </w:p>
        </w:tc>
        <w:tc>
          <w:tcPr>
            <w:tcW w:w="1820" w:type="dxa"/>
            <w:vAlign w:val="bottom"/>
            <w:tcBorders>
              <w:bottom w:val="single" w:sz="8" w:color="CCEEFF"/>
            </w:tcBorders>
            <w:gridSpan w:val="3"/>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105,159</w:t>
            </w:r>
          </w:p>
        </w:tc>
        <w:tc>
          <w:tcPr>
            <w:tcW w:w="60" w:type="dxa"/>
            <w:vAlign w:val="bottom"/>
            <w:tcBorders>
              <w:bottom w:val="single" w:sz="8" w:color="auto"/>
            </w:tcBorders>
            <w:gridSpan w:val="2"/>
            <w:shd w:val="clear" w:color="auto" w:fill="CCEEFF"/>
          </w:tcPr>
          <w:p>
            <w:pPr>
              <w:spacing w:after="0"/>
              <w:rPr>
                <w:sz w:val="20"/>
                <w:szCs w:val="20"/>
                <w:color w:val="auto"/>
              </w:rPr>
            </w:pPr>
          </w:p>
        </w:tc>
        <w:tc>
          <w:tcPr>
            <w:tcW w:w="100" w:type="dxa"/>
            <w:vAlign w:val="bottom"/>
            <w:tcBorders>
              <w:bottom w:val="single" w:sz="8" w:color="CCEEFF"/>
            </w:tcBorders>
            <w:gridSpan w:val="2"/>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center"/>
              <w:ind w:right="33"/>
              <w:spacing w:after="0"/>
              <w:rPr>
                <w:sz w:val="20"/>
                <w:szCs w:val="20"/>
                <w:color w:val="auto"/>
              </w:rPr>
            </w:pPr>
            <w:r>
              <w:rPr>
                <w:rFonts w:ascii="Times New Roman" w:cs="Times New Roman" w:eastAsia="Times New Roman" w:hAnsi="Times New Roman"/>
                <w:sz w:val="17"/>
                <w:szCs w:val="17"/>
                <w:color w:val="auto"/>
                <w:w w:val="93"/>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114,113</w:t>
            </w: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bottom w:val="single" w:sz="8" w:color="CCEEFF"/>
            </w:tcBorders>
            <w:vMerge w:val="restart"/>
          </w:tcPr>
          <w:p>
            <w:pPr>
              <w:jc w:val="right"/>
              <w:ind w:right="1373"/>
              <w:spacing w:after="0"/>
              <w:rPr>
                <w:sz w:val="20"/>
                <w:szCs w:val="20"/>
                <w:color w:val="auto"/>
              </w:rPr>
            </w:pPr>
            <w:r>
              <w:rPr>
                <w:rFonts w:ascii="Times New Roman" w:cs="Times New Roman" w:eastAsia="Times New Roman" w:hAnsi="Times New Roman"/>
                <w:sz w:val="17"/>
                <w:szCs w:val="17"/>
                <w:color w:val="auto"/>
              </w:rPr>
              <w:t>20</w:t>
            </w: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1"/>
        </w:trPr>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172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3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5000" w:type="dxa"/>
            <w:vAlign w:val="bottom"/>
            <w:tcBorders>
              <w:bottom w:val="single" w:sz="8" w:color="9A9A9A"/>
            </w:tcBorders>
          </w:tcPr>
          <w:p>
            <w:pPr>
              <w:spacing w:after="0"/>
              <w:rPr>
                <w:sz w:val="9"/>
                <w:szCs w:val="9"/>
                <w:color w:val="auto"/>
              </w:rPr>
            </w:pPr>
          </w:p>
        </w:tc>
        <w:tc>
          <w:tcPr>
            <w:tcW w:w="17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3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58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EXLSERVICE HOLDINGS, INC.</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UNAUDITED CONSOLIDATED FINANCIAL STATEMENTS—(continued)</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September 30, 2024</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per share amount and share count)</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14. Other Non-Current Liabilities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Other non-current liabilities consist of the following:</w:t>
      </w:r>
    </w:p>
    <w:p>
      <w:pPr>
        <w:spacing w:after="0" w:line="139" w:lineRule="exact"/>
        <w:rPr>
          <w:sz w:val="20"/>
          <w:szCs w:val="20"/>
          <w:color w:val="auto"/>
        </w:rPr>
      </w:pPr>
    </w:p>
    <w:tbl>
      <w:tblPr>
        <w:tblLayout w:type="fixed"/>
        <w:tblInd w:w="460" w:type="dxa"/>
        <w:tblCellMar>
          <w:top w:w="0" w:type="dxa"/>
          <w:left w:w="0" w:type="dxa"/>
          <w:bottom w:w="0" w:type="dxa"/>
          <w:right w:w="0" w:type="dxa"/>
        </w:tblCellMar>
      </w:tblPr>
      <w:tr>
        <w:trPr>
          <w:trHeight w:val="185"/>
        </w:trPr>
        <w:tc>
          <w:tcPr>
            <w:tcW w:w="6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480" w:type="dxa"/>
            <w:vAlign w:val="bottom"/>
          </w:tcPr>
          <w:p>
            <w:pPr>
              <w:spacing w:after="0"/>
              <w:rPr>
                <w:sz w:val="16"/>
                <w:szCs w:val="16"/>
                <w:color w:val="auto"/>
              </w:rPr>
            </w:pPr>
          </w:p>
        </w:tc>
      </w:tr>
      <w:tr>
        <w:trPr>
          <w:trHeight w:val="24"/>
        </w:trPr>
        <w:tc>
          <w:tcPr>
            <w:tcW w:w="69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184"/>
        </w:trPr>
        <w:tc>
          <w:tcPr>
            <w:tcW w:w="6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80" w:type="dxa"/>
            <w:vAlign w:val="bottom"/>
          </w:tcPr>
          <w:p>
            <w:pPr>
              <w:spacing w:after="0"/>
              <w:rPr>
                <w:sz w:val="15"/>
                <w:szCs w:val="15"/>
                <w:color w:val="auto"/>
              </w:rPr>
            </w:pPr>
          </w:p>
        </w:tc>
        <w:tc>
          <w:tcPr>
            <w:tcW w:w="1480" w:type="dxa"/>
            <w:vAlign w:val="bottom"/>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22"/>
        </w:trPr>
        <w:tc>
          <w:tcPr>
            <w:tcW w:w="69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Retirement benefits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17,185</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16,666</w:t>
            </w:r>
          </w:p>
        </w:tc>
      </w:tr>
      <w:tr>
        <w:trPr>
          <w:trHeight w:val="223"/>
        </w:trPr>
        <w:tc>
          <w:tcPr>
            <w:tcW w:w="6920" w:type="dxa"/>
            <w:vAlign w:val="bottom"/>
          </w:tcPr>
          <w:p>
            <w:pPr>
              <w:spacing w:after="0"/>
              <w:rPr>
                <w:sz w:val="20"/>
                <w:szCs w:val="20"/>
                <w:color w:val="auto"/>
              </w:rPr>
            </w:pPr>
            <w:r>
              <w:rPr>
                <w:rFonts w:ascii="Times New Roman" w:cs="Times New Roman" w:eastAsia="Times New Roman" w:hAnsi="Times New Roman"/>
                <w:sz w:val="17"/>
                <w:szCs w:val="17"/>
                <w:color w:val="auto"/>
              </w:rPr>
              <w:t>Deferred transition revenue</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15,645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10,195</w:t>
            </w:r>
          </w:p>
        </w:tc>
      </w:tr>
      <w:tr>
        <w:trPr>
          <w:trHeight w:val="223"/>
        </w:trPr>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Contingent consideration</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589</w:t>
            </w:r>
          </w:p>
        </w:tc>
      </w:tr>
      <w:tr>
        <w:trPr>
          <w:trHeight w:val="223"/>
        </w:trPr>
        <w:tc>
          <w:tcPr>
            <w:tcW w:w="6920" w:type="dxa"/>
            <w:vAlign w:val="bottom"/>
          </w:tcPr>
          <w:p>
            <w:pPr>
              <w:spacing w:after="0"/>
              <w:rPr>
                <w:sz w:val="20"/>
                <w:szCs w:val="20"/>
                <w:color w:val="auto"/>
              </w:rPr>
            </w:pPr>
            <w:r>
              <w:rPr>
                <w:rFonts w:ascii="Times New Roman" w:cs="Times New Roman" w:eastAsia="Times New Roman" w:hAnsi="Times New Roman"/>
                <w:sz w:val="17"/>
                <w:szCs w:val="17"/>
                <w:color w:val="auto"/>
              </w:rPr>
              <w:t>Unrecognized tax benefits</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1,580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1,262</w:t>
            </w:r>
          </w:p>
        </w:tc>
      </w:tr>
      <w:tr>
        <w:trPr>
          <w:trHeight w:val="223"/>
        </w:trPr>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Derivative instruments</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216</w:t>
            </w:r>
          </w:p>
        </w:tc>
      </w:tr>
      <w:tr>
        <w:trPr>
          <w:trHeight w:val="223"/>
        </w:trPr>
        <w:tc>
          <w:tcPr>
            <w:tcW w:w="69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Others</w:t>
            </w: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2,861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2,534</w:t>
            </w:r>
          </w:p>
        </w:tc>
      </w:tr>
      <w:tr>
        <w:trPr>
          <w:trHeight w:val="241"/>
        </w:trPr>
        <w:tc>
          <w:tcPr>
            <w:tcW w:w="6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non-current liabilities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42,675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31,462</w:t>
            </w:r>
          </w:p>
        </w:tc>
      </w:tr>
      <w:tr>
        <w:trPr>
          <w:trHeight w:val="20"/>
        </w:trPr>
        <w:tc>
          <w:tcPr>
            <w:tcW w:w="69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15. Accumulated Other Comprehensive Income/(Loss)</w:t>
      </w:r>
    </w:p>
    <w:p>
      <w:pPr>
        <w:spacing w:after="0" w:line="239" w:lineRule="exact"/>
        <w:rPr>
          <w:sz w:val="20"/>
          <w:szCs w:val="20"/>
          <w:color w:val="auto"/>
        </w:rPr>
      </w:pPr>
    </w:p>
    <w:p>
      <w:pPr>
        <w:jc w:val="both"/>
        <w:ind w:firstLine="393"/>
        <w:spacing w:after="0" w:line="247" w:lineRule="auto"/>
        <w:rPr>
          <w:sz w:val="20"/>
          <w:szCs w:val="20"/>
          <w:color w:val="auto"/>
        </w:rPr>
      </w:pPr>
      <w:r>
        <w:rPr>
          <w:rFonts w:ascii="Times New Roman" w:cs="Times New Roman" w:eastAsia="Times New Roman" w:hAnsi="Times New Roman"/>
          <w:sz w:val="17"/>
          <w:szCs w:val="17"/>
          <w:color w:val="auto"/>
        </w:rPr>
        <w:t xml:space="preserve">Accumulated other comprehensive income/(loss) (“AOCI”) consists of actuarial gain/(loss) on retirement benefits and foreign currency translation adjustments. In addition, the Company enters into foreign currency forward contracts and interest rate swaps, which are designated as cash flow hedges and net investment hedges, as applicable, in accordance with ASC Topic 815, </w:t>
      </w:r>
      <w:r>
        <w:rPr>
          <w:rFonts w:ascii="Times New Roman" w:cs="Times New Roman" w:eastAsia="Times New Roman" w:hAnsi="Times New Roman"/>
          <w:sz w:val="17"/>
          <w:szCs w:val="17"/>
          <w:i w:val="1"/>
          <w:iCs w:val="1"/>
          <w:color w:val="auto"/>
        </w:rPr>
        <w:t>Derivatives and Hedging</w:t>
      </w:r>
      <w:r>
        <w:rPr>
          <w:rFonts w:ascii="Times New Roman" w:cs="Times New Roman" w:eastAsia="Times New Roman" w:hAnsi="Times New Roman"/>
          <w:sz w:val="17"/>
          <w:szCs w:val="17"/>
          <w:color w:val="auto"/>
        </w:rPr>
        <w:t>. Cumulative changes in the fair values of cash flow hedges are recognized in AOCI on the Company’s consolidated balance sheets. The fair value changes are reclassified from AOCI to unaudited consolidated statements of income upon settlement of foreign currency forward contracts designated as cash flow hedges of a forecast transaction, whereas such changes for interest rate swaps are reclassified over the term of the contract. Fair value changes related to net investment hedges are included in AOCI and are reclassified to unaudited consolidated statements of income when a foreign operation is disposed or partially disposed. The following table sets forth the changes in AOCI during the nine months ended September 30, 2024 and 2023:</w:t>
      </w:r>
    </w:p>
    <w:p>
      <w:pPr>
        <w:spacing w:after="0" w:line="10" w:lineRule="exact"/>
        <w:rPr>
          <w:sz w:val="20"/>
          <w:szCs w:val="20"/>
          <w:color w:val="auto"/>
        </w:rPr>
      </w:pPr>
    </w:p>
    <w:tbl>
      <w:tblPr>
        <w:tblLayout w:type="fixed"/>
        <w:tblInd w:w="140" w:type="dxa"/>
        <w:tblCellMar>
          <w:top w:w="0" w:type="dxa"/>
          <w:left w:w="0" w:type="dxa"/>
          <w:bottom w:w="0" w:type="dxa"/>
          <w:right w:w="0" w:type="dxa"/>
        </w:tblCellMar>
      </w:tblPr>
      <w:tr>
        <w:trPr>
          <w:trHeight w:val="185"/>
        </w:trPr>
        <w:tc>
          <w:tcPr>
            <w:tcW w:w="6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940" w:type="dxa"/>
            <w:vAlign w:val="bottom"/>
            <w:gridSpan w:val="9"/>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Accumulated Other Comprehensive Income/(Loss)</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60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4"/>
        </w:trPr>
        <w:tc>
          <w:tcPr>
            <w:tcW w:w="60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gridSpan w:val="2"/>
          </w:tcPr>
          <w:p>
            <w:pPr>
              <w:jc w:val="center"/>
              <w:ind w:right="260"/>
              <w:spacing w:after="0" w:line="125" w:lineRule="exact"/>
              <w:rPr>
                <w:sz w:val="20"/>
                <w:szCs w:val="20"/>
                <w:color w:val="auto"/>
              </w:rPr>
            </w:pPr>
            <w:r>
              <w:rPr>
                <w:rFonts w:ascii="Times New Roman" w:cs="Times New Roman" w:eastAsia="Times New Roman" w:hAnsi="Times New Roman"/>
                <w:sz w:val="14"/>
                <w:szCs w:val="14"/>
                <w:b w:val="1"/>
                <w:bCs w:val="1"/>
                <w:color w:val="auto"/>
                <w:w w:val="97"/>
              </w:rPr>
              <w:t>Currency</w:t>
            </w:r>
          </w:p>
        </w:tc>
        <w:tc>
          <w:tcPr>
            <w:tcW w:w="200" w:type="dxa"/>
            <w:vAlign w:val="bottom"/>
          </w:tcPr>
          <w:p>
            <w:pPr>
              <w:spacing w:after="0"/>
              <w:rPr>
                <w:sz w:val="10"/>
                <w:szCs w:val="10"/>
                <w:color w:val="auto"/>
              </w:rPr>
            </w:pPr>
          </w:p>
        </w:tc>
        <w:tc>
          <w:tcPr>
            <w:tcW w:w="1140" w:type="dxa"/>
            <w:vAlign w:val="bottom"/>
            <w:gridSpan w:val="2"/>
          </w:tcPr>
          <w:p>
            <w:pPr>
              <w:jc w:val="center"/>
              <w:ind w:right="280"/>
              <w:spacing w:after="0" w:line="125"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60" w:type="dxa"/>
            <w:vAlign w:val="bottom"/>
          </w:tcPr>
          <w:p>
            <w:pPr>
              <w:spacing w:after="0"/>
              <w:rPr>
                <w:sz w:val="10"/>
                <w:szCs w:val="10"/>
                <w:color w:val="auto"/>
              </w:rPr>
            </w:pPr>
          </w:p>
        </w:tc>
        <w:tc>
          <w:tcPr>
            <w:tcW w:w="10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Retirement</w:t>
            </w:r>
          </w:p>
        </w:tc>
        <w:tc>
          <w:tcPr>
            <w:tcW w:w="3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
        </w:trPr>
        <w:tc>
          <w:tcPr>
            <w:tcW w:w="60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00" w:type="dxa"/>
            <w:vAlign w:val="bottom"/>
            <w:gridSpan w:val="2"/>
            <w:vMerge w:val="restart"/>
          </w:tcPr>
          <w:p>
            <w:pPr>
              <w:jc w:val="center"/>
              <w:ind w:right="260"/>
              <w:spacing w:after="0" w:line="133" w:lineRule="exact"/>
              <w:rPr>
                <w:sz w:val="20"/>
                <w:szCs w:val="20"/>
                <w:color w:val="auto"/>
              </w:rPr>
            </w:pPr>
            <w:r>
              <w:rPr>
                <w:rFonts w:ascii="Times New Roman" w:cs="Times New Roman" w:eastAsia="Times New Roman" w:hAnsi="Times New Roman"/>
                <w:sz w:val="14"/>
                <w:szCs w:val="14"/>
                <w:b w:val="1"/>
                <w:bCs w:val="1"/>
                <w:color w:val="auto"/>
                <w:w w:val="97"/>
              </w:rPr>
              <w:t>translation</w:t>
            </w:r>
          </w:p>
        </w:tc>
        <w:tc>
          <w:tcPr>
            <w:tcW w:w="1340" w:type="dxa"/>
            <w:vAlign w:val="bottom"/>
            <w:gridSpan w:val="3"/>
            <w:vMerge w:val="restart"/>
          </w:tcPr>
          <w:p>
            <w:pPr>
              <w:jc w:val="center"/>
              <w:ind w:right="80"/>
              <w:spacing w:after="0" w:line="133" w:lineRule="exact"/>
              <w:rPr>
                <w:sz w:val="20"/>
                <w:szCs w:val="20"/>
                <w:color w:val="auto"/>
              </w:rPr>
            </w:pPr>
            <w:r>
              <w:rPr>
                <w:rFonts w:ascii="Times New Roman" w:cs="Times New Roman" w:eastAsia="Times New Roman" w:hAnsi="Times New Roman"/>
                <w:sz w:val="14"/>
                <w:szCs w:val="14"/>
                <w:b w:val="1"/>
                <w:bCs w:val="1"/>
                <w:color w:val="auto"/>
              </w:rPr>
              <w:t>gain/(loss) on cash</w:t>
            </w:r>
          </w:p>
        </w:tc>
        <w:tc>
          <w:tcPr>
            <w:tcW w:w="16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840" w:type="dxa"/>
            <w:vAlign w:val="bottom"/>
            <w:vMerge w:val="restart"/>
          </w:tcPr>
          <w:p>
            <w:pPr>
              <w:jc w:val="right"/>
              <w:ind w:right="354"/>
              <w:spacing w:after="0" w:line="133"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67"/>
        </w:trPr>
        <w:tc>
          <w:tcPr>
            <w:tcW w:w="60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00" w:type="dxa"/>
            <w:vAlign w:val="bottom"/>
            <w:gridSpan w:val="2"/>
            <w:vMerge w:val="continue"/>
          </w:tcPr>
          <w:p>
            <w:pPr>
              <w:spacing w:after="0"/>
              <w:rPr>
                <w:sz w:val="5"/>
                <w:szCs w:val="5"/>
                <w:color w:val="auto"/>
              </w:rPr>
            </w:pPr>
          </w:p>
        </w:tc>
        <w:tc>
          <w:tcPr>
            <w:tcW w:w="1340" w:type="dxa"/>
            <w:vAlign w:val="bottom"/>
            <w:gridSpan w:val="3"/>
            <w:vMerge w:val="continue"/>
          </w:tcPr>
          <w:p>
            <w:pPr>
              <w:spacing w:after="0"/>
              <w:rPr>
                <w:sz w:val="5"/>
                <w:szCs w:val="5"/>
                <w:color w:val="auto"/>
              </w:rPr>
            </w:pPr>
          </w:p>
        </w:tc>
        <w:tc>
          <w:tcPr>
            <w:tcW w:w="160" w:type="dxa"/>
            <w:vAlign w:val="bottom"/>
          </w:tcPr>
          <w:p>
            <w:pPr>
              <w:spacing w:after="0"/>
              <w:rPr>
                <w:sz w:val="5"/>
                <w:szCs w:val="5"/>
                <w:color w:val="auto"/>
              </w:rPr>
            </w:pPr>
          </w:p>
        </w:tc>
        <w:tc>
          <w:tcPr>
            <w:tcW w:w="10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benefits</w:t>
            </w:r>
          </w:p>
        </w:tc>
        <w:tc>
          <w:tcPr>
            <w:tcW w:w="32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7"/>
        </w:trPr>
        <w:tc>
          <w:tcPr>
            <w:tcW w:w="60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adjustments</w:t>
            </w:r>
          </w:p>
        </w:tc>
        <w:tc>
          <w:tcPr>
            <w:tcW w:w="200" w:type="dxa"/>
            <w:vAlign w:val="bottom"/>
          </w:tcPr>
          <w:p>
            <w:pPr>
              <w:spacing w:after="0"/>
              <w:rPr>
                <w:sz w:val="10"/>
                <w:szCs w:val="10"/>
                <w:color w:val="auto"/>
              </w:rPr>
            </w:pPr>
          </w:p>
        </w:tc>
        <w:tc>
          <w:tcPr>
            <w:tcW w:w="11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flow hedges</w:t>
            </w:r>
          </w:p>
        </w:tc>
        <w:tc>
          <w:tcPr>
            <w:tcW w:w="160" w:type="dxa"/>
            <w:vAlign w:val="bottom"/>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3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60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0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9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
        </w:trPr>
        <w:tc>
          <w:tcPr>
            <w:tcW w:w="60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January 1, 2024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(132,643)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4,198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(127,040)</w:t>
            </w:r>
          </w:p>
        </w:tc>
        <w:tc>
          <w:tcPr>
            <w:tcW w:w="0" w:type="dxa"/>
            <w:vAlign w:val="bottom"/>
          </w:tcPr>
          <w:p>
            <w:pPr>
              <w:spacing w:after="0"/>
              <w:rPr>
                <w:sz w:val="1"/>
                <w:szCs w:val="1"/>
                <w:color w:val="auto"/>
              </w:rPr>
            </w:pPr>
          </w:p>
        </w:tc>
      </w:tr>
      <w:tr>
        <w:trPr>
          <w:trHeight w:val="223"/>
        </w:trPr>
        <w:tc>
          <w:tcPr>
            <w:tcW w:w="6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Gains / (losses) recognized during the period</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7,257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6,774</w:t>
            </w:r>
          </w:p>
        </w:tc>
        <w:tc>
          <w:tcPr>
            <w:tcW w:w="0" w:type="dxa"/>
            <w:vAlign w:val="bottom"/>
          </w:tcPr>
          <w:p>
            <w:pPr>
              <w:spacing w:after="0"/>
              <w:rPr>
                <w:sz w:val="1"/>
                <w:szCs w:val="1"/>
                <w:color w:val="auto"/>
              </w:rPr>
            </w:pPr>
          </w:p>
        </w:tc>
      </w:tr>
      <w:tr>
        <w:trPr>
          <w:trHeight w:val="223"/>
        </w:trPr>
        <w:tc>
          <w:tcPr>
            <w:tcW w:w="602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6"/>
                <w:szCs w:val="16"/>
                <w:color w:val="auto"/>
              </w:rPr>
              <w:t xml:space="preserve">Reclassification to net income </w:t>
            </w:r>
            <w:r>
              <w:rPr>
                <w:rFonts w:ascii="Times New Roman" w:cs="Times New Roman" w:eastAsia="Times New Roman" w:hAnsi="Times New Roman"/>
                <w:sz w:val="20"/>
                <w:szCs w:val="20"/>
                <w:color w:val="auto"/>
                <w:vertAlign w:val="superscript"/>
              </w:rPr>
              <w:t>(1)</w:t>
            </w: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(1,305)</w:t>
            </w:r>
          </w:p>
        </w:tc>
        <w:tc>
          <w:tcPr>
            <w:tcW w:w="0" w:type="dxa"/>
            <w:vAlign w:val="bottom"/>
          </w:tcPr>
          <w:p>
            <w:pPr>
              <w:spacing w:after="0"/>
              <w:rPr>
                <w:sz w:val="1"/>
                <w:szCs w:val="1"/>
                <w:color w:val="auto"/>
              </w:rPr>
            </w:pPr>
          </w:p>
        </w:tc>
      </w:tr>
      <w:tr>
        <w:trPr>
          <w:trHeight w:val="223"/>
        </w:trPr>
        <w:tc>
          <w:tcPr>
            <w:tcW w:w="6020" w:type="dxa"/>
            <w:vAlign w:val="bottom"/>
            <w:tcBorders>
              <w:bottom w:val="single" w:sz="8" w:color="CCEEFF"/>
            </w:tcBorders>
          </w:tcPr>
          <w:p>
            <w:pPr>
              <w:ind w:left="20"/>
              <w:spacing w:after="0" w:line="223" w:lineRule="exact"/>
              <w:rPr>
                <w:sz w:val="20"/>
                <w:szCs w:val="20"/>
                <w:color w:val="auto"/>
              </w:rPr>
            </w:pPr>
            <w:r>
              <w:rPr>
                <w:rFonts w:ascii="Times New Roman" w:cs="Times New Roman" w:eastAsia="Times New Roman" w:hAnsi="Times New Roman"/>
                <w:sz w:val="16"/>
                <w:szCs w:val="16"/>
                <w:color w:val="auto"/>
              </w:rPr>
              <w:t xml:space="preserve">Income tax effects </w:t>
            </w:r>
            <w:r>
              <w:rPr>
                <w:rFonts w:ascii="Times New Roman" w:cs="Times New Roman" w:eastAsia="Times New Roman" w:hAnsi="Times New Roman"/>
                <w:sz w:val="20"/>
                <w:szCs w:val="20"/>
                <w:color w:val="auto"/>
                <w:vertAlign w:val="superscript"/>
              </w:rPr>
              <w:t>(2)</w:t>
            </w: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(1,165)</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(1,022)</w:t>
            </w:r>
          </w:p>
        </w:tc>
        <w:tc>
          <w:tcPr>
            <w:tcW w:w="0" w:type="dxa"/>
            <w:vAlign w:val="bottom"/>
          </w:tcPr>
          <w:p>
            <w:pPr>
              <w:spacing w:after="0"/>
              <w:rPr>
                <w:sz w:val="1"/>
                <w:szCs w:val="1"/>
                <w:color w:val="auto"/>
              </w:rPr>
            </w:pPr>
          </w:p>
        </w:tc>
      </w:tr>
      <w:tr>
        <w:trPr>
          <w:trHeight w:val="241"/>
        </w:trPr>
        <w:tc>
          <w:tcPr>
            <w:tcW w:w="6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Accumulated other comprehensive income/(loss) as of September 30, 2024</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(132,980)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9,440</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947</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(122,593)</w:t>
            </w:r>
          </w:p>
        </w:tc>
        <w:tc>
          <w:tcPr>
            <w:tcW w:w="0" w:type="dxa"/>
            <w:vAlign w:val="bottom"/>
          </w:tcPr>
          <w:p>
            <w:pPr>
              <w:spacing w:after="0"/>
              <w:rPr>
                <w:sz w:val="1"/>
                <w:szCs w:val="1"/>
                <w:color w:val="auto"/>
              </w:rPr>
            </w:pPr>
          </w:p>
        </w:tc>
      </w:tr>
      <w:tr>
        <w:trPr>
          <w:trHeight w:val="20"/>
        </w:trPr>
        <w:tc>
          <w:tcPr>
            <w:tcW w:w="60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4"/>
        </w:trPr>
        <w:tc>
          <w:tcPr>
            <w:tcW w:w="60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January 1, 2023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(133,139)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(11,303)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(144,143)</w:t>
            </w:r>
          </w:p>
        </w:tc>
        <w:tc>
          <w:tcPr>
            <w:tcW w:w="0" w:type="dxa"/>
            <w:vAlign w:val="bottom"/>
          </w:tcPr>
          <w:p>
            <w:pPr>
              <w:spacing w:after="0"/>
              <w:rPr>
                <w:sz w:val="1"/>
                <w:szCs w:val="1"/>
                <w:color w:val="auto"/>
              </w:rPr>
            </w:pPr>
          </w:p>
        </w:tc>
      </w:tr>
      <w:tr>
        <w:trPr>
          <w:trHeight w:val="223"/>
        </w:trPr>
        <w:tc>
          <w:tcPr>
            <w:tcW w:w="6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Gains / (losses) recognized during the period</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(2,605)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8,242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5,637</w:t>
            </w:r>
          </w:p>
        </w:tc>
        <w:tc>
          <w:tcPr>
            <w:tcW w:w="0" w:type="dxa"/>
            <w:vAlign w:val="bottom"/>
          </w:tcPr>
          <w:p>
            <w:pPr>
              <w:spacing w:after="0"/>
              <w:rPr>
                <w:sz w:val="1"/>
                <w:szCs w:val="1"/>
                <w:color w:val="auto"/>
              </w:rPr>
            </w:pPr>
          </w:p>
        </w:tc>
      </w:tr>
      <w:tr>
        <w:trPr>
          <w:trHeight w:val="223"/>
        </w:trPr>
        <w:tc>
          <w:tcPr>
            <w:tcW w:w="602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6"/>
                <w:szCs w:val="16"/>
                <w:color w:val="auto"/>
              </w:rPr>
              <w:t xml:space="preserve">Reclassification to net income </w:t>
            </w:r>
            <w:r>
              <w:rPr>
                <w:rFonts w:ascii="Times New Roman" w:cs="Times New Roman" w:eastAsia="Times New Roman" w:hAnsi="Times New Roman"/>
                <w:sz w:val="20"/>
                <w:szCs w:val="20"/>
                <w:color w:val="auto"/>
                <w:vertAlign w:val="superscript"/>
              </w:rPr>
              <w:t>(1)</w:t>
            </w: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4,261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4,191</w:t>
            </w:r>
          </w:p>
        </w:tc>
        <w:tc>
          <w:tcPr>
            <w:tcW w:w="0" w:type="dxa"/>
            <w:vAlign w:val="bottom"/>
          </w:tcPr>
          <w:p>
            <w:pPr>
              <w:spacing w:after="0"/>
              <w:rPr>
                <w:sz w:val="1"/>
                <w:szCs w:val="1"/>
                <w:color w:val="auto"/>
              </w:rPr>
            </w:pPr>
          </w:p>
        </w:tc>
      </w:tr>
      <w:tr>
        <w:trPr>
          <w:trHeight w:val="223"/>
        </w:trPr>
        <w:tc>
          <w:tcPr>
            <w:tcW w:w="6020" w:type="dxa"/>
            <w:vAlign w:val="bottom"/>
            <w:tcBorders>
              <w:bottom w:val="single" w:sz="8" w:color="CCEEFF"/>
            </w:tcBorders>
          </w:tcPr>
          <w:p>
            <w:pPr>
              <w:ind w:left="20"/>
              <w:spacing w:after="0" w:line="223" w:lineRule="exact"/>
              <w:rPr>
                <w:sz w:val="20"/>
                <w:szCs w:val="20"/>
                <w:color w:val="auto"/>
              </w:rPr>
            </w:pPr>
            <w:r>
              <w:rPr>
                <w:rFonts w:ascii="Times New Roman" w:cs="Times New Roman" w:eastAsia="Times New Roman" w:hAnsi="Times New Roman"/>
                <w:sz w:val="16"/>
                <w:szCs w:val="16"/>
                <w:color w:val="auto"/>
              </w:rPr>
              <w:t xml:space="preserve">Income tax effects </w:t>
            </w:r>
            <w:r>
              <w:rPr>
                <w:rFonts w:ascii="Times New Roman" w:cs="Times New Roman" w:eastAsia="Times New Roman" w:hAnsi="Times New Roman"/>
                <w:sz w:val="20"/>
                <w:szCs w:val="20"/>
                <w:color w:val="auto"/>
                <w:vertAlign w:val="superscript"/>
              </w:rPr>
              <w:t>(2)</w:t>
            </w: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(2,900)</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(2,490)</w:t>
            </w:r>
          </w:p>
        </w:tc>
        <w:tc>
          <w:tcPr>
            <w:tcW w:w="0" w:type="dxa"/>
            <w:vAlign w:val="bottom"/>
          </w:tcPr>
          <w:p>
            <w:pPr>
              <w:spacing w:after="0"/>
              <w:rPr>
                <w:sz w:val="1"/>
                <w:szCs w:val="1"/>
                <w:color w:val="auto"/>
              </w:rPr>
            </w:pPr>
          </w:p>
        </w:tc>
      </w:tr>
      <w:tr>
        <w:trPr>
          <w:trHeight w:val="241"/>
        </w:trPr>
        <w:tc>
          <w:tcPr>
            <w:tcW w:w="6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Accumulated other comprehensive income/(loss) as of September 30, 2023</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(135,278)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(1,700)</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173</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(136,805)</w:t>
            </w:r>
          </w:p>
        </w:tc>
        <w:tc>
          <w:tcPr>
            <w:tcW w:w="0" w:type="dxa"/>
            <w:vAlign w:val="bottom"/>
          </w:tcPr>
          <w:p>
            <w:pPr>
              <w:spacing w:after="0"/>
              <w:rPr>
                <w:sz w:val="1"/>
                <w:szCs w:val="1"/>
                <w:color w:val="auto"/>
              </w:rPr>
            </w:pPr>
          </w:p>
        </w:tc>
      </w:tr>
      <w:tr>
        <w:trPr>
          <w:trHeight w:val="20"/>
        </w:trPr>
        <w:tc>
          <w:tcPr>
            <w:tcW w:w="60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ind w:firstLine="241"/>
        <w:spacing w:after="0" w:line="297" w:lineRule="auto"/>
        <w:tabs>
          <w:tab w:leader="none" w:pos="503"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Refer to Note 17 - Derivatives and Hedge Accounting and Note 20 - Employee Benefit Plans to the unaudited consolidated financial statements for reclassification to net income.</w:t>
      </w:r>
    </w:p>
    <w:p>
      <w:pPr>
        <w:spacing w:after="0" w:line="158" w:lineRule="exact"/>
        <w:rPr>
          <w:rFonts w:ascii="Times New Roman" w:cs="Times New Roman" w:eastAsia="Times New Roman" w:hAnsi="Times New Roman"/>
          <w:sz w:val="17"/>
          <w:szCs w:val="17"/>
          <w:color w:val="auto"/>
        </w:rPr>
      </w:pPr>
    </w:p>
    <w:p>
      <w:pPr>
        <w:ind w:firstLine="241"/>
        <w:spacing w:after="0" w:line="281" w:lineRule="auto"/>
        <w:tabs>
          <w:tab w:leader="none" w:pos="487"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These are income tax effects recognized on cash flow hedges, retirement benefits and currency translation adjustments. Refer to Note 22 - Income Taxes to the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EXLSERVICE HOLDINGS, INC.</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UNAUDITED CONSOLIDATED FINANCIAL STATEMENTS—(continued)</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September 30, 2024</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per share amount and share count)</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16. Fair Value Measurements</w:t>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Assets and Liabilities Measured at Fair Value</w:t>
      </w:r>
    </w:p>
    <w:p>
      <w:pPr>
        <w:spacing w:after="0" w:line="24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The following table sets forth the Company’s assets and liabilities that were recognized at fair value:</w:t>
      </w:r>
    </w:p>
    <w:p>
      <w:pPr>
        <w:spacing w:after="0" w:line="226" w:lineRule="exact"/>
        <w:rPr>
          <w:sz w:val="20"/>
          <w:szCs w:val="20"/>
          <w:color w:val="auto"/>
        </w:rPr>
      </w:pPr>
    </w:p>
    <w:tbl>
      <w:tblPr>
        <w:tblLayout w:type="fixed"/>
        <w:tblInd w:w="480" w:type="dxa"/>
        <w:tblCellMar>
          <w:top w:w="0" w:type="dxa"/>
          <w:left w:w="0" w:type="dxa"/>
          <w:bottom w:w="0" w:type="dxa"/>
          <w:right w:w="0" w:type="dxa"/>
        </w:tblCellMar>
      </w:tblPr>
      <w:tr>
        <w:trPr>
          <w:trHeight w:val="161"/>
        </w:trPr>
        <w:tc>
          <w:tcPr>
            <w:tcW w:w="3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Quoted Prices in</w:t>
            </w:r>
          </w:p>
        </w:tc>
        <w:tc>
          <w:tcPr>
            <w:tcW w:w="200" w:type="dxa"/>
            <w:vAlign w:val="bottom"/>
          </w:tcPr>
          <w:p>
            <w:pPr>
              <w:spacing w:after="0"/>
              <w:rPr>
                <w:sz w:val="13"/>
                <w:szCs w:val="13"/>
                <w:color w:val="auto"/>
              </w:rPr>
            </w:pPr>
          </w:p>
        </w:tc>
        <w:tc>
          <w:tcPr>
            <w:tcW w:w="15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200" w:type="dxa"/>
            <w:vAlign w:val="bottom"/>
          </w:tcPr>
          <w:p>
            <w:pPr>
              <w:spacing w:after="0"/>
              <w:rPr>
                <w:sz w:val="13"/>
                <w:szCs w:val="13"/>
                <w:color w:val="auto"/>
              </w:rPr>
            </w:pPr>
          </w:p>
        </w:tc>
        <w:tc>
          <w:tcPr>
            <w:tcW w:w="15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3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3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60" w:type="dxa"/>
            <w:vAlign w:val="bottom"/>
            <w:gridSpan w:val="2"/>
          </w:tcPr>
          <w:p>
            <w:pPr>
              <w:jc w:val="center"/>
              <w:ind w:right="280"/>
              <w:spacing w:after="0" w:line="133" w:lineRule="exact"/>
              <w:rPr>
                <w:sz w:val="20"/>
                <w:szCs w:val="20"/>
                <w:color w:val="auto"/>
              </w:rPr>
            </w:pPr>
            <w:r>
              <w:rPr>
                <w:rFonts w:ascii="Times New Roman" w:cs="Times New Roman" w:eastAsia="Times New Roman" w:hAnsi="Times New Roman"/>
                <w:sz w:val="14"/>
                <w:szCs w:val="14"/>
                <w:b w:val="1"/>
                <w:bCs w:val="1"/>
                <w:color w:val="auto"/>
                <w:w w:val="98"/>
              </w:rPr>
              <w:t>Active Markets for</w:t>
            </w:r>
          </w:p>
        </w:tc>
        <w:tc>
          <w:tcPr>
            <w:tcW w:w="200" w:type="dxa"/>
            <w:vAlign w:val="bottom"/>
          </w:tcPr>
          <w:p>
            <w:pPr>
              <w:spacing w:after="0"/>
              <w:rPr>
                <w:sz w:val="11"/>
                <w:szCs w:val="11"/>
                <w:color w:val="auto"/>
              </w:rPr>
            </w:pPr>
          </w:p>
        </w:tc>
        <w:tc>
          <w:tcPr>
            <w:tcW w:w="1560" w:type="dxa"/>
            <w:vAlign w:val="bottom"/>
            <w:gridSpan w:val="2"/>
          </w:tcPr>
          <w:p>
            <w:pPr>
              <w:jc w:val="center"/>
              <w:ind w:right="320"/>
              <w:spacing w:after="0" w:line="133" w:lineRule="exact"/>
              <w:rPr>
                <w:sz w:val="20"/>
                <w:szCs w:val="20"/>
                <w:color w:val="auto"/>
              </w:rPr>
            </w:pPr>
            <w:r>
              <w:rPr>
                <w:rFonts w:ascii="Times New Roman" w:cs="Times New Roman" w:eastAsia="Times New Roman" w:hAnsi="Times New Roman"/>
                <w:sz w:val="14"/>
                <w:szCs w:val="14"/>
                <w:b w:val="1"/>
                <w:bCs w:val="1"/>
                <w:color w:val="auto"/>
                <w:w w:val="99"/>
              </w:rPr>
              <w:t>Observable</w:t>
            </w:r>
          </w:p>
        </w:tc>
        <w:tc>
          <w:tcPr>
            <w:tcW w:w="200" w:type="dxa"/>
            <w:vAlign w:val="bottom"/>
          </w:tcPr>
          <w:p>
            <w:pPr>
              <w:spacing w:after="0"/>
              <w:rPr>
                <w:sz w:val="11"/>
                <w:szCs w:val="11"/>
                <w:color w:val="auto"/>
              </w:rPr>
            </w:pPr>
          </w:p>
        </w:tc>
        <w:tc>
          <w:tcPr>
            <w:tcW w:w="1540" w:type="dxa"/>
            <w:vAlign w:val="bottom"/>
            <w:gridSpan w:val="2"/>
          </w:tcPr>
          <w:p>
            <w:pPr>
              <w:jc w:val="center"/>
              <w:ind w:right="320"/>
              <w:spacing w:after="0" w:line="133" w:lineRule="exact"/>
              <w:rPr>
                <w:sz w:val="20"/>
                <w:szCs w:val="20"/>
                <w:color w:val="auto"/>
              </w:rPr>
            </w:pPr>
            <w:r>
              <w:rPr>
                <w:rFonts w:ascii="Times New Roman" w:cs="Times New Roman" w:eastAsia="Times New Roman" w:hAnsi="Times New Roman"/>
                <w:sz w:val="14"/>
                <w:szCs w:val="14"/>
                <w:b w:val="1"/>
                <w:bCs w:val="1"/>
                <w:color w:val="auto"/>
                <w:w w:val="99"/>
              </w:rPr>
              <w:t>Unobservable</w:t>
            </w:r>
          </w:p>
        </w:tc>
        <w:tc>
          <w:tcPr>
            <w:tcW w:w="3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3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Identical Assets</w:t>
            </w:r>
          </w:p>
        </w:tc>
        <w:tc>
          <w:tcPr>
            <w:tcW w:w="200" w:type="dxa"/>
            <w:vAlign w:val="bottom"/>
          </w:tcPr>
          <w:p>
            <w:pPr>
              <w:spacing w:after="0"/>
              <w:rPr>
                <w:sz w:val="16"/>
                <w:szCs w:val="16"/>
                <w:color w:val="auto"/>
              </w:rPr>
            </w:pPr>
          </w:p>
        </w:tc>
        <w:tc>
          <w:tcPr>
            <w:tcW w:w="15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200" w:type="dxa"/>
            <w:vAlign w:val="bottom"/>
          </w:tcPr>
          <w:p>
            <w:pPr>
              <w:spacing w:after="0"/>
              <w:rPr>
                <w:sz w:val="16"/>
                <w:szCs w:val="16"/>
                <w:color w:val="auto"/>
              </w:rPr>
            </w:pPr>
          </w:p>
        </w:tc>
        <w:tc>
          <w:tcPr>
            <w:tcW w:w="15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7"/>
              </w:rPr>
              <w:t>Inputs</w:t>
            </w: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86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As of September 30, 2024</w:t>
            </w:r>
          </w:p>
        </w:tc>
        <w:tc>
          <w:tcPr>
            <w:tcW w:w="18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3860" w:type="dxa"/>
            <w:vAlign w:val="bottom"/>
            <w:tcBorders>
              <w:bottom w:val="single" w:sz="8" w:color="CCEEFF"/>
            </w:tcBorders>
            <w:vMerge w:val="continue"/>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1460" w:type="dxa"/>
            <w:vAlign w:val="bottom"/>
            <w:tcBorders>
              <w:top w:val="single" w:sz="8" w:color="auto"/>
              <w:bottom w:val="single" w:sz="8" w:color="auto"/>
            </w:tcBorders>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w w:val="98"/>
              </w:rPr>
              <w:t>(Level 1)</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440" w:type="dxa"/>
            <w:vAlign w:val="bottom"/>
            <w:tcBorders>
              <w:top w:val="single" w:sz="8" w:color="auto"/>
              <w:bottom w:val="single" w:sz="8" w:color="auto"/>
            </w:tcBorders>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w w:val="98"/>
              </w:rPr>
              <w:t>(Level 2)</w:t>
            </w:r>
          </w:p>
        </w:tc>
        <w:tc>
          <w:tcPr>
            <w:tcW w:w="12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440" w:type="dxa"/>
            <w:vAlign w:val="bottom"/>
            <w:tcBorders>
              <w:top w:val="single" w:sz="8" w:color="auto"/>
              <w:bottom w:val="single" w:sz="8" w:color="auto"/>
            </w:tcBorders>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w w:val="98"/>
              </w:rPr>
              <w:t>(Level 3)</w:t>
            </w:r>
          </w:p>
        </w:tc>
        <w:tc>
          <w:tcPr>
            <w:tcW w:w="100" w:type="dxa"/>
            <w:vAlign w:val="bottom"/>
            <w:tcBorders>
              <w:bottom w:val="single" w:sz="8" w:color="CCEEFF"/>
            </w:tcBorders>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1260" w:type="dxa"/>
            <w:vAlign w:val="bottom"/>
            <w:tcBorders>
              <w:top w:val="single" w:sz="8" w:color="auto"/>
              <w:bottom w:val="single" w:sz="8" w:color="auto"/>
            </w:tcBorders>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5"/>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18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3860" w:type="dxa"/>
            <w:vAlign w:val="bottom"/>
          </w:tcPr>
          <w:p>
            <w:pPr>
              <w:spacing w:after="0" w:line="249" w:lineRule="exact"/>
              <w:rPr>
                <w:sz w:val="20"/>
                <w:szCs w:val="20"/>
                <w:color w:val="auto"/>
              </w:rPr>
            </w:pPr>
            <w:r>
              <w:rPr>
                <w:rFonts w:ascii="Times New Roman" w:cs="Times New Roman" w:eastAsia="Times New Roman" w:hAnsi="Times New Roman"/>
                <w:sz w:val="17"/>
                <w:szCs w:val="17"/>
                <w:color w:val="auto"/>
              </w:rPr>
              <w:t xml:space="preserve">Cash equivalents - Money market funds </w:t>
            </w:r>
            <w:r>
              <w:rPr>
                <w:rFonts w:ascii="Times New Roman" w:cs="Times New Roman" w:eastAsia="Times New Roman" w:hAnsi="Times New Roman"/>
                <w:sz w:val="22"/>
                <w:szCs w:val="22"/>
                <w:color w:val="auto"/>
                <w:vertAlign w:val="superscript"/>
              </w:rPr>
              <w:t>(1)</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73,071</w:t>
            </w:r>
          </w:p>
        </w:tc>
        <w:tc>
          <w:tcPr>
            <w:tcW w:w="100" w:type="dxa"/>
            <w:vAlign w:val="bottom"/>
          </w:tcPr>
          <w:p>
            <w:pPr>
              <w:spacing w:after="0"/>
              <w:rPr>
                <w:sz w:val="21"/>
                <w:szCs w:val="21"/>
                <w:color w:val="auto"/>
              </w:rPr>
            </w:pPr>
          </w:p>
        </w:tc>
        <w:tc>
          <w:tcPr>
            <w:tcW w:w="20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jc w:val="right"/>
              <w:ind w:right="193"/>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73,071</w:t>
            </w:r>
          </w:p>
        </w:tc>
        <w:tc>
          <w:tcPr>
            <w:tcW w:w="0" w:type="dxa"/>
            <w:vAlign w:val="bottom"/>
          </w:tcPr>
          <w:p>
            <w:pPr>
              <w:spacing w:after="0"/>
              <w:rPr>
                <w:sz w:val="1"/>
                <w:szCs w:val="1"/>
                <w:color w:val="auto"/>
              </w:rPr>
            </w:pPr>
          </w:p>
        </w:tc>
      </w:tr>
      <w:tr>
        <w:trPr>
          <w:trHeight w:val="223"/>
        </w:trPr>
        <w:tc>
          <w:tcPr>
            <w:tcW w:w="3860" w:type="dxa"/>
            <w:vAlign w:val="bottom"/>
            <w:shd w:val="clear" w:color="auto" w:fill="CCEEFF"/>
          </w:tcPr>
          <w:p>
            <w:pPr>
              <w:spacing w:after="0" w:line="223" w:lineRule="exact"/>
              <w:rPr>
                <w:sz w:val="20"/>
                <w:szCs w:val="20"/>
                <w:color w:val="auto"/>
              </w:rPr>
            </w:pPr>
            <w:r>
              <w:rPr>
                <w:rFonts w:ascii="Times New Roman" w:cs="Times New Roman" w:eastAsia="Times New Roman" w:hAnsi="Times New Roman"/>
                <w:sz w:val="17"/>
                <w:szCs w:val="17"/>
                <w:color w:val="auto"/>
              </w:rPr>
              <w:t xml:space="preserve">Mutual funds </w:t>
            </w:r>
            <w:r>
              <w:rPr>
                <w:rFonts w:ascii="Times New Roman" w:cs="Times New Roman" w:eastAsia="Times New Roman" w:hAnsi="Times New Roman"/>
                <w:sz w:val="22"/>
                <w:szCs w:val="22"/>
                <w:color w:val="auto"/>
                <w:vertAlign w:val="superscript"/>
              </w:rPr>
              <w:t>(2)</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99,621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99,621</w:t>
            </w:r>
          </w:p>
        </w:tc>
        <w:tc>
          <w:tcPr>
            <w:tcW w:w="0" w:type="dxa"/>
            <w:vAlign w:val="bottom"/>
          </w:tcPr>
          <w:p>
            <w:pPr>
              <w:spacing w:after="0"/>
              <w:rPr>
                <w:sz w:val="1"/>
                <w:szCs w:val="1"/>
                <w:color w:val="auto"/>
              </w:rPr>
            </w:pPr>
          </w:p>
        </w:tc>
      </w:tr>
      <w:tr>
        <w:trPr>
          <w:trHeight w:val="223"/>
        </w:trPr>
        <w:tc>
          <w:tcPr>
            <w:tcW w:w="3860" w:type="dxa"/>
            <w:vAlign w:val="bottom"/>
          </w:tcPr>
          <w:p>
            <w:pPr>
              <w:spacing w:after="0"/>
              <w:rPr>
                <w:sz w:val="20"/>
                <w:szCs w:val="20"/>
                <w:color w:val="auto"/>
              </w:rPr>
            </w:pPr>
            <w:r>
              <w:rPr>
                <w:rFonts w:ascii="Times New Roman" w:cs="Times New Roman" w:eastAsia="Times New Roman" w:hAnsi="Times New Roman"/>
                <w:sz w:val="17"/>
                <w:szCs w:val="17"/>
                <w:color w:val="auto"/>
              </w:rPr>
              <w:t>Derivative financial instruments</w:t>
            </w:r>
          </w:p>
        </w:tc>
        <w:tc>
          <w:tcPr>
            <w:tcW w:w="180" w:type="dxa"/>
            <w:vAlign w:val="bottom"/>
          </w:tcPr>
          <w:p>
            <w:pPr>
              <w:spacing w:after="0"/>
              <w:rPr>
                <w:sz w:val="19"/>
                <w:szCs w:val="19"/>
                <w:color w:val="auto"/>
              </w:rPr>
            </w:pP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13,212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13,212</w:t>
            </w:r>
          </w:p>
        </w:tc>
        <w:tc>
          <w:tcPr>
            <w:tcW w:w="0" w:type="dxa"/>
            <w:vAlign w:val="bottom"/>
          </w:tcPr>
          <w:p>
            <w:pPr>
              <w:spacing w:after="0"/>
              <w:rPr>
                <w:sz w:val="1"/>
                <w:szCs w:val="1"/>
                <w:color w:val="auto"/>
              </w:rPr>
            </w:pPr>
          </w:p>
        </w:tc>
      </w:tr>
      <w:tr>
        <w:trPr>
          <w:trHeight w:val="241"/>
        </w:trPr>
        <w:tc>
          <w:tcPr>
            <w:tcW w:w="38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172,692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13,212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ind w:right="193"/>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185,904</w:t>
            </w:r>
          </w:p>
        </w:tc>
        <w:tc>
          <w:tcPr>
            <w:tcW w:w="0" w:type="dxa"/>
            <w:vAlign w:val="bottom"/>
          </w:tcPr>
          <w:p>
            <w:pPr>
              <w:spacing w:after="0"/>
              <w:rPr>
                <w:sz w:val="1"/>
                <w:szCs w:val="1"/>
                <w:color w:val="auto"/>
              </w:rPr>
            </w:pPr>
          </w:p>
        </w:tc>
      </w:tr>
      <w:tr>
        <w:trPr>
          <w:trHeight w:val="20"/>
        </w:trPr>
        <w:tc>
          <w:tcPr>
            <w:tcW w:w="38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7"/>
                <w:szCs w:val="17"/>
                <w:b w:val="1"/>
                <w:bCs w:val="1"/>
                <w:color w:val="auto"/>
              </w:rPr>
              <w:t>Liabilities</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8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Derivative financial instruments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1,495</w:t>
            </w:r>
          </w:p>
        </w:tc>
        <w:tc>
          <w:tcPr>
            <w:tcW w:w="0" w:type="dxa"/>
            <w:vAlign w:val="bottom"/>
          </w:tcPr>
          <w:p>
            <w:pPr>
              <w:spacing w:after="0"/>
              <w:rPr>
                <w:sz w:val="1"/>
                <w:szCs w:val="1"/>
                <w:color w:val="auto"/>
              </w:rPr>
            </w:pPr>
          </w:p>
        </w:tc>
      </w:tr>
      <w:tr>
        <w:trPr>
          <w:trHeight w:val="249"/>
        </w:trPr>
        <w:tc>
          <w:tcPr>
            <w:tcW w:w="3860" w:type="dxa"/>
            <w:vAlign w:val="bottom"/>
          </w:tcPr>
          <w:p>
            <w:pPr>
              <w:spacing w:after="0" w:line="249" w:lineRule="exact"/>
              <w:rPr>
                <w:sz w:val="20"/>
                <w:szCs w:val="20"/>
                <w:color w:val="auto"/>
              </w:rPr>
            </w:pPr>
            <w:r>
              <w:rPr>
                <w:rFonts w:ascii="Times New Roman" w:cs="Times New Roman" w:eastAsia="Times New Roman" w:hAnsi="Times New Roman"/>
                <w:sz w:val="17"/>
                <w:szCs w:val="17"/>
                <w:color w:val="auto"/>
              </w:rPr>
              <w:t xml:space="preserve">Contingent consideration </w:t>
            </w:r>
            <w:r>
              <w:rPr>
                <w:rFonts w:ascii="Times New Roman" w:cs="Times New Roman" w:eastAsia="Times New Roman" w:hAnsi="Times New Roman"/>
                <w:sz w:val="22"/>
                <w:szCs w:val="22"/>
                <w:color w:val="auto"/>
                <w:vertAlign w:val="superscript"/>
              </w:rPr>
              <w:t>(3)</w:t>
            </w:r>
          </w:p>
        </w:tc>
        <w:tc>
          <w:tcPr>
            <w:tcW w:w="180" w:type="dxa"/>
            <w:vAlign w:val="bottom"/>
          </w:tcPr>
          <w:p>
            <w:pPr>
              <w:spacing w:after="0"/>
              <w:rPr>
                <w:sz w:val="21"/>
                <w:szCs w:val="21"/>
                <w:color w:val="auto"/>
              </w:rPr>
            </w:pP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1"/>
                <w:szCs w:val="21"/>
                <w:color w:val="auto"/>
              </w:rPr>
            </w:pP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7,700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7,700</w:t>
            </w:r>
          </w:p>
        </w:tc>
        <w:tc>
          <w:tcPr>
            <w:tcW w:w="0" w:type="dxa"/>
            <w:vAlign w:val="bottom"/>
          </w:tcPr>
          <w:p>
            <w:pPr>
              <w:spacing w:after="0"/>
              <w:rPr>
                <w:sz w:val="1"/>
                <w:szCs w:val="1"/>
                <w:color w:val="auto"/>
              </w:rPr>
            </w:pPr>
          </w:p>
        </w:tc>
      </w:tr>
      <w:tr>
        <w:trPr>
          <w:trHeight w:val="241"/>
        </w:trPr>
        <w:tc>
          <w:tcPr>
            <w:tcW w:w="38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7,700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ind w:right="193"/>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9,195</w:t>
            </w:r>
          </w:p>
        </w:tc>
        <w:tc>
          <w:tcPr>
            <w:tcW w:w="0" w:type="dxa"/>
            <w:vAlign w:val="bottom"/>
          </w:tcPr>
          <w:p>
            <w:pPr>
              <w:spacing w:after="0"/>
              <w:rPr>
                <w:sz w:val="1"/>
                <w:szCs w:val="1"/>
                <w:color w:val="auto"/>
              </w:rPr>
            </w:pP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3860" w:type="dxa"/>
            <w:vAlign w:val="bottom"/>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560" w:type="dxa"/>
            <w:vAlign w:val="bottom"/>
            <w:gridSpan w:val="2"/>
            <w:shd w:val="clear" w:color="auto" w:fill="CCEEFF"/>
          </w:tcPr>
          <w:p>
            <w:pPr>
              <w:jc w:val="center"/>
              <w:ind w:right="320"/>
              <w:spacing w:after="0" w:line="130" w:lineRule="exact"/>
              <w:rPr>
                <w:sz w:val="20"/>
                <w:szCs w:val="20"/>
                <w:color w:val="auto"/>
              </w:rPr>
            </w:pPr>
            <w:r>
              <w:rPr>
                <w:rFonts w:ascii="Times New Roman" w:cs="Times New Roman" w:eastAsia="Times New Roman" w:hAnsi="Times New Roman"/>
                <w:sz w:val="14"/>
                <w:szCs w:val="14"/>
                <w:b w:val="1"/>
                <w:bCs w:val="1"/>
                <w:color w:val="auto"/>
              </w:rPr>
              <w:t>Quoted Prices in</w:t>
            </w:r>
          </w:p>
        </w:tc>
        <w:tc>
          <w:tcPr>
            <w:tcW w:w="200" w:type="dxa"/>
            <w:vAlign w:val="bottom"/>
            <w:shd w:val="clear" w:color="auto" w:fill="CCEEFF"/>
          </w:tcPr>
          <w:p>
            <w:pPr>
              <w:spacing w:after="0"/>
              <w:rPr>
                <w:sz w:val="11"/>
                <w:szCs w:val="11"/>
                <w:color w:val="auto"/>
              </w:rPr>
            </w:pPr>
          </w:p>
        </w:tc>
        <w:tc>
          <w:tcPr>
            <w:tcW w:w="1560" w:type="dxa"/>
            <w:vAlign w:val="bottom"/>
            <w:gridSpan w:val="2"/>
            <w:shd w:val="clear" w:color="auto" w:fill="CCEEFF"/>
          </w:tcPr>
          <w:p>
            <w:pPr>
              <w:jc w:val="center"/>
              <w:ind w:right="320"/>
              <w:spacing w:after="0" w:line="130" w:lineRule="exact"/>
              <w:rPr>
                <w:sz w:val="20"/>
                <w:szCs w:val="20"/>
                <w:color w:val="auto"/>
              </w:rPr>
            </w:pPr>
            <w:r>
              <w:rPr>
                <w:rFonts w:ascii="Times New Roman" w:cs="Times New Roman" w:eastAsia="Times New Roman" w:hAnsi="Times New Roman"/>
                <w:sz w:val="14"/>
                <w:szCs w:val="14"/>
                <w:b w:val="1"/>
                <w:bCs w:val="1"/>
                <w:color w:val="auto"/>
              </w:rPr>
              <w:t>Significant Other</w:t>
            </w:r>
          </w:p>
        </w:tc>
        <w:tc>
          <w:tcPr>
            <w:tcW w:w="200" w:type="dxa"/>
            <w:vAlign w:val="bottom"/>
            <w:shd w:val="clear" w:color="auto" w:fill="CCEEFF"/>
          </w:tcPr>
          <w:p>
            <w:pPr>
              <w:spacing w:after="0"/>
              <w:rPr>
                <w:sz w:val="11"/>
                <w:szCs w:val="11"/>
                <w:color w:val="auto"/>
              </w:rPr>
            </w:pPr>
          </w:p>
        </w:tc>
        <w:tc>
          <w:tcPr>
            <w:tcW w:w="1540" w:type="dxa"/>
            <w:vAlign w:val="bottom"/>
            <w:gridSpan w:val="2"/>
            <w:shd w:val="clear" w:color="auto" w:fill="CCEEFF"/>
          </w:tcPr>
          <w:p>
            <w:pPr>
              <w:jc w:val="center"/>
              <w:ind w:right="340"/>
              <w:spacing w:after="0" w:line="130" w:lineRule="exact"/>
              <w:rPr>
                <w:sz w:val="20"/>
                <w:szCs w:val="20"/>
                <w:color w:val="auto"/>
              </w:rPr>
            </w:pPr>
            <w:r>
              <w:rPr>
                <w:rFonts w:ascii="Times New Roman" w:cs="Times New Roman" w:eastAsia="Times New Roman" w:hAnsi="Times New Roman"/>
                <w:sz w:val="14"/>
                <w:szCs w:val="14"/>
                <w:b w:val="1"/>
                <w:bCs w:val="1"/>
                <w:color w:val="auto"/>
              </w:rPr>
              <w:t>Significant Other</w:t>
            </w:r>
          </w:p>
        </w:tc>
        <w:tc>
          <w:tcPr>
            <w:tcW w:w="38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3860" w:type="dxa"/>
            <w:vAlign w:val="bottom"/>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560" w:type="dxa"/>
            <w:vAlign w:val="bottom"/>
            <w:gridSpan w:val="2"/>
            <w:shd w:val="clear" w:color="auto" w:fill="CCEEFF"/>
          </w:tcPr>
          <w:p>
            <w:pPr>
              <w:jc w:val="center"/>
              <w:ind w:right="280"/>
              <w:spacing w:after="0" w:line="133" w:lineRule="exact"/>
              <w:rPr>
                <w:sz w:val="20"/>
                <w:szCs w:val="20"/>
                <w:color w:val="auto"/>
              </w:rPr>
            </w:pPr>
            <w:r>
              <w:rPr>
                <w:rFonts w:ascii="Times New Roman" w:cs="Times New Roman" w:eastAsia="Times New Roman" w:hAnsi="Times New Roman"/>
                <w:sz w:val="14"/>
                <w:szCs w:val="14"/>
                <w:b w:val="1"/>
                <w:bCs w:val="1"/>
                <w:color w:val="auto"/>
                <w:w w:val="98"/>
              </w:rPr>
              <w:t>Active Markets for</w:t>
            </w:r>
          </w:p>
        </w:tc>
        <w:tc>
          <w:tcPr>
            <w:tcW w:w="200" w:type="dxa"/>
            <w:vAlign w:val="bottom"/>
            <w:shd w:val="clear" w:color="auto" w:fill="CCEEFF"/>
          </w:tcPr>
          <w:p>
            <w:pPr>
              <w:spacing w:after="0"/>
              <w:rPr>
                <w:sz w:val="11"/>
                <w:szCs w:val="11"/>
                <w:color w:val="auto"/>
              </w:rPr>
            </w:pPr>
          </w:p>
        </w:tc>
        <w:tc>
          <w:tcPr>
            <w:tcW w:w="1560" w:type="dxa"/>
            <w:vAlign w:val="bottom"/>
            <w:gridSpan w:val="2"/>
            <w:shd w:val="clear" w:color="auto" w:fill="CCEEFF"/>
          </w:tcPr>
          <w:p>
            <w:pPr>
              <w:jc w:val="center"/>
              <w:ind w:right="320"/>
              <w:spacing w:after="0" w:line="133" w:lineRule="exact"/>
              <w:rPr>
                <w:sz w:val="20"/>
                <w:szCs w:val="20"/>
                <w:color w:val="auto"/>
              </w:rPr>
            </w:pPr>
            <w:r>
              <w:rPr>
                <w:rFonts w:ascii="Times New Roman" w:cs="Times New Roman" w:eastAsia="Times New Roman" w:hAnsi="Times New Roman"/>
                <w:sz w:val="14"/>
                <w:szCs w:val="14"/>
                <w:b w:val="1"/>
                <w:bCs w:val="1"/>
                <w:color w:val="auto"/>
                <w:w w:val="99"/>
              </w:rPr>
              <w:t>Observable</w:t>
            </w:r>
          </w:p>
        </w:tc>
        <w:tc>
          <w:tcPr>
            <w:tcW w:w="200" w:type="dxa"/>
            <w:vAlign w:val="bottom"/>
            <w:shd w:val="clear" w:color="auto" w:fill="CCEEFF"/>
          </w:tcPr>
          <w:p>
            <w:pPr>
              <w:spacing w:after="0"/>
              <w:rPr>
                <w:sz w:val="11"/>
                <w:szCs w:val="11"/>
                <w:color w:val="auto"/>
              </w:rPr>
            </w:pPr>
          </w:p>
        </w:tc>
        <w:tc>
          <w:tcPr>
            <w:tcW w:w="1540" w:type="dxa"/>
            <w:vAlign w:val="bottom"/>
            <w:gridSpan w:val="2"/>
            <w:shd w:val="clear" w:color="auto" w:fill="CCEEFF"/>
          </w:tcPr>
          <w:p>
            <w:pPr>
              <w:jc w:val="center"/>
              <w:ind w:right="320"/>
              <w:spacing w:after="0" w:line="133" w:lineRule="exact"/>
              <w:rPr>
                <w:sz w:val="20"/>
                <w:szCs w:val="20"/>
                <w:color w:val="auto"/>
              </w:rPr>
            </w:pPr>
            <w:r>
              <w:rPr>
                <w:rFonts w:ascii="Times New Roman" w:cs="Times New Roman" w:eastAsia="Times New Roman" w:hAnsi="Times New Roman"/>
                <w:sz w:val="14"/>
                <w:szCs w:val="14"/>
                <w:b w:val="1"/>
                <w:bCs w:val="1"/>
                <w:color w:val="auto"/>
                <w:w w:val="99"/>
              </w:rPr>
              <w:t>Unobservable</w:t>
            </w:r>
          </w:p>
        </w:tc>
        <w:tc>
          <w:tcPr>
            <w:tcW w:w="38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8"/>
        </w:trPr>
        <w:tc>
          <w:tcPr>
            <w:tcW w:w="3860" w:type="dxa"/>
            <w:vAlign w:val="bottom"/>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CCEEFF"/>
            </w:tcBorders>
            <w:gridSpan w:val="2"/>
            <w:shd w:val="clear" w:color="auto" w:fill="CCEEFF"/>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Identical Assets</w:t>
            </w:r>
          </w:p>
        </w:tc>
        <w:tc>
          <w:tcPr>
            <w:tcW w:w="20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CCEEFF"/>
            </w:tcBorders>
            <w:gridSpan w:val="2"/>
            <w:shd w:val="clear" w:color="auto" w:fill="CCEEFF"/>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200" w:type="dxa"/>
            <w:vAlign w:val="bottom"/>
            <w:tcBorders>
              <w:bottom w:val="single" w:sz="8" w:color="CCEEFF"/>
            </w:tcBorders>
            <w:shd w:val="clear" w:color="auto" w:fill="CCEEFF"/>
          </w:tcPr>
          <w:p>
            <w:pPr>
              <w:spacing w:after="0"/>
              <w:rPr>
                <w:sz w:val="18"/>
                <w:szCs w:val="18"/>
                <w:color w:val="auto"/>
              </w:rPr>
            </w:pPr>
          </w:p>
        </w:tc>
        <w:tc>
          <w:tcPr>
            <w:tcW w:w="1540" w:type="dxa"/>
            <w:vAlign w:val="bottom"/>
            <w:tcBorders>
              <w:bottom w:val="single" w:sz="8" w:color="CCEEFF"/>
            </w:tcBorders>
            <w:gridSpan w:val="2"/>
            <w:shd w:val="clear" w:color="auto" w:fill="CCEEFF"/>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7"/>
              </w:rPr>
              <w:t>Inputs</w:t>
            </w:r>
          </w:p>
        </w:tc>
        <w:tc>
          <w:tcPr>
            <w:tcW w:w="38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38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b w:val="1"/>
                <w:bCs w:val="1"/>
                <w:color w:val="auto"/>
              </w:rPr>
              <w:t>As of December 31, 2023</w:t>
            </w:r>
          </w:p>
        </w:tc>
        <w:tc>
          <w:tcPr>
            <w:tcW w:w="180" w:type="dxa"/>
            <w:vAlign w:val="bottom"/>
            <w:tcBorders>
              <w:top w:val="single" w:sz="8" w:color="auto"/>
              <w:bottom w:val="single" w:sz="8" w:color="auto"/>
            </w:tcBorders>
          </w:tcPr>
          <w:p>
            <w:pPr>
              <w:spacing w:after="0"/>
              <w:rPr>
                <w:sz w:val="16"/>
                <w:szCs w:val="16"/>
                <w:color w:val="auto"/>
              </w:rPr>
            </w:pPr>
          </w:p>
        </w:tc>
        <w:tc>
          <w:tcPr>
            <w:tcW w:w="1460" w:type="dxa"/>
            <w:vAlign w:val="bottom"/>
            <w:tcBorders>
              <w:top w:val="single" w:sz="8" w:color="auto"/>
              <w:bottom w:val="single" w:sz="8" w:color="auto"/>
            </w:tcBorders>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w w:val="98"/>
              </w:rPr>
              <w:t>(Level 1)</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440" w:type="dxa"/>
            <w:vAlign w:val="bottom"/>
            <w:tcBorders>
              <w:top w:val="single" w:sz="8" w:color="auto"/>
              <w:bottom w:val="single" w:sz="8" w:color="auto"/>
            </w:tcBorders>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w w:val="98"/>
              </w:rPr>
              <w:t>(Level 2)</w:t>
            </w:r>
          </w:p>
        </w:tc>
        <w:tc>
          <w:tcPr>
            <w:tcW w:w="12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440" w:type="dxa"/>
            <w:vAlign w:val="bottom"/>
            <w:tcBorders>
              <w:top w:val="single" w:sz="8" w:color="auto"/>
              <w:bottom w:val="single" w:sz="8" w:color="auto"/>
            </w:tcBorders>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w w:val="98"/>
              </w:rPr>
              <w:t>(Level 3)</w:t>
            </w:r>
          </w:p>
        </w:tc>
        <w:tc>
          <w:tcPr>
            <w:tcW w:w="100" w:type="dxa"/>
            <w:vAlign w:val="bottom"/>
            <w:tcBorders>
              <w:bottom w:val="single" w:sz="8" w:color="CCEEFF"/>
            </w:tcBorders>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1260" w:type="dxa"/>
            <w:vAlign w:val="bottom"/>
            <w:tcBorders>
              <w:top w:val="single" w:sz="8" w:color="auto"/>
              <w:bottom w:val="single" w:sz="8" w:color="auto"/>
            </w:tcBorders>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5"/>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18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3860" w:type="dxa"/>
            <w:vAlign w:val="bottom"/>
          </w:tcPr>
          <w:p>
            <w:pPr>
              <w:spacing w:after="0" w:line="249" w:lineRule="exact"/>
              <w:rPr>
                <w:sz w:val="20"/>
                <w:szCs w:val="20"/>
                <w:color w:val="auto"/>
              </w:rPr>
            </w:pPr>
            <w:r>
              <w:rPr>
                <w:rFonts w:ascii="Times New Roman" w:cs="Times New Roman" w:eastAsia="Times New Roman" w:hAnsi="Times New Roman"/>
                <w:sz w:val="17"/>
                <w:szCs w:val="17"/>
                <w:color w:val="auto"/>
              </w:rPr>
              <w:t xml:space="preserve">Cash equivalents - Money market funds </w:t>
            </w:r>
            <w:r>
              <w:rPr>
                <w:rFonts w:ascii="Times New Roman" w:cs="Times New Roman" w:eastAsia="Times New Roman" w:hAnsi="Times New Roman"/>
                <w:sz w:val="22"/>
                <w:szCs w:val="22"/>
                <w:color w:val="auto"/>
                <w:vertAlign w:val="superscript"/>
              </w:rPr>
              <w:t>(1)</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49,806</w:t>
            </w:r>
          </w:p>
        </w:tc>
        <w:tc>
          <w:tcPr>
            <w:tcW w:w="100" w:type="dxa"/>
            <w:vAlign w:val="bottom"/>
          </w:tcPr>
          <w:p>
            <w:pPr>
              <w:spacing w:after="0"/>
              <w:rPr>
                <w:sz w:val="21"/>
                <w:szCs w:val="21"/>
                <w:color w:val="auto"/>
              </w:rPr>
            </w:pPr>
          </w:p>
        </w:tc>
        <w:tc>
          <w:tcPr>
            <w:tcW w:w="20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jc w:val="right"/>
              <w:ind w:right="193"/>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49,806</w:t>
            </w:r>
          </w:p>
        </w:tc>
        <w:tc>
          <w:tcPr>
            <w:tcW w:w="0" w:type="dxa"/>
            <w:vAlign w:val="bottom"/>
          </w:tcPr>
          <w:p>
            <w:pPr>
              <w:spacing w:after="0"/>
              <w:rPr>
                <w:sz w:val="1"/>
                <w:szCs w:val="1"/>
                <w:color w:val="auto"/>
              </w:rPr>
            </w:pPr>
          </w:p>
        </w:tc>
      </w:tr>
      <w:tr>
        <w:trPr>
          <w:trHeight w:val="223"/>
        </w:trPr>
        <w:tc>
          <w:tcPr>
            <w:tcW w:w="3860" w:type="dxa"/>
            <w:vAlign w:val="bottom"/>
            <w:shd w:val="clear" w:color="auto" w:fill="CCEEFF"/>
          </w:tcPr>
          <w:p>
            <w:pPr>
              <w:spacing w:after="0" w:line="223" w:lineRule="exact"/>
              <w:rPr>
                <w:sz w:val="20"/>
                <w:szCs w:val="20"/>
                <w:color w:val="auto"/>
              </w:rPr>
            </w:pPr>
            <w:r>
              <w:rPr>
                <w:rFonts w:ascii="Times New Roman" w:cs="Times New Roman" w:eastAsia="Times New Roman" w:hAnsi="Times New Roman"/>
                <w:sz w:val="17"/>
                <w:szCs w:val="17"/>
                <w:color w:val="auto"/>
              </w:rPr>
              <w:t xml:space="preserve">Mutual funds </w:t>
            </w:r>
            <w:r>
              <w:rPr>
                <w:rFonts w:ascii="Times New Roman" w:cs="Times New Roman" w:eastAsia="Times New Roman" w:hAnsi="Times New Roman"/>
                <w:sz w:val="22"/>
                <w:szCs w:val="22"/>
                <w:color w:val="auto"/>
                <w:vertAlign w:val="superscript"/>
              </w:rPr>
              <w:t>(2)</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52,650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52,650</w:t>
            </w:r>
          </w:p>
        </w:tc>
        <w:tc>
          <w:tcPr>
            <w:tcW w:w="0" w:type="dxa"/>
            <w:vAlign w:val="bottom"/>
          </w:tcPr>
          <w:p>
            <w:pPr>
              <w:spacing w:after="0"/>
              <w:rPr>
                <w:sz w:val="1"/>
                <w:szCs w:val="1"/>
                <w:color w:val="auto"/>
              </w:rPr>
            </w:pPr>
          </w:p>
        </w:tc>
      </w:tr>
      <w:tr>
        <w:trPr>
          <w:trHeight w:val="223"/>
        </w:trPr>
        <w:tc>
          <w:tcPr>
            <w:tcW w:w="3860" w:type="dxa"/>
            <w:vAlign w:val="bottom"/>
          </w:tcPr>
          <w:p>
            <w:pPr>
              <w:spacing w:after="0"/>
              <w:rPr>
                <w:sz w:val="20"/>
                <w:szCs w:val="20"/>
                <w:color w:val="auto"/>
              </w:rPr>
            </w:pPr>
            <w:r>
              <w:rPr>
                <w:rFonts w:ascii="Times New Roman" w:cs="Times New Roman" w:eastAsia="Times New Roman" w:hAnsi="Times New Roman"/>
                <w:sz w:val="17"/>
                <w:szCs w:val="17"/>
                <w:color w:val="auto"/>
              </w:rPr>
              <w:t>Derivative financial instruments</w:t>
            </w:r>
          </w:p>
        </w:tc>
        <w:tc>
          <w:tcPr>
            <w:tcW w:w="180" w:type="dxa"/>
            <w:vAlign w:val="bottom"/>
          </w:tcPr>
          <w:p>
            <w:pPr>
              <w:spacing w:after="0"/>
              <w:rPr>
                <w:sz w:val="19"/>
                <w:szCs w:val="19"/>
                <w:color w:val="auto"/>
              </w:rPr>
            </w:pP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7,607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7,607</w:t>
            </w:r>
          </w:p>
        </w:tc>
        <w:tc>
          <w:tcPr>
            <w:tcW w:w="0" w:type="dxa"/>
            <w:vAlign w:val="bottom"/>
          </w:tcPr>
          <w:p>
            <w:pPr>
              <w:spacing w:after="0"/>
              <w:rPr>
                <w:sz w:val="1"/>
                <w:szCs w:val="1"/>
                <w:color w:val="auto"/>
              </w:rPr>
            </w:pPr>
          </w:p>
        </w:tc>
      </w:tr>
      <w:tr>
        <w:trPr>
          <w:trHeight w:val="241"/>
        </w:trPr>
        <w:tc>
          <w:tcPr>
            <w:tcW w:w="38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102,456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7,607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ind w:right="193"/>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110,063</w:t>
            </w:r>
          </w:p>
        </w:tc>
        <w:tc>
          <w:tcPr>
            <w:tcW w:w="0" w:type="dxa"/>
            <w:vAlign w:val="bottom"/>
          </w:tcPr>
          <w:p>
            <w:pPr>
              <w:spacing w:after="0"/>
              <w:rPr>
                <w:sz w:val="1"/>
                <w:szCs w:val="1"/>
                <w:color w:val="auto"/>
              </w:rPr>
            </w:pPr>
          </w:p>
        </w:tc>
      </w:tr>
      <w:tr>
        <w:trPr>
          <w:trHeight w:val="20"/>
        </w:trPr>
        <w:tc>
          <w:tcPr>
            <w:tcW w:w="38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7"/>
                <w:szCs w:val="17"/>
                <w:b w:val="1"/>
                <w:bCs w:val="1"/>
                <w:color w:val="auto"/>
              </w:rPr>
              <w:t>Liabilities</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8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Derivative financial instruments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2,225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2,225</w:t>
            </w:r>
          </w:p>
        </w:tc>
        <w:tc>
          <w:tcPr>
            <w:tcW w:w="0" w:type="dxa"/>
            <w:vAlign w:val="bottom"/>
          </w:tcPr>
          <w:p>
            <w:pPr>
              <w:spacing w:after="0"/>
              <w:rPr>
                <w:sz w:val="1"/>
                <w:szCs w:val="1"/>
                <w:color w:val="auto"/>
              </w:rPr>
            </w:pPr>
          </w:p>
        </w:tc>
      </w:tr>
      <w:tr>
        <w:trPr>
          <w:trHeight w:val="249"/>
        </w:trPr>
        <w:tc>
          <w:tcPr>
            <w:tcW w:w="3860" w:type="dxa"/>
            <w:vAlign w:val="bottom"/>
          </w:tcPr>
          <w:p>
            <w:pPr>
              <w:spacing w:after="0" w:line="249" w:lineRule="exact"/>
              <w:rPr>
                <w:sz w:val="20"/>
                <w:szCs w:val="20"/>
                <w:color w:val="auto"/>
              </w:rPr>
            </w:pPr>
            <w:r>
              <w:rPr>
                <w:rFonts w:ascii="Times New Roman" w:cs="Times New Roman" w:eastAsia="Times New Roman" w:hAnsi="Times New Roman"/>
                <w:sz w:val="17"/>
                <w:szCs w:val="17"/>
                <w:color w:val="auto"/>
              </w:rPr>
              <w:t xml:space="preserve">Contingent consideration </w:t>
            </w:r>
            <w:r>
              <w:rPr>
                <w:rFonts w:ascii="Times New Roman" w:cs="Times New Roman" w:eastAsia="Times New Roman" w:hAnsi="Times New Roman"/>
                <w:sz w:val="22"/>
                <w:szCs w:val="22"/>
                <w:color w:val="auto"/>
                <w:vertAlign w:val="superscript"/>
              </w:rPr>
              <w:t>(3)</w:t>
            </w:r>
          </w:p>
        </w:tc>
        <w:tc>
          <w:tcPr>
            <w:tcW w:w="180" w:type="dxa"/>
            <w:vAlign w:val="bottom"/>
          </w:tcPr>
          <w:p>
            <w:pPr>
              <w:spacing w:after="0"/>
              <w:rPr>
                <w:sz w:val="21"/>
                <w:szCs w:val="21"/>
                <w:color w:val="auto"/>
              </w:rPr>
            </w:pP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1"/>
                <w:szCs w:val="21"/>
                <w:color w:val="auto"/>
              </w:rPr>
            </w:pP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15,589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15,589</w:t>
            </w:r>
          </w:p>
        </w:tc>
        <w:tc>
          <w:tcPr>
            <w:tcW w:w="0" w:type="dxa"/>
            <w:vAlign w:val="bottom"/>
          </w:tcPr>
          <w:p>
            <w:pPr>
              <w:spacing w:after="0"/>
              <w:rPr>
                <w:sz w:val="1"/>
                <w:szCs w:val="1"/>
                <w:color w:val="auto"/>
              </w:rPr>
            </w:pPr>
          </w:p>
        </w:tc>
      </w:tr>
      <w:tr>
        <w:trPr>
          <w:trHeight w:val="241"/>
        </w:trPr>
        <w:tc>
          <w:tcPr>
            <w:tcW w:w="38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2,225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15,589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ind w:right="193"/>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17,814</w:t>
            </w:r>
          </w:p>
        </w:tc>
        <w:tc>
          <w:tcPr>
            <w:tcW w:w="0" w:type="dxa"/>
            <w:vAlign w:val="bottom"/>
          </w:tcPr>
          <w:p>
            <w:pPr>
              <w:spacing w:after="0"/>
              <w:rPr>
                <w:sz w:val="1"/>
                <w:szCs w:val="1"/>
                <w:color w:val="auto"/>
              </w:rPr>
            </w:pP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0" w:lineRule="exact"/>
        <w:rPr>
          <w:sz w:val="20"/>
          <w:szCs w:val="20"/>
          <w:color w:val="auto"/>
        </w:rPr>
      </w:pPr>
    </w:p>
    <w:p>
      <w:pPr>
        <w:ind w:left="480" w:hanging="239"/>
        <w:spacing w:after="0"/>
        <w:tabs>
          <w:tab w:leader="none" w:pos="48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money market funds which are carried at the fair value option under ASC Topic 825 “Financial Instruments”.</w:t>
      </w:r>
    </w:p>
    <w:p>
      <w:pPr>
        <w:spacing w:after="0" w:line="250" w:lineRule="exact"/>
        <w:rPr>
          <w:rFonts w:ascii="Times New Roman" w:cs="Times New Roman" w:eastAsia="Times New Roman" w:hAnsi="Times New Roman"/>
          <w:sz w:val="17"/>
          <w:szCs w:val="17"/>
          <w:color w:val="auto"/>
        </w:rPr>
      </w:pPr>
    </w:p>
    <w:p>
      <w:pPr>
        <w:ind w:left="480" w:hanging="239"/>
        <w:spacing w:after="0"/>
        <w:tabs>
          <w:tab w:leader="none" w:pos="48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those short-term investments which are carried at the fair value option under ASC Topic 825 “Financial Instruments”.</w:t>
      </w:r>
    </w:p>
    <w:p>
      <w:pPr>
        <w:spacing w:after="0" w:line="250" w:lineRule="exact"/>
        <w:rPr>
          <w:rFonts w:ascii="Times New Roman" w:cs="Times New Roman" w:eastAsia="Times New Roman" w:hAnsi="Times New Roman"/>
          <w:sz w:val="17"/>
          <w:szCs w:val="17"/>
          <w:color w:val="auto"/>
        </w:rPr>
      </w:pPr>
    </w:p>
    <w:p>
      <w:pPr>
        <w:ind w:firstLine="241"/>
        <w:spacing w:after="0" w:line="297" w:lineRule="auto"/>
        <w:tabs>
          <w:tab w:leader="none" w:pos="486"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Contingent consideration is presented under “Accrued Expenses and Other Current Liabilities” and “Other Non-Current Liabilities,” as applicable, in the consolidated balance sheets.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Fair Value of Derivative Financial Instruments:</w:t>
      </w:r>
    </w:p>
    <w:p>
      <w:pPr>
        <w:spacing w:after="0" w:line="226" w:lineRule="exact"/>
        <w:rPr>
          <w:sz w:val="20"/>
          <w:szCs w:val="20"/>
          <w:color w:val="auto"/>
        </w:rPr>
      </w:pPr>
    </w:p>
    <w:p>
      <w:pPr>
        <w:jc w:val="both"/>
        <w:ind w:firstLine="393"/>
        <w:spacing w:after="0" w:line="261" w:lineRule="auto"/>
        <w:rPr>
          <w:sz w:val="20"/>
          <w:szCs w:val="20"/>
          <w:color w:val="auto"/>
        </w:rPr>
      </w:pPr>
      <w:r>
        <w:rPr>
          <w:rFonts w:ascii="Times New Roman" w:cs="Times New Roman" w:eastAsia="Times New Roman" w:hAnsi="Times New Roman"/>
          <w:sz w:val="17"/>
          <w:szCs w:val="17"/>
          <w:color w:val="auto"/>
        </w:rPr>
        <w:t>The Company’s derivative financial instruments consist of foreign currency forward contracts and interest rate swaps. Fair values for derivative financial instruments are based on independent sources including highly rated financial institutions and are classified as Level 2. Refer to Note 17 - Derivatives and Hedge Accounting to the unaudited consolidated financial statements for further details.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EXLSERVICE HOLDINGS, INC.</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UNAUDITED CONSOLIDATED FINANCIAL STATEMENTS—(continued)</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September 30, 2024</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per share amount and share count)</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Fair Value of Contingent Consideration:</w:t>
      </w:r>
    </w:p>
    <w:p>
      <w:pPr>
        <w:spacing w:after="0" w:line="252" w:lineRule="exact"/>
        <w:rPr>
          <w:sz w:val="20"/>
          <w:szCs w:val="20"/>
          <w:color w:val="auto"/>
        </w:rPr>
      </w:pPr>
    </w:p>
    <w:p>
      <w:pPr>
        <w:jc w:val="both"/>
        <w:ind w:firstLine="393"/>
        <w:spacing w:after="0" w:line="267" w:lineRule="auto"/>
        <w:rPr>
          <w:sz w:val="20"/>
          <w:szCs w:val="20"/>
          <w:color w:val="auto"/>
        </w:rPr>
      </w:pPr>
      <w:r>
        <w:rPr>
          <w:rFonts w:ascii="Times New Roman" w:cs="Times New Roman" w:eastAsia="Times New Roman" w:hAnsi="Times New Roman"/>
          <w:sz w:val="17"/>
          <w:szCs w:val="17"/>
          <w:color w:val="auto"/>
        </w:rPr>
        <w:t>The fair value measurement of contingent consideration is determined using Level 3 inputs. The Company’s contingent consideration represents a component of the total purchase consideration for business acquisitions. The measurement is calculated using unobservable inputs based on the Company’s own assessment of achievement of certain performance goals. The Company estimated the fair value of the contingent consideration based on the Monte Carlo simulation model and scenario-based method. Refer to Note 10 - Business Combinations, Goodwill and Other Intangible Assets to the unaudited consolidated financial statements for further details.</w:t>
      </w:r>
    </w:p>
    <w:p>
      <w:pPr>
        <w:spacing w:after="0" w:line="19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The following table summarizes the changes in the fair value of contingent consideration:</w:t>
      </w:r>
    </w:p>
    <w:p>
      <w:pPr>
        <w:spacing w:after="0" w:line="56" w:lineRule="exact"/>
        <w:rPr>
          <w:sz w:val="20"/>
          <w:szCs w:val="20"/>
          <w:color w:val="auto"/>
        </w:rPr>
      </w:pPr>
    </w:p>
    <w:tbl>
      <w:tblPr>
        <w:tblLayout w:type="fixed"/>
        <w:tblInd w:w="400" w:type="dxa"/>
        <w:tblCellMar>
          <w:top w:w="0" w:type="dxa"/>
          <w:left w:w="0" w:type="dxa"/>
          <w:bottom w:w="0" w:type="dxa"/>
          <w:right w:w="0" w:type="dxa"/>
        </w:tblCellMar>
      </w:tblPr>
      <w:tr>
        <w:trPr>
          <w:trHeight w:val="210"/>
        </w:trPr>
        <w:tc>
          <w:tcPr>
            <w:tcW w:w="2920" w:type="dxa"/>
            <w:vAlign w:val="bottom"/>
          </w:tcPr>
          <w:p>
            <w:pPr>
              <w:spacing w:after="0"/>
              <w:rPr>
                <w:sz w:val="18"/>
                <w:szCs w:val="18"/>
                <w:color w:val="auto"/>
              </w:rPr>
            </w:pPr>
          </w:p>
        </w:tc>
        <w:tc>
          <w:tcPr>
            <w:tcW w:w="30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5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3220" w:type="dxa"/>
            <w:vAlign w:val="bottom"/>
            <w:tcBorders>
              <w:bottom w:val="single" w:sz="8" w:color="auto"/>
            </w:tcBorders>
            <w:gridSpan w:val="4"/>
          </w:tcPr>
          <w:p>
            <w:pPr>
              <w:jc w:val="right"/>
              <w:ind w:right="574"/>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04"/>
        </w:trPr>
        <w:tc>
          <w:tcPr>
            <w:tcW w:w="292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6"/>
                <w:szCs w:val="16"/>
                <w:b w:val="1"/>
                <w:bCs w:val="1"/>
                <w:color w:val="auto"/>
              </w:rPr>
              <w:t>2024</w:t>
            </w:r>
          </w:p>
        </w:tc>
        <w:tc>
          <w:tcPr>
            <w:tcW w:w="5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6"/>
                <w:szCs w:val="16"/>
                <w:b w:val="1"/>
                <w:bCs w:val="1"/>
                <w:color w:val="auto"/>
              </w:rPr>
              <w:t>2023</w:t>
            </w:r>
          </w:p>
        </w:tc>
        <w:tc>
          <w:tcPr>
            <w:tcW w:w="5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635"/>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634"/>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7"/>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Opening balance</w:t>
            </w:r>
          </w:p>
        </w:tc>
        <w:tc>
          <w:tcPr>
            <w:tcW w:w="1160" w:type="dxa"/>
            <w:vAlign w:val="bottom"/>
            <w:shd w:val="clear" w:color="auto" w:fill="CCEEFF"/>
          </w:tcPr>
          <w:p>
            <w:pPr>
              <w:jc w:val="right"/>
              <w:ind w:right="977"/>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976"/>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13,689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15,589</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3"/>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18,689</w:t>
            </w:r>
          </w:p>
        </w:tc>
      </w:tr>
      <w:tr>
        <w:trPr>
          <w:trHeight w:val="223"/>
        </w:trPr>
        <w:tc>
          <w:tcPr>
            <w:tcW w:w="2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Acquisitions</w:t>
            </w:r>
          </w:p>
        </w:tc>
        <w:tc>
          <w:tcPr>
            <w:tcW w:w="1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7,700</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7,700</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3"/>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Fair value changes</w:t>
            </w:r>
          </w:p>
        </w:tc>
        <w:tc>
          <w:tcPr>
            <w:tcW w:w="116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2,500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(589)</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2,500</w:t>
            </w:r>
          </w:p>
        </w:tc>
      </w:tr>
      <w:tr>
        <w:trPr>
          <w:trHeight w:val="223"/>
        </w:trPr>
        <w:tc>
          <w:tcPr>
            <w:tcW w:w="2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Payments</w:t>
            </w:r>
          </w:p>
        </w:tc>
        <w:tc>
          <w:tcPr>
            <w:tcW w:w="116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(15,000)</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(5,000)</w:t>
            </w:r>
          </w:p>
        </w:tc>
      </w:tr>
      <w:tr>
        <w:trPr>
          <w:trHeight w:val="241"/>
        </w:trPr>
        <w:tc>
          <w:tcPr>
            <w:tcW w:w="29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Closing balance</w:t>
            </w:r>
          </w:p>
        </w:tc>
        <w:tc>
          <w:tcPr>
            <w:tcW w:w="1160" w:type="dxa"/>
            <w:vAlign w:val="bottom"/>
            <w:tcBorders>
              <w:top w:val="single" w:sz="8" w:color="auto"/>
              <w:bottom w:val="single" w:sz="8" w:color="auto"/>
            </w:tcBorders>
            <w:shd w:val="clear" w:color="auto" w:fill="CCEEFF"/>
          </w:tcPr>
          <w:p>
            <w:pPr>
              <w:jc w:val="right"/>
              <w:ind w:right="977"/>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7,700</w:t>
            </w: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160" w:type="dxa"/>
            <w:vAlign w:val="bottom"/>
            <w:tcBorders>
              <w:top w:val="single" w:sz="8" w:color="auto"/>
              <w:bottom w:val="single" w:sz="8" w:color="auto"/>
            </w:tcBorders>
            <w:shd w:val="clear" w:color="auto" w:fill="CCEEFF"/>
          </w:tcPr>
          <w:p>
            <w:pPr>
              <w:jc w:val="right"/>
              <w:ind w:right="976"/>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16,189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ind w:right="193"/>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7,700</w:t>
            </w:r>
          </w:p>
        </w:tc>
        <w:tc>
          <w:tcPr>
            <w:tcW w:w="80" w:type="dxa"/>
            <w:vAlign w:val="bottom"/>
            <w:tcBorders>
              <w:top w:val="single" w:sz="8" w:color="auto"/>
              <w:bottom w:val="single" w:sz="8" w:color="auto"/>
            </w:tcBorders>
            <w:shd w:val="clear" w:color="auto" w:fill="CCEEFF"/>
          </w:tcPr>
          <w:p>
            <w:pPr>
              <w:spacing w:after="0"/>
              <w:rPr>
                <w:sz w:val="20"/>
                <w:szCs w:val="20"/>
                <w:color w:val="auto"/>
              </w:rPr>
            </w:pPr>
          </w:p>
        </w:tc>
        <w:tc>
          <w:tcPr>
            <w:tcW w:w="420" w:type="dxa"/>
            <w:vAlign w:val="bottom"/>
            <w:tcBorders>
              <w:top w:val="single" w:sz="8" w:color="auto"/>
              <w:bottom w:val="single" w:sz="8" w:color="auto"/>
            </w:tcBorders>
            <w:shd w:val="clear" w:color="auto" w:fill="CCEEFF"/>
          </w:tcPr>
          <w:p>
            <w:pPr>
              <w:jc w:val="right"/>
              <w:ind w:right="233"/>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16,189</w:t>
            </w:r>
          </w:p>
        </w:tc>
      </w:tr>
      <w:tr>
        <w:trPr>
          <w:trHeight w:val="20"/>
        </w:trPr>
        <w:tc>
          <w:tcPr>
            <w:tcW w:w="29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During the three and nine months ended September 30, 2024 and 2023, there were no transfers among Level 1, Level 2 and Level 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Financial Instruments Not Carried at Fair Value</w:t>
      </w:r>
      <w:r>
        <w:rPr>
          <w:rFonts w:ascii="Times New Roman" w:cs="Times New Roman" w:eastAsia="Times New Roman" w:hAnsi="Times New Roman"/>
          <w:sz w:val="17"/>
          <w:szCs w:val="17"/>
          <w:color w:val="auto"/>
        </w:rPr>
        <w:t>:</w:t>
      </w:r>
    </w:p>
    <w:p>
      <w:pPr>
        <w:spacing w:after="0" w:line="239" w:lineRule="exact"/>
        <w:rPr>
          <w:sz w:val="20"/>
          <w:szCs w:val="20"/>
          <w:color w:val="auto"/>
        </w:rPr>
      </w:pPr>
    </w:p>
    <w:p>
      <w:pPr>
        <w:jc w:val="both"/>
        <w:ind w:firstLine="393"/>
        <w:spacing w:after="0" w:line="247" w:lineRule="auto"/>
        <w:rPr>
          <w:sz w:val="20"/>
          <w:szCs w:val="20"/>
          <w:color w:val="auto"/>
        </w:rPr>
      </w:pPr>
      <w:r>
        <w:rPr>
          <w:rFonts w:ascii="Times New Roman" w:cs="Times New Roman" w:eastAsia="Times New Roman" w:hAnsi="Times New Roman"/>
          <w:sz w:val="17"/>
          <w:szCs w:val="17"/>
          <w:color w:val="auto"/>
        </w:rPr>
        <w:t>The Company’s other financial instruments not carried at fair value consist primarily of cash and cash equivalents (except investments in money market funds, as disclosed above), short-term investments (except investments in mutual funds, as disclosed above), restricted cash, accounts receivable, net, long-term investments, accrued capital expenditures, accrued expenses, client liabilities and interest payable on borrowings for which fair values approximate their carrying amounts. The carrying value of the Company’s outstanding credit facilities approximates their fair value because the Company’s interest rate yield is near current market rates for comparable debt instruments.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17. Derivatives and Hedge Accounting</w:t>
      </w:r>
    </w:p>
    <w:p>
      <w:pPr>
        <w:spacing w:after="0" w:line="239" w:lineRule="exact"/>
        <w:rPr>
          <w:sz w:val="20"/>
          <w:szCs w:val="20"/>
          <w:color w:val="auto"/>
        </w:rPr>
      </w:pPr>
    </w:p>
    <w:p>
      <w:pPr>
        <w:jc w:val="both"/>
        <w:ind w:firstLine="393"/>
        <w:spacing w:after="0" w:line="254" w:lineRule="auto"/>
        <w:rPr>
          <w:sz w:val="20"/>
          <w:szCs w:val="20"/>
          <w:color w:val="auto"/>
        </w:rPr>
      </w:pPr>
      <w:r>
        <w:rPr>
          <w:rFonts w:ascii="Times New Roman" w:cs="Times New Roman" w:eastAsia="Times New Roman" w:hAnsi="Times New Roman"/>
          <w:sz w:val="17"/>
          <w:szCs w:val="17"/>
          <w:color w:val="auto"/>
        </w:rPr>
        <w:t xml:space="preserve">The Company uses derivative instruments to mitigate cash flow volatility from risk of fluctuations in foreign currency exchange rates and interest rates. The Company enters into foreign currency forward contracts to hedge cash flow risks from forecasted transactions denominated in certain foreign currencies, and interest rate swaps to hedge cash flow risks from its revolving credit facility having variable interest rate obligations. These contracts qualify as cash flow hedges under ASC Topic 815, </w:t>
      </w:r>
      <w:r>
        <w:rPr>
          <w:rFonts w:ascii="Times New Roman" w:cs="Times New Roman" w:eastAsia="Times New Roman" w:hAnsi="Times New Roman"/>
          <w:sz w:val="17"/>
          <w:szCs w:val="17"/>
          <w:i w:val="1"/>
          <w:iCs w:val="1"/>
          <w:color w:val="auto"/>
        </w:rPr>
        <w:t>Derivatives and Hedging</w:t>
      </w:r>
      <w:r>
        <w:rPr>
          <w:rFonts w:ascii="Times New Roman" w:cs="Times New Roman" w:eastAsia="Times New Roman" w:hAnsi="Times New Roman"/>
          <w:sz w:val="17"/>
          <w:szCs w:val="17"/>
          <w:color w:val="auto"/>
        </w:rPr>
        <w:t>, and are with counterparties that are highly rated financial institutions.</w:t>
      </w:r>
    </w:p>
    <w:p>
      <w:pPr>
        <w:spacing w:after="0" w:line="20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The following table sets forth the aggregate notional amount of derivatives in cash flow hedging relationship:</w:t>
      </w:r>
    </w:p>
    <w:p>
      <w:pPr>
        <w:spacing w:after="0" w:line="43" w:lineRule="exact"/>
        <w:rPr>
          <w:sz w:val="20"/>
          <w:szCs w:val="20"/>
          <w:color w:val="auto"/>
        </w:rPr>
      </w:pPr>
    </w:p>
    <w:tbl>
      <w:tblPr>
        <w:tblLayout w:type="fixed"/>
        <w:tblInd w:w="440" w:type="dxa"/>
        <w:tblCellMar>
          <w:top w:w="0" w:type="dxa"/>
          <w:left w:w="0" w:type="dxa"/>
          <w:bottom w:w="0" w:type="dxa"/>
          <w:right w:w="0" w:type="dxa"/>
        </w:tblCellMar>
      </w:tblPr>
      <w:tr>
        <w:trPr>
          <w:trHeight w:val="210"/>
        </w:trPr>
        <w:tc>
          <w:tcPr>
            <w:tcW w:w="6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00" w:type="dxa"/>
            <w:vAlign w:val="bottom"/>
            <w:tcBorders>
              <w:bottom w:val="single" w:sz="8" w:color="auto"/>
            </w:tcBorders>
            <w:gridSpan w:val="3"/>
          </w:tcPr>
          <w:p>
            <w:pPr>
              <w:ind w:left="200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860" w:type="dxa"/>
            <w:vAlign w:val="bottom"/>
            <w:tcBorders>
              <w:bottom w:val="single" w:sz="8" w:color="auto"/>
            </w:tcBorders>
          </w:tcPr>
          <w:p>
            <w:pPr>
              <w:spacing w:after="0"/>
              <w:rPr>
                <w:sz w:val="18"/>
                <w:szCs w:val="18"/>
                <w:color w:val="auto"/>
              </w:rPr>
            </w:pPr>
          </w:p>
        </w:tc>
      </w:tr>
      <w:tr>
        <w:trPr>
          <w:trHeight w:val="204"/>
        </w:trPr>
        <w:tc>
          <w:tcPr>
            <w:tcW w:w="6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00" w:type="dxa"/>
            <w:vAlign w:val="bottom"/>
            <w:gridSpan w:val="3"/>
          </w:tcPr>
          <w:p>
            <w:pPr>
              <w:ind w:left="400"/>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1860" w:type="dxa"/>
            <w:vAlign w:val="bottom"/>
          </w:tcPr>
          <w:p>
            <w:pPr>
              <w:jc w:val="right"/>
              <w:ind w:right="336"/>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17"/>
        </w:trPr>
        <w:tc>
          <w:tcPr>
            <w:tcW w:w="6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Foreign currency forward contracts denominated in:</w:t>
            </w:r>
          </w:p>
        </w:tc>
        <w:tc>
          <w:tcPr>
            <w:tcW w:w="100" w:type="dxa"/>
            <w:vAlign w:val="bottom"/>
            <w:tcBorders>
              <w:top w:val="single" w:sz="8" w:color="CCEEFF"/>
            </w:tcBorders>
            <w:shd w:val="clear" w:color="auto" w:fill="CCEEFF"/>
          </w:tcPr>
          <w:p>
            <w:pPr>
              <w:spacing w:after="0"/>
              <w:rPr>
                <w:sz w:val="18"/>
                <w:szCs w:val="18"/>
                <w:color w:val="auto"/>
              </w:rPr>
            </w:pPr>
          </w:p>
        </w:tc>
        <w:tc>
          <w:tcPr>
            <w:tcW w:w="21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860" w:type="dxa"/>
            <w:vAlign w:val="bottom"/>
            <w:tcBorders>
              <w:top w:val="single" w:sz="8" w:color="auto"/>
            </w:tcBorders>
            <w:shd w:val="clear" w:color="auto" w:fill="CCEEFF"/>
          </w:tcPr>
          <w:p>
            <w:pPr>
              <w:spacing w:after="0"/>
              <w:rPr>
                <w:sz w:val="18"/>
                <w:szCs w:val="18"/>
                <w:color w:val="auto"/>
              </w:rPr>
            </w:pPr>
          </w:p>
        </w:tc>
      </w:tr>
      <w:tr>
        <w:trPr>
          <w:trHeight w:val="228"/>
        </w:trPr>
        <w:tc>
          <w:tcPr>
            <w:tcW w:w="632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Sell U.S. dollar (USD)</w:t>
            </w:r>
          </w:p>
        </w:tc>
        <w:tc>
          <w:tcPr>
            <w:tcW w:w="2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868,200</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722,800</w:t>
            </w:r>
          </w:p>
        </w:tc>
      </w:tr>
      <w:tr>
        <w:trPr>
          <w:trHeight w:val="48"/>
        </w:trPr>
        <w:tc>
          <w:tcPr>
            <w:tcW w:w="6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14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60" w:type="dxa"/>
            <w:vAlign w:val="bottom"/>
          </w:tcPr>
          <w:p>
            <w:pPr>
              <w:spacing w:after="0"/>
              <w:rPr>
                <w:sz w:val="4"/>
                <w:szCs w:val="4"/>
                <w:color w:val="auto"/>
              </w:rPr>
            </w:pPr>
          </w:p>
        </w:tc>
      </w:tr>
      <w:tr>
        <w:trPr>
          <w:trHeight w:val="223"/>
        </w:trPr>
        <w:tc>
          <w:tcPr>
            <w:tcW w:w="6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Interest rate swaps (Floating to fixed) denominated in:</w:t>
            </w:r>
          </w:p>
        </w:tc>
        <w:tc>
          <w:tcPr>
            <w:tcW w:w="2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r>
      <w:tr>
        <w:trPr>
          <w:trHeight w:val="228"/>
        </w:trPr>
        <w:tc>
          <w:tcPr>
            <w:tcW w:w="632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USD</w:t>
            </w:r>
          </w:p>
        </w:tc>
        <w:tc>
          <w:tcPr>
            <w:tcW w:w="2500" w:type="dxa"/>
            <w:vAlign w:val="bottom"/>
            <w:gridSpan w:val="3"/>
          </w:tcPr>
          <w:p>
            <w:pPr>
              <w:jc w:val="right"/>
              <w:ind w:right="440"/>
              <w:spacing w:after="0"/>
              <w:rPr>
                <w:sz w:val="20"/>
                <w:szCs w:val="20"/>
                <w:color w:val="auto"/>
              </w:rPr>
            </w:pPr>
            <w:r>
              <w:rPr>
                <w:rFonts w:ascii="Times New Roman" w:cs="Times New Roman" w:eastAsia="Times New Roman" w:hAnsi="Times New Roman"/>
                <w:sz w:val="17"/>
                <w:szCs w:val="17"/>
                <w:color w:val="auto"/>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75,000</w:t>
            </w:r>
          </w:p>
        </w:tc>
      </w:tr>
    </w:tbl>
    <w:p>
      <w:pPr>
        <w:spacing w:after="0" w:line="55" w:lineRule="exact"/>
        <w:rPr>
          <w:sz w:val="20"/>
          <w:szCs w:val="20"/>
          <w:color w:val="auto"/>
        </w:rPr>
      </w:pPr>
    </w:p>
    <w:p>
      <w:pPr>
        <w:jc w:val="both"/>
        <w:ind w:firstLine="393"/>
        <w:spacing w:after="0" w:line="261" w:lineRule="auto"/>
        <w:rPr>
          <w:sz w:val="20"/>
          <w:szCs w:val="20"/>
          <w:color w:val="auto"/>
        </w:rPr>
      </w:pPr>
      <w:r>
        <w:rPr>
          <w:rFonts w:ascii="Times New Roman" w:cs="Times New Roman" w:eastAsia="Times New Roman" w:hAnsi="Times New Roman"/>
          <w:sz w:val="17"/>
          <w:szCs w:val="17"/>
          <w:color w:val="auto"/>
        </w:rPr>
        <w:t>The Company estimates that approximately $7,631 of derivative gains, net, excluding tax effects, included in AOCI, representing changes in the value of cash flow hedges based on exchange rates prevailing as of September 30, 2024, could be reclassified into earnings within the next twelve months. As of September 30, 2024, the maximum outstanding term of the cash flow hedges was approximately 42 months.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EXLSERVICE HOLDINGS, INC.</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UNAUDITED CONSOLIDATED FINANCIAL STATEMENTS—(continued)</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September 30, 2024</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per share amount and share count)</w:t>
      </w:r>
    </w:p>
    <w:p>
      <w:pPr>
        <w:spacing w:after="0" w:line="219" w:lineRule="exact"/>
        <w:rPr>
          <w:sz w:val="20"/>
          <w:szCs w:val="20"/>
          <w:color w:val="auto"/>
        </w:rPr>
      </w:pPr>
    </w:p>
    <w:p>
      <w:pPr>
        <w:jc w:val="both"/>
        <w:ind w:firstLine="393"/>
        <w:spacing w:after="0" w:line="248" w:lineRule="auto"/>
        <w:rPr>
          <w:sz w:val="20"/>
          <w:szCs w:val="20"/>
          <w:color w:val="auto"/>
        </w:rPr>
      </w:pPr>
      <w:r>
        <w:rPr>
          <w:rFonts w:ascii="Times New Roman" w:cs="Times New Roman" w:eastAsia="Times New Roman" w:hAnsi="Times New Roman"/>
          <w:sz w:val="17"/>
          <w:szCs w:val="17"/>
          <w:color w:val="auto"/>
        </w:rPr>
        <w:t xml:space="preserve">The Company also enters into foreign currency forward contracts to hedge its intercompany balances and other monetary assets and liabilities denominated in currencies other than functional currencies, against the risk of fluctuations in foreign currency exchange rates associated with remeasurement of such assets and liabilities to functional currency. These foreign currency forward contracts do not qualify as fair value hedges under ASC Topic 815, </w:t>
      </w:r>
      <w:r>
        <w:rPr>
          <w:rFonts w:ascii="Times New Roman" w:cs="Times New Roman" w:eastAsia="Times New Roman" w:hAnsi="Times New Roman"/>
          <w:sz w:val="17"/>
          <w:szCs w:val="17"/>
          <w:i w:val="1"/>
          <w:iCs w:val="1"/>
          <w:color w:val="auto"/>
        </w:rPr>
        <w:t>Derivatives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and Hedging</w:t>
      </w:r>
      <w:r>
        <w:rPr>
          <w:rFonts w:ascii="Times New Roman" w:cs="Times New Roman" w:eastAsia="Times New Roman" w:hAnsi="Times New Roman"/>
          <w:sz w:val="17"/>
          <w:szCs w:val="17"/>
          <w:color w:val="auto"/>
        </w:rPr>
        <w:t>. Changes in the fair value of these financial instruments are recognized in the unaudited consolidated statements of income and are included in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foreign exchange gain/(loss) line item. The Company’s primary exchange rate exposure is with the Indian rupee (INR), the Philippine peso (PHP), the U.K. pound sterling (GBP) and South African rand (ZAR). The Company also has exposure to the Colombian peso (COP), the Euro (EUR), the Australian dollar (AUD), the Canadian dollar (CAD) and other local currencies in which it operates.</w:t>
      </w:r>
    </w:p>
    <w:p>
      <w:pPr>
        <w:spacing w:after="0" w:line="186" w:lineRule="exact"/>
        <w:rPr>
          <w:sz w:val="20"/>
          <w:szCs w:val="20"/>
          <w:color w:val="auto"/>
        </w:rPr>
      </w:pPr>
    </w:p>
    <w:p>
      <w:pPr>
        <w:jc w:val="both"/>
        <w:ind w:firstLine="393"/>
        <w:spacing w:after="0" w:line="269" w:lineRule="auto"/>
        <w:rPr>
          <w:sz w:val="20"/>
          <w:szCs w:val="20"/>
          <w:color w:val="auto"/>
        </w:rPr>
      </w:pPr>
      <w:r>
        <w:rPr>
          <w:rFonts w:ascii="Times New Roman" w:cs="Times New Roman" w:eastAsia="Times New Roman" w:hAnsi="Times New Roman"/>
          <w:sz w:val="17"/>
          <w:szCs w:val="17"/>
          <w:color w:val="auto"/>
        </w:rPr>
        <w:t>The following table sets forth the aggregate notional principal amounts of outstanding foreign currency forward contracts for derivatives not designated as hedging instruments:</w:t>
      </w:r>
    </w:p>
    <w:p>
      <w:pPr>
        <w:spacing w:after="0" w:line="2" w:lineRule="exact"/>
        <w:rPr>
          <w:sz w:val="20"/>
          <w:szCs w:val="20"/>
          <w:color w:val="auto"/>
        </w:rPr>
      </w:pPr>
    </w:p>
    <w:tbl>
      <w:tblPr>
        <w:tblLayout w:type="fixed"/>
        <w:tblInd w:w="400" w:type="dxa"/>
        <w:tblCellMar>
          <w:top w:w="0" w:type="dxa"/>
          <w:left w:w="0" w:type="dxa"/>
          <w:bottom w:w="0" w:type="dxa"/>
          <w:right w:w="0" w:type="dxa"/>
        </w:tblCellMar>
      </w:tblPr>
      <w:tr>
        <w:trPr>
          <w:trHeight w:val="185"/>
        </w:trPr>
        <w:tc>
          <w:tcPr>
            <w:tcW w:w="6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20" w:type="dxa"/>
            <w:vAlign w:val="bottom"/>
            <w:gridSpan w:val="3"/>
          </w:tcPr>
          <w:p>
            <w:pPr>
              <w:ind w:left="202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6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Foreign currency forward contracts denominated in:</w:t>
            </w:r>
          </w:p>
        </w:tc>
        <w:tc>
          <w:tcPr>
            <w:tcW w:w="2520" w:type="dxa"/>
            <w:vAlign w:val="bottom"/>
            <w:tcBorders>
              <w:bottom w:val="single" w:sz="8" w:color="auto"/>
            </w:tcBorders>
            <w:gridSpan w:val="3"/>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6220" w:type="dxa"/>
            <w:vAlign w:val="bottom"/>
            <w:gridSpan w:val="2"/>
            <w:vMerge w:val="continue"/>
          </w:tcPr>
          <w:p>
            <w:pPr>
              <w:spacing w:after="0"/>
              <w:rPr>
                <w:sz w:val="16"/>
                <w:szCs w:val="16"/>
                <w:color w:val="auto"/>
              </w:rPr>
            </w:pPr>
          </w:p>
        </w:tc>
        <w:tc>
          <w:tcPr>
            <w:tcW w:w="2520" w:type="dxa"/>
            <w:vAlign w:val="bottom"/>
            <w:gridSpan w:val="3"/>
          </w:tcPr>
          <w:p>
            <w:pPr>
              <w:ind w:left="48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82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18"/>
        </w:trPr>
        <w:tc>
          <w:tcPr>
            <w:tcW w:w="6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Sell USD</w:t>
            </w:r>
          </w:p>
        </w:tc>
        <w:tc>
          <w:tcPr>
            <w:tcW w:w="100" w:type="dxa"/>
            <w:vAlign w:val="bottom"/>
            <w:tcBorders>
              <w:top w:val="single" w:sz="8" w:color="CCEEFF"/>
            </w:tcBorders>
            <w:shd w:val="clear" w:color="auto" w:fill="CCEEFF"/>
          </w:tcPr>
          <w:p>
            <w:pPr>
              <w:spacing w:after="0"/>
              <w:rPr>
                <w:sz w:val="18"/>
                <w:szCs w:val="18"/>
                <w:color w:val="auto"/>
              </w:rPr>
            </w:pPr>
          </w:p>
        </w:tc>
        <w:tc>
          <w:tcPr>
            <w:tcW w:w="2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200,322</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170,543</w:t>
            </w:r>
          </w:p>
        </w:tc>
        <w:tc>
          <w:tcPr>
            <w:tcW w:w="0" w:type="dxa"/>
            <w:vAlign w:val="bottom"/>
          </w:tcPr>
          <w:p>
            <w:pPr>
              <w:spacing w:after="0"/>
              <w:rPr>
                <w:sz w:val="1"/>
                <w:szCs w:val="1"/>
                <w:color w:val="auto"/>
              </w:rPr>
            </w:pPr>
          </w:p>
        </w:tc>
      </w:tr>
      <w:tr>
        <w:trPr>
          <w:trHeight w:val="223"/>
        </w:trPr>
        <w:tc>
          <w:tcPr>
            <w:tcW w:w="62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Sell GBP</w:t>
            </w:r>
          </w:p>
        </w:tc>
        <w:tc>
          <w:tcPr>
            <w:tcW w:w="2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27,321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14,544</w:t>
            </w:r>
          </w:p>
        </w:tc>
        <w:tc>
          <w:tcPr>
            <w:tcW w:w="0" w:type="dxa"/>
            <w:vAlign w:val="bottom"/>
          </w:tcPr>
          <w:p>
            <w:pPr>
              <w:spacing w:after="0"/>
              <w:rPr>
                <w:sz w:val="1"/>
                <w:szCs w:val="1"/>
                <w:color w:val="auto"/>
              </w:rPr>
            </w:pPr>
          </w:p>
        </w:tc>
      </w:tr>
      <w:tr>
        <w:trPr>
          <w:trHeight w:val="223"/>
        </w:trPr>
        <w:tc>
          <w:tcPr>
            <w:tcW w:w="6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Sell EUR</w:t>
            </w: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5,758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5,231</w:t>
            </w:r>
          </w:p>
        </w:tc>
        <w:tc>
          <w:tcPr>
            <w:tcW w:w="0" w:type="dxa"/>
            <w:vAlign w:val="bottom"/>
          </w:tcPr>
          <w:p>
            <w:pPr>
              <w:spacing w:after="0"/>
              <w:rPr>
                <w:sz w:val="1"/>
                <w:szCs w:val="1"/>
                <w:color w:val="auto"/>
              </w:rPr>
            </w:pPr>
          </w:p>
        </w:tc>
      </w:tr>
      <w:tr>
        <w:trPr>
          <w:trHeight w:val="223"/>
        </w:trPr>
        <w:tc>
          <w:tcPr>
            <w:tcW w:w="62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Sell AUD</w:t>
            </w:r>
          </w:p>
        </w:tc>
        <w:tc>
          <w:tcPr>
            <w:tcW w:w="2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6,887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3,452</w:t>
            </w:r>
          </w:p>
        </w:tc>
        <w:tc>
          <w:tcPr>
            <w:tcW w:w="0" w:type="dxa"/>
            <w:vAlign w:val="bottom"/>
          </w:tcPr>
          <w:p>
            <w:pPr>
              <w:spacing w:after="0"/>
              <w:rPr>
                <w:sz w:val="1"/>
                <w:szCs w:val="1"/>
                <w:color w:val="auto"/>
              </w:rPr>
            </w:pPr>
          </w:p>
        </w:tc>
      </w:tr>
      <w:tr>
        <w:trPr>
          <w:trHeight w:val="223"/>
        </w:trPr>
        <w:tc>
          <w:tcPr>
            <w:tcW w:w="6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Sell ZAR</w:t>
            </w:r>
          </w:p>
        </w:tc>
        <w:tc>
          <w:tcPr>
            <w:tcW w:w="252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7"/>
                <w:szCs w:val="17"/>
                <w:color w:val="auto"/>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150,150</w:t>
            </w:r>
          </w:p>
        </w:tc>
        <w:tc>
          <w:tcPr>
            <w:tcW w:w="0" w:type="dxa"/>
            <w:vAlign w:val="bottom"/>
          </w:tcPr>
          <w:p>
            <w:pPr>
              <w:spacing w:after="0"/>
              <w:rPr>
                <w:sz w:val="1"/>
                <w:szCs w:val="1"/>
                <w:color w:val="auto"/>
              </w:rPr>
            </w:pPr>
          </w:p>
        </w:tc>
      </w:tr>
      <w:tr>
        <w:trPr>
          <w:trHeight w:val="228"/>
        </w:trPr>
        <w:tc>
          <w:tcPr>
            <w:tcW w:w="62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Buy USD</w:t>
            </w:r>
          </w:p>
        </w:tc>
        <w:tc>
          <w:tcPr>
            <w:tcW w:w="2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10,944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bl>
    <w:p>
      <w:pPr>
        <w:spacing w:after="0" w:line="292" w:lineRule="exact"/>
        <w:rPr>
          <w:sz w:val="20"/>
          <w:szCs w:val="20"/>
          <w:color w:val="auto"/>
        </w:rPr>
      </w:pPr>
    </w:p>
    <w:p>
      <w:pPr>
        <w:ind w:firstLine="393"/>
        <w:spacing w:after="0" w:line="275" w:lineRule="auto"/>
        <w:rPr>
          <w:sz w:val="20"/>
          <w:szCs w:val="20"/>
          <w:color w:val="auto"/>
        </w:rPr>
      </w:pPr>
      <w:r>
        <w:rPr>
          <w:rFonts w:ascii="Times New Roman" w:cs="Times New Roman" w:eastAsia="Times New Roman" w:hAnsi="Times New Roman"/>
          <w:sz w:val="17"/>
          <w:szCs w:val="17"/>
          <w:color w:val="auto"/>
        </w:rPr>
        <w:t>The following table sets forth the fair value of the foreign currency forward contracts and interest rate swaps and their location on the consolidated balance sheets:</w:t>
      </w: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20" w:type="dxa"/>
            <w:vAlign w:val="bottom"/>
            <w:gridSpan w:val="5"/>
          </w:tcPr>
          <w:p>
            <w:pPr>
              <w:jc w:val="center"/>
              <w:ind w:right="320"/>
              <w:spacing w:after="0" w:line="161" w:lineRule="exact"/>
              <w:rPr>
                <w:sz w:val="20"/>
                <w:szCs w:val="20"/>
                <w:color w:val="auto"/>
              </w:rPr>
            </w:pPr>
            <w:r>
              <w:rPr>
                <w:rFonts w:ascii="Times New Roman" w:cs="Times New Roman" w:eastAsia="Times New Roman" w:hAnsi="Times New Roman"/>
                <w:sz w:val="16"/>
                <w:szCs w:val="16"/>
                <w:b w:val="1"/>
                <w:bCs w:val="1"/>
                <w:color w:val="auto"/>
                <w:w w:val="98"/>
              </w:rPr>
              <w:t>Derivatives in cash flow hedging</w:t>
            </w:r>
          </w:p>
        </w:tc>
        <w:tc>
          <w:tcPr>
            <w:tcW w:w="180" w:type="dxa"/>
            <w:vAlign w:val="bottom"/>
          </w:tcPr>
          <w:p>
            <w:pPr>
              <w:spacing w:after="0"/>
              <w:rPr>
                <w:sz w:val="13"/>
                <w:szCs w:val="13"/>
                <w:color w:val="auto"/>
              </w:rPr>
            </w:pPr>
          </w:p>
        </w:tc>
        <w:tc>
          <w:tcPr>
            <w:tcW w:w="3540" w:type="dxa"/>
            <w:vAlign w:val="bottom"/>
            <w:gridSpan w:val="4"/>
          </w:tcPr>
          <w:p>
            <w:pPr>
              <w:jc w:val="center"/>
              <w:ind w:right="134"/>
              <w:spacing w:after="0" w:line="161" w:lineRule="exact"/>
              <w:rPr>
                <w:sz w:val="20"/>
                <w:szCs w:val="20"/>
                <w:color w:val="auto"/>
              </w:rPr>
            </w:pPr>
            <w:r>
              <w:rPr>
                <w:rFonts w:ascii="Times New Roman" w:cs="Times New Roman" w:eastAsia="Times New Roman" w:hAnsi="Times New Roman"/>
                <w:sz w:val="16"/>
                <w:szCs w:val="16"/>
                <w:b w:val="1"/>
                <w:bCs w:val="1"/>
                <w:color w:val="auto"/>
                <w:w w:val="98"/>
              </w:rPr>
              <w:t>Derivatives not designated as hedging</w:t>
            </w:r>
          </w:p>
        </w:tc>
      </w:tr>
      <w:tr>
        <w:trPr>
          <w:trHeight w:val="209"/>
        </w:trPr>
        <w:tc>
          <w:tcPr>
            <w:tcW w:w="3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20" w:type="dxa"/>
            <w:vAlign w:val="bottom"/>
            <w:gridSpan w:val="5"/>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7"/>
              </w:rPr>
              <w:t>relationships</w:t>
            </w:r>
          </w:p>
        </w:tc>
        <w:tc>
          <w:tcPr>
            <w:tcW w:w="180" w:type="dxa"/>
            <w:vAlign w:val="bottom"/>
          </w:tcPr>
          <w:p>
            <w:pPr>
              <w:spacing w:after="0"/>
              <w:rPr>
                <w:sz w:val="18"/>
                <w:szCs w:val="18"/>
                <w:color w:val="auto"/>
              </w:rPr>
            </w:pPr>
          </w:p>
        </w:tc>
        <w:tc>
          <w:tcPr>
            <w:tcW w:w="3540" w:type="dxa"/>
            <w:vAlign w:val="bottom"/>
            <w:gridSpan w:val="4"/>
          </w:tcPr>
          <w:p>
            <w:pPr>
              <w:jc w:val="center"/>
              <w:ind w:right="94"/>
              <w:spacing w:after="0"/>
              <w:rPr>
                <w:sz w:val="20"/>
                <w:szCs w:val="20"/>
                <w:color w:val="auto"/>
              </w:rPr>
            </w:pPr>
            <w:r>
              <w:rPr>
                <w:rFonts w:ascii="Times New Roman" w:cs="Times New Roman" w:eastAsia="Times New Roman" w:hAnsi="Times New Roman"/>
                <w:sz w:val="16"/>
                <w:szCs w:val="16"/>
                <w:b w:val="1"/>
                <w:bCs w:val="1"/>
                <w:color w:val="auto"/>
                <w:w w:val="97"/>
              </w:rPr>
              <w:t>instruments</w:t>
            </w:r>
          </w:p>
        </w:tc>
      </w:tr>
      <w:tr>
        <w:trPr>
          <w:trHeight w:val="203"/>
        </w:trPr>
        <w:tc>
          <w:tcPr>
            <w:tcW w:w="3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92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600" w:type="dxa"/>
            <w:vAlign w:val="bottom"/>
            <w:tcBorders>
              <w:top w:val="single" w:sz="8" w:color="auto"/>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920" w:type="dxa"/>
            <w:vAlign w:val="bottom"/>
            <w:tcBorders>
              <w:top w:val="single" w:sz="8" w:color="auto"/>
              <w:bottom w:val="single" w:sz="8" w:color="auto"/>
            </w:tcBorders>
            <w:gridSpan w:val="3"/>
          </w:tcPr>
          <w:p>
            <w:pPr>
              <w:jc w:val="center"/>
              <w:ind w:left="1337"/>
              <w:spacing w:after="0"/>
              <w:rPr>
                <w:sz w:val="20"/>
                <w:szCs w:val="20"/>
                <w:color w:val="auto"/>
              </w:rPr>
            </w:pPr>
            <w:r>
              <w:rPr>
                <w:rFonts w:ascii="Times New Roman" w:cs="Times New Roman" w:eastAsia="Times New Roman" w:hAnsi="Times New Roman"/>
                <w:sz w:val="16"/>
                <w:szCs w:val="16"/>
                <w:b w:val="1"/>
                <w:bCs w:val="1"/>
                <w:color w:val="auto"/>
                <w:w w:val="96"/>
              </w:rPr>
              <w:t>As of</w:t>
            </w:r>
          </w:p>
        </w:tc>
        <w:tc>
          <w:tcPr>
            <w:tcW w:w="1620" w:type="dxa"/>
            <w:vAlign w:val="bottom"/>
            <w:tcBorders>
              <w:top w:val="single" w:sz="8" w:color="auto"/>
              <w:bottom w:val="single" w:sz="8" w:color="auto"/>
            </w:tcBorders>
          </w:tcPr>
          <w:p>
            <w:pPr>
              <w:spacing w:after="0"/>
              <w:rPr>
                <w:sz w:val="17"/>
                <w:szCs w:val="17"/>
                <w:color w:val="auto"/>
              </w:rPr>
            </w:pPr>
          </w:p>
        </w:tc>
      </w:tr>
      <w:tr>
        <w:trPr>
          <w:trHeight w:val="203"/>
        </w:trPr>
        <w:tc>
          <w:tcPr>
            <w:tcW w:w="3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180" w:type="dxa"/>
            <w:vAlign w:val="bottom"/>
          </w:tcPr>
          <w:p>
            <w:pPr>
              <w:spacing w:after="0"/>
              <w:rPr>
                <w:sz w:val="17"/>
                <w:szCs w:val="17"/>
                <w:color w:val="auto"/>
              </w:rPr>
            </w:pPr>
          </w:p>
        </w:tc>
        <w:tc>
          <w:tcPr>
            <w:tcW w:w="1600" w:type="dxa"/>
            <w:vAlign w:val="bottom"/>
          </w:tcPr>
          <w:p>
            <w:pPr>
              <w:jc w:val="right"/>
              <w:ind w:right="154"/>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2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200" w:type="dxa"/>
            <w:vAlign w:val="bottom"/>
          </w:tcPr>
          <w:p>
            <w:pPr>
              <w:spacing w:after="0"/>
              <w:rPr>
                <w:sz w:val="17"/>
                <w:szCs w:val="17"/>
                <w:color w:val="auto"/>
              </w:rPr>
            </w:pPr>
          </w:p>
        </w:tc>
        <w:tc>
          <w:tcPr>
            <w:tcW w:w="1620" w:type="dxa"/>
            <w:vAlign w:val="bottom"/>
          </w:tcPr>
          <w:p>
            <w:pPr>
              <w:jc w:val="right"/>
              <w:ind w:right="194"/>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17"/>
        </w:trPr>
        <w:tc>
          <w:tcPr>
            <w:tcW w:w="35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18"/>
                <w:szCs w:val="18"/>
                <w:color w:val="auto"/>
              </w:rPr>
            </w:pPr>
          </w:p>
        </w:tc>
      </w:tr>
      <w:tr>
        <w:trPr>
          <w:trHeight w:val="223"/>
        </w:trPr>
        <w:tc>
          <w:tcPr>
            <w:tcW w:w="36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Other current assets</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8,474</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4,216</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100" w:type="dxa"/>
            <w:vAlign w:val="bottom"/>
          </w:tcPr>
          <w:p>
            <w:pPr>
              <w:spacing w:after="0"/>
              <w:rPr>
                <w:sz w:val="19"/>
                <w:szCs w:val="19"/>
                <w:color w:val="auto"/>
              </w:rPr>
            </w:pPr>
          </w:p>
        </w:tc>
        <w:tc>
          <w:tcPr>
            <w:tcW w:w="20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w:t>
            </w:r>
          </w:p>
        </w:tc>
      </w:tr>
      <w:tr>
        <w:trPr>
          <w:trHeight w:val="223"/>
        </w:trPr>
        <w:tc>
          <w:tcPr>
            <w:tcW w:w="3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assets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4,720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3,299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3"/>
        </w:trPr>
        <w:tc>
          <w:tcPr>
            <w:tcW w:w="364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Liabilities:</w:t>
            </w:r>
          </w:p>
        </w:tc>
        <w:tc>
          <w:tcPr>
            <w:tcW w:w="1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20" w:type="dxa"/>
            <w:vAlign w:val="bottom"/>
          </w:tcPr>
          <w:p>
            <w:pPr>
              <w:spacing w:after="0"/>
              <w:rPr>
                <w:sz w:val="19"/>
                <w:szCs w:val="19"/>
                <w:color w:val="auto"/>
              </w:rPr>
            </w:pPr>
          </w:p>
        </w:tc>
      </w:tr>
      <w:tr>
        <w:trPr>
          <w:trHeight w:val="170"/>
        </w:trPr>
        <w:tc>
          <w:tcPr>
            <w:tcW w:w="3640" w:type="dxa"/>
            <w:vAlign w:val="bottom"/>
            <w:gridSpan w:val="2"/>
            <w:shd w:val="clear" w:color="auto" w:fill="CCEEFF"/>
          </w:tcPr>
          <w:p>
            <w:pPr>
              <w:ind w:left="20"/>
              <w:spacing w:after="0" w:line="171" w:lineRule="exact"/>
              <w:rPr>
                <w:sz w:val="20"/>
                <w:szCs w:val="20"/>
                <w:color w:val="auto"/>
              </w:rPr>
            </w:pPr>
            <w:r>
              <w:rPr>
                <w:rFonts w:ascii="Times New Roman" w:cs="Times New Roman" w:eastAsia="Times New Roman" w:hAnsi="Times New Roman"/>
                <w:sz w:val="17"/>
                <w:szCs w:val="17"/>
                <w:color w:val="auto"/>
              </w:rPr>
              <w:t>Accrued expenses and other</w:t>
            </w:r>
          </w:p>
        </w:tc>
        <w:tc>
          <w:tcPr>
            <w:tcW w:w="180" w:type="dxa"/>
            <w:vAlign w:val="bottom"/>
            <w:shd w:val="clear" w:color="auto" w:fill="CCEEFF"/>
          </w:tcPr>
          <w:p>
            <w:pPr>
              <w:jc w:val="right"/>
              <w:spacing w:after="0" w:line="171" w:lineRule="exact"/>
              <w:rPr>
                <w:sz w:val="20"/>
                <w:szCs w:val="20"/>
                <w:color w:val="auto"/>
              </w:rPr>
            </w:pPr>
            <w:r>
              <w:rPr>
                <w:rFonts w:ascii="Times New Roman" w:cs="Times New Roman" w:eastAsia="Times New Roman" w:hAnsi="Times New Roman"/>
                <w:sz w:val="17"/>
                <w:szCs w:val="17"/>
                <w:color w:val="auto"/>
                <w:w w:val="93"/>
              </w:rPr>
              <w:t>$</w:t>
            </w:r>
          </w:p>
        </w:tc>
        <w:tc>
          <w:tcPr>
            <w:tcW w:w="1640" w:type="dxa"/>
            <w:vAlign w:val="bottom"/>
            <w:shd w:val="clear" w:color="auto" w:fill="CCEEFF"/>
          </w:tcPr>
          <w:p>
            <w:pPr>
              <w:jc w:val="right"/>
              <w:spacing w:after="0" w:line="171" w:lineRule="exact"/>
              <w:rPr>
                <w:sz w:val="20"/>
                <w:szCs w:val="20"/>
                <w:color w:val="auto"/>
              </w:rPr>
            </w:pPr>
            <w:r>
              <w:rPr>
                <w:rFonts w:ascii="Times New Roman" w:cs="Times New Roman" w:eastAsia="Times New Roman" w:hAnsi="Times New Roman"/>
                <w:sz w:val="17"/>
                <w:szCs w:val="17"/>
                <w:color w:val="auto"/>
              </w:rPr>
              <w:t>843</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jc w:val="right"/>
              <w:spacing w:after="0" w:line="171" w:lineRule="exact"/>
              <w:rPr>
                <w:sz w:val="20"/>
                <w:szCs w:val="20"/>
                <w:color w:val="auto"/>
              </w:rPr>
            </w:pPr>
            <w:r>
              <w:rPr>
                <w:rFonts w:ascii="Times New Roman" w:cs="Times New Roman" w:eastAsia="Times New Roman" w:hAnsi="Times New Roman"/>
                <w:sz w:val="17"/>
                <w:szCs w:val="17"/>
                <w:color w:val="auto"/>
                <w:w w:val="93"/>
              </w:rPr>
              <w:t>$</w:t>
            </w:r>
          </w:p>
        </w:tc>
        <w:tc>
          <w:tcPr>
            <w:tcW w:w="1600" w:type="dxa"/>
            <w:vAlign w:val="bottom"/>
            <w:shd w:val="clear" w:color="auto" w:fill="CCEEFF"/>
          </w:tcPr>
          <w:p>
            <w:pPr>
              <w:jc w:val="right"/>
              <w:spacing w:after="0" w:line="171" w:lineRule="exact"/>
              <w:rPr>
                <w:sz w:val="20"/>
                <w:szCs w:val="20"/>
                <w:color w:val="auto"/>
              </w:rPr>
            </w:pPr>
            <w:r>
              <w:rPr>
                <w:rFonts w:ascii="Times New Roman" w:cs="Times New Roman" w:eastAsia="Times New Roman" w:hAnsi="Times New Roman"/>
                <w:sz w:val="17"/>
                <w:szCs w:val="17"/>
                <w:color w:val="auto"/>
              </w:rPr>
              <w:t>1,859</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jc w:val="right"/>
              <w:spacing w:after="0" w:line="171" w:lineRule="exact"/>
              <w:rPr>
                <w:sz w:val="20"/>
                <w:szCs w:val="20"/>
                <w:color w:val="auto"/>
              </w:rPr>
            </w:pPr>
            <w:r>
              <w:rPr>
                <w:rFonts w:ascii="Times New Roman" w:cs="Times New Roman" w:eastAsia="Times New Roman" w:hAnsi="Times New Roman"/>
                <w:sz w:val="17"/>
                <w:szCs w:val="17"/>
                <w:color w:val="auto"/>
                <w:w w:val="93"/>
              </w:rPr>
              <w:t>$</w:t>
            </w:r>
          </w:p>
        </w:tc>
        <w:tc>
          <w:tcPr>
            <w:tcW w:w="1620" w:type="dxa"/>
            <w:vAlign w:val="bottom"/>
            <w:shd w:val="clear" w:color="auto" w:fill="CCEEFF"/>
          </w:tcPr>
          <w:p>
            <w:pPr>
              <w:jc w:val="right"/>
              <w:spacing w:after="0" w:line="171" w:lineRule="exact"/>
              <w:rPr>
                <w:sz w:val="20"/>
                <w:szCs w:val="20"/>
                <w:color w:val="auto"/>
              </w:rPr>
            </w:pPr>
            <w:r>
              <w:rPr>
                <w:rFonts w:ascii="Times New Roman" w:cs="Times New Roman" w:eastAsia="Times New Roman" w:hAnsi="Times New Roman"/>
                <w:sz w:val="17"/>
                <w:szCs w:val="17"/>
                <w:color w:val="auto"/>
              </w:rPr>
              <w:t>148</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13"/>
              <w:spacing w:after="0" w:line="171" w:lineRule="exact"/>
              <w:rPr>
                <w:sz w:val="20"/>
                <w:szCs w:val="20"/>
                <w:color w:val="auto"/>
              </w:rPr>
            </w:pPr>
            <w:r>
              <w:rPr>
                <w:rFonts w:ascii="Times New Roman" w:cs="Times New Roman" w:eastAsia="Times New Roman" w:hAnsi="Times New Roman"/>
                <w:sz w:val="17"/>
                <w:szCs w:val="17"/>
                <w:color w:val="auto"/>
                <w:w w:val="93"/>
              </w:rPr>
              <w:t>$</w:t>
            </w:r>
          </w:p>
        </w:tc>
        <w:tc>
          <w:tcPr>
            <w:tcW w:w="1620" w:type="dxa"/>
            <w:vAlign w:val="bottom"/>
            <w:shd w:val="clear" w:color="auto" w:fill="CCEEFF"/>
          </w:tcPr>
          <w:p>
            <w:pPr>
              <w:jc w:val="right"/>
              <w:spacing w:after="0" w:line="171" w:lineRule="exact"/>
              <w:rPr>
                <w:sz w:val="20"/>
                <w:szCs w:val="20"/>
                <w:color w:val="auto"/>
              </w:rPr>
            </w:pPr>
            <w:r>
              <w:rPr>
                <w:rFonts w:ascii="Times New Roman" w:cs="Times New Roman" w:eastAsia="Times New Roman" w:hAnsi="Times New Roman"/>
                <w:sz w:val="17"/>
                <w:szCs w:val="17"/>
                <w:color w:val="auto"/>
              </w:rPr>
              <w:t>150</w:t>
            </w:r>
          </w:p>
        </w:tc>
      </w:tr>
      <w:tr>
        <w:trPr>
          <w:trHeight w:val="236"/>
        </w:trPr>
        <w:tc>
          <w:tcPr>
            <w:tcW w:w="3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current liabilities</w:t>
            </w:r>
          </w:p>
        </w:tc>
        <w:tc>
          <w:tcPr>
            <w:tcW w:w="18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p>
        </w:tc>
      </w:tr>
      <w:tr>
        <w:trPr>
          <w:trHeight w:val="228"/>
        </w:trPr>
        <w:tc>
          <w:tcPr>
            <w:tcW w:w="36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Other non-current liabilities</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504</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216</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7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bl>
    <w:p>
      <w:pPr>
        <w:spacing w:after="0" w:line="278" w:lineRule="exact"/>
        <w:rPr>
          <w:sz w:val="20"/>
          <w:szCs w:val="20"/>
          <w:color w:val="auto"/>
        </w:rPr>
      </w:pPr>
    </w:p>
    <w:p>
      <w:pPr>
        <w:ind w:firstLine="393"/>
        <w:spacing w:after="0" w:line="275" w:lineRule="auto"/>
        <w:rPr>
          <w:sz w:val="20"/>
          <w:szCs w:val="20"/>
          <w:color w:val="auto"/>
        </w:rPr>
      </w:pPr>
      <w:r>
        <w:rPr>
          <w:rFonts w:ascii="Times New Roman" w:cs="Times New Roman" w:eastAsia="Times New Roman" w:hAnsi="Times New Roman"/>
          <w:sz w:val="17"/>
          <w:szCs w:val="17"/>
          <w:color w:val="auto"/>
        </w:rPr>
        <w:t>The following table sets forth the effect of foreign currency forward contracts and interest rate swaps on AOCI and the unaudited consolidated statements of income:</w:t>
      </w:r>
    </w:p>
    <w:tbl>
      <w:tblPr>
        <w:tblLayout w:type="fixed"/>
        <w:tblInd w:w="0" w:type="dxa"/>
        <w:tblCellMar>
          <w:top w:w="0" w:type="dxa"/>
          <w:left w:w="0" w:type="dxa"/>
          <w:bottom w:w="0" w:type="dxa"/>
          <w:right w:w="0" w:type="dxa"/>
        </w:tblCellMar>
      </w:tblPr>
      <w:tr>
        <w:trPr>
          <w:trHeight w:val="208"/>
        </w:trPr>
        <w:tc>
          <w:tcPr>
            <w:tcW w:w="4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40" w:type="dxa"/>
            <w:vAlign w:val="bottom"/>
            <w:gridSpan w:val="6"/>
          </w:tcPr>
          <w:p>
            <w:pPr>
              <w:ind w:left="38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60" w:type="dxa"/>
            <w:vAlign w:val="bottom"/>
          </w:tcPr>
          <w:p>
            <w:pPr>
              <w:spacing w:after="0"/>
              <w:rPr>
                <w:sz w:val="18"/>
                <w:szCs w:val="18"/>
                <w:color w:val="auto"/>
              </w:rPr>
            </w:pPr>
          </w:p>
        </w:tc>
        <w:tc>
          <w:tcPr>
            <w:tcW w:w="2860" w:type="dxa"/>
            <w:vAlign w:val="bottom"/>
            <w:gridSpan w:val="4"/>
          </w:tcPr>
          <w:p>
            <w:pPr>
              <w:jc w:val="right"/>
              <w:ind w:right="336"/>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07"/>
        </w:trPr>
        <w:tc>
          <w:tcPr>
            <w:tcW w:w="45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Derivative financial instruments:</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ind w:right="516"/>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right"/>
              <w:ind w:right="517"/>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ind w:right="516"/>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04"/>
        </w:trPr>
        <w:tc>
          <w:tcPr>
            <w:tcW w:w="44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Unrealized gain/(loss) recognized in OCI</w:t>
            </w:r>
          </w:p>
        </w:tc>
        <w:tc>
          <w:tcPr>
            <w:tcW w:w="10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r>
      <w:tr>
        <w:trPr>
          <w:trHeight w:val="255"/>
        </w:trPr>
        <w:tc>
          <w:tcPr>
            <w:tcW w:w="45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Derivatives in cash flow hedging relationships</w:t>
            </w:r>
          </w:p>
        </w:tc>
        <w:tc>
          <w:tcPr>
            <w:tcW w:w="940" w:type="dxa"/>
            <w:vAlign w:val="bottom"/>
            <w:tcBorders>
              <w:bottom w:val="single" w:sz="8" w:color="CCEEFF"/>
            </w:tcBorders>
          </w:tcPr>
          <w:p>
            <w:pPr>
              <w:jc w:val="right"/>
              <w:ind w:right="737"/>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10,097</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CCEEFF"/>
            </w:tcBorders>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(7,903)</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CCEEFF"/>
            </w:tcBorders>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7,257</w:t>
            </w:r>
          </w:p>
        </w:tc>
        <w:tc>
          <w:tcPr>
            <w:tcW w:w="80" w:type="dxa"/>
            <w:vAlign w:val="bottom"/>
            <w:tcBorders>
              <w:bottom w:val="single" w:sz="8" w:color="CCEEFF"/>
            </w:tcBorders>
          </w:tcPr>
          <w:p>
            <w:pPr>
              <w:spacing w:after="0"/>
              <w:rPr>
                <w:sz w:val="22"/>
                <w:szCs w:val="22"/>
                <w:color w:val="auto"/>
              </w:rPr>
            </w:pPr>
          </w:p>
        </w:tc>
        <w:tc>
          <w:tcPr>
            <w:tcW w:w="360" w:type="dxa"/>
            <w:vAlign w:val="bottom"/>
            <w:tcBorders>
              <w:bottom w:val="single" w:sz="8" w:color="CCEEFF"/>
            </w:tcBorders>
          </w:tcPr>
          <w:p>
            <w:pPr>
              <w:jc w:val="right"/>
              <w:ind w:right="153"/>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8,242</w:t>
            </w:r>
          </w:p>
        </w:tc>
      </w:tr>
      <w:tr>
        <w:trPr>
          <w:trHeight w:val="157"/>
        </w:trPr>
        <w:tc>
          <w:tcPr>
            <w:tcW w:w="4560" w:type="dxa"/>
            <w:vAlign w:val="bottom"/>
            <w:gridSpan w:val="2"/>
          </w:tcPr>
          <w:p>
            <w:pPr>
              <w:ind w:left="20"/>
              <w:spacing w:after="0" w:line="158" w:lineRule="exact"/>
              <w:rPr>
                <w:sz w:val="20"/>
                <w:szCs w:val="20"/>
                <w:color w:val="auto"/>
              </w:rPr>
            </w:pPr>
            <w:r>
              <w:rPr>
                <w:rFonts w:ascii="Times New Roman" w:cs="Times New Roman" w:eastAsia="Times New Roman" w:hAnsi="Times New Roman"/>
                <w:sz w:val="16"/>
                <w:szCs w:val="16"/>
                <w:b w:val="1"/>
                <w:bCs w:val="1"/>
                <w:color w:val="auto"/>
              </w:rPr>
              <w:t>Gain/(loss) recognized in unaudited consolidated statements of</w:t>
            </w:r>
          </w:p>
        </w:tc>
        <w:tc>
          <w:tcPr>
            <w:tcW w:w="9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209"/>
        </w:trPr>
        <w:tc>
          <w:tcPr>
            <w:tcW w:w="45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income</w:t>
            </w:r>
          </w:p>
        </w:tc>
        <w:tc>
          <w:tcPr>
            <w:tcW w:w="9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24"/>
        </w:trPr>
        <w:tc>
          <w:tcPr>
            <w:tcW w:w="4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Derivatives not designated as hedging instruments</w:t>
            </w:r>
          </w:p>
        </w:tc>
        <w:tc>
          <w:tcPr>
            <w:tcW w:w="940" w:type="dxa"/>
            <w:vAlign w:val="bottom"/>
            <w:shd w:val="clear" w:color="auto" w:fill="CCEEFF"/>
          </w:tcPr>
          <w:p>
            <w:pPr>
              <w:jc w:val="right"/>
              <w:ind w:right="737"/>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(1,584)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(2,332)</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7"/>
          <w:szCs w:val="17"/>
          <w:b w:val="1"/>
          <w:bCs w:val="1"/>
          <w:color w:val="auto"/>
        </w:rPr>
        <w:t>EXLSERVICE HOLDINGS, INC.</w:t>
      </w:r>
    </w:p>
    <w:p>
      <w:pPr>
        <w:spacing w:after="0" w:line="200" w:lineRule="exact"/>
        <w:rPr>
          <w:sz w:val="20"/>
          <w:szCs w:val="20"/>
          <w:color w:val="auto"/>
        </w:rPr>
      </w:pPr>
    </w:p>
    <w:p>
      <w:pPr>
        <w:spacing w:after="0" w:line="24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7"/>
          <w:szCs w:val="17"/>
          <w:b w:val="1"/>
          <w:bCs w:val="1"/>
          <w:color w:val="auto"/>
        </w:rPr>
        <w:t>NOTES TO UNAUDITED CONSOLIDATED FINANCIAL STATEMENTS—(continued)</w:t>
      </w:r>
    </w:p>
    <w:p>
      <w:pPr>
        <w:spacing w:after="0" w:line="3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7"/>
          <w:szCs w:val="17"/>
          <w:b w:val="1"/>
          <w:bCs w:val="1"/>
          <w:color w:val="auto"/>
        </w:rPr>
        <w:t>September 30, 2024</w:t>
      </w:r>
    </w:p>
    <w:p>
      <w:pPr>
        <w:spacing w:after="0" w:line="1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7"/>
          <w:szCs w:val="17"/>
          <w:b w:val="1"/>
          <w:bCs w:val="1"/>
          <w:color w:val="auto"/>
        </w:rPr>
        <w:t>(In thousands, except per share amount and share count)</w:t>
      </w:r>
    </w:p>
    <w:p>
      <w:pPr>
        <w:spacing w:after="0" w:line="200" w:lineRule="exact"/>
        <w:rPr>
          <w:sz w:val="20"/>
          <w:szCs w:val="20"/>
          <w:color w:val="auto"/>
        </w:rPr>
      </w:pPr>
    </w:p>
    <w:p>
      <w:pPr>
        <w:spacing w:after="0" w:line="321" w:lineRule="exact"/>
        <w:rPr>
          <w:sz w:val="20"/>
          <w:szCs w:val="20"/>
          <w:color w:val="auto"/>
        </w:rPr>
      </w:pPr>
    </w:p>
    <w:p>
      <w:pPr>
        <w:ind w:right="60" w:firstLine="393"/>
        <w:spacing w:after="0" w:line="281" w:lineRule="auto"/>
        <w:rPr>
          <w:sz w:val="20"/>
          <w:szCs w:val="20"/>
          <w:color w:val="auto"/>
        </w:rPr>
      </w:pPr>
      <w:r>
        <w:rPr>
          <w:rFonts w:ascii="Times New Roman" w:cs="Times New Roman" w:eastAsia="Times New Roman" w:hAnsi="Times New Roman"/>
          <w:sz w:val="17"/>
          <w:szCs w:val="17"/>
          <w:color w:val="auto"/>
        </w:rPr>
        <w:t>The following table sets forth the location and amount of gain/(loss) recognized in unaudited consolidated statements of income for derivatives in cash flow hedging relationships and derivatives not designated as hedging instruments:</w:t>
      </w:r>
    </w:p>
    <w:p>
      <w:pPr>
        <w:spacing w:after="0" w:line="203" w:lineRule="exact"/>
        <w:rPr>
          <w:sz w:val="20"/>
          <w:szCs w:val="20"/>
          <w:color w:val="auto"/>
        </w:rPr>
      </w:pPr>
    </w:p>
    <w:tbl>
      <w:tblPr>
        <w:tblLayout w:type="fixed"/>
        <w:tblInd w:w="440" w:type="dxa"/>
        <w:tblCellMar>
          <w:top w:w="0" w:type="dxa"/>
          <w:left w:w="0" w:type="dxa"/>
          <w:bottom w:w="0" w:type="dxa"/>
          <w:right w:w="0" w:type="dxa"/>
        </w:tblCellMar>
      </w:tblPr>
      <w:tr>
        <w:trPr>
          <w:trHeight w:val="210"/>
        </w:trPr>
        <w:tc>
          <w:tcPr>
            <w:tcW w:w="5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2720" w:type="dxa"/>
            <w:vAlign w:val="bottom"/>
            <w:tcBorders>
              <w:bottom w:val="single" w:sz="8" w:color="auto"/>
            </w:tcBorders>
            <w:gridSpan w:val="5"/>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spacing w:after="0"/>
              <w:rPr>
                <w:sz w:val="18"/>
                <w:szCs w:val="18"/>
                <w:color w:val="auto"/>
              </w:rPr>
            </w:pPr>
          </w:p>
        </w:tc>
      </w:tr>
      <w:tr>
        <w:trPr>
          <w:trHeight w:val="202"/>
        </w:trPr>
        <w:tc>
          <w:tcPr>
            <w:tcW w:w="51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11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1180" w:type="dxa"/>
            <w:vAlign w:val="bottom"/>
            <w:tcBorders>
              <w:bottom w:val="single" w:sz="8" w:color="auto"/>
            </w:tcBorders>
          </w:tcPr>
          <w:p>
            <w:pPr>
              <w:spacing w:after="0"/>
              <w:rPr>
                <w:sz w:val="17"/>
                <w:szCs w:val="17"/>
                <w:color w:val="auto"/>
              </w:rPr>
            </w:pPr>
          </w:p>
        </w:tc>
      </w:tr>
      <w:tr>
        <w:trPr>
          <w:trHeight w:val="151"/>
        </w:trPr>
        <w:tc>
          <w:tcPr>
            <w:tcW w:w="5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40" w:type="dxa"/>
            <w:vAlign w:val="bottom"/>
            <w:gridSpan w:val="3"/>
            <w:shd w:val="clear" w:color="auto" w:fill="CCEEFF"/>
          </w:tcPr>
          <w:p>
            <w:pPr>
              <w:jc w:val="center"/>
              <w:ind w:right="120"/>
              <w:spacing w:after="0" w:line="152" w:lineRule="exact"/>
              <w:rPr>
                <w:sz w:val="20"/>
                <w:szCs w:val="20"/>
                <w:color w:val="auto"/>
              </w:rPr>
            </w:pPr>
            <w:r>
              <w:rPr>
                <w:rFonts w:ascii="Times New Roman" w:cs="Times New Roman" w:eastAsia="Times New Roman" w:hAnsi="Times New Roman"/>
                <w:sz w:val="16"/>
                <w:szCs w:val="16"/>
                <w:b w:val="1"/>
                <w:bCs w:val="1"/>
                <w:color w:val="auto"/>
                <w:w w:val="98"/>
              </w:rPr>
              <w:t>As per unaudited</w:t>
            </w:r>
          </w:p>
        </w:tc>
        <w:tc>
          <w:tcPr>
            <w:tcW w:w="140" w:type="dxa"/>
            <w:vAlign w:val="bottom"/>
            <w:shd w:val="clear" w:color="auto" w:fill="CCEEFF"/>
          </w:tcPr>
          <w:p>
            <w:pPr>
              <w:spacing w:after="0"/>
              <w:rPr>
                <w:sz w:val="13"/>
                <w:szCs w:val="13"/>
                <w:color w:val="auto"/>
              </w:rPr>
            </w:pPr>
          </w:p>
        </w:tc>
        <w:tc>
          <w:tcPr>
            <w:tcW w:w="1180" w:type="dxa"/>
            <w:vAlign w:val="bottom"/>
            <w:shd w:val="clear" w:color="auto" w:fill="CCEEFF"/>
          </w:tcPr>
          <w:p>
            <w:pPr>
              <w:jc w:val="center"/>
              <w:ind w:right="76"/>
              <w:spacing w:after="0" w:line="152" w:lineRule="exact"/>
              <w:rPr>
                <w:sz w:val="20"/>
                <w:szCs w:val="20"/>
                <w:color w:val="auto"/>
              </w:rPr>
            </w:pPr>
            <w:r>
              <w:rPr>
                <w:rFonts w:ascii="Times New Roman" w:cs="Times New Roman" w:eastAsia="Times New Roman" w:hAnsi="Times New Roman"/>
                <w:sz w:val="16"/>
                <w:szCs w:val="16"/>
                <w:b w:val="1"/>
                <w:bCs w:val="1"/>
                <w:color w:val="auto"/>
                <w:w w:val="99"/>
              </w:rPr>
              <w:t>Gain/(loss) on</w:t>
            </w:r>
          </w:p>
        </w:tc>
        <w:tc>
          <w:tcPr>
            <w:tcW w:w="100" w:type="dxa"/>
            <w:vAlign w:val="bottom"/>
            <w:shd w:val="clear" w:color="auto" w:fill="CCEEFF"/>
          </w:tcPr>
          <w:p>
            <w:pPr>
              <w:spacing w:after="0"/>
              <w:rPr>
                <w:sz w:val="13"/>
                <w:szCs w:val="13"/>
                <w:color w:val="auto"/>
              </w:rPr>
            </w:pPr>
          </w:p>
        </w:tc>
        <w:tc>
          <w:tcPr>
            <w:tcW w:w="1440" w:type="dxa"/>
            <w:vAlign w:val="bottom"/>
            <w:gridSpan w:val="3"/>
            <w:shd w:val="clear" w:color="auto" w:fill="CCEEFF"/>
          </w:tcPr>
          <w:p>
            <w:pPr>
              <w:jc w:val="center"/>
              <w:ind w:right="120"/>
              <w:spacing w:after="0" w:line="152" w:lineRule="exact"/>
              <w:rPr>
                <w:sz w:val="20"/>
                <w:szCs w:val="20"/>
                <w:color w:val="auto"/>
              </w:rPr>
            </w:pPr>
            <w:r>
              <w:rPr>
                <w:rFonts w:ascii="Times New Roman" w:cs="Times New Roman" w:eastAsia="Times New Roman" w:hAnsi="Times New Roman"/>
                <w:sz w:val="16"/>
                <w:szCs w:val="16"/>
                <w:b w:val="1"/>
                <w:bCs w:val="1"/>
                <w:color w:val="auto"/>
                <w:w w:val="98"/>
              </w:rPr>
              <w:t>As per unaudited</w:t>
            </w:r>
          </w:p>
        </w:tc>
        <w:tc>
          <w:tcPr>
            <w:tcW w:w="140" w:type="dxa"/>
            <w:vAlign w:val="bottom"/>
            <w:shd w:val="clear" w:color="auto" w:fill="CCEEFF"/>
          </w:tcPr>
          <w:p>
            <w:pPr>
              <w:spacing w:after="0"/>
              <w:rPr>
                <w:sz w:val="13"/>
                <w:szCs w:val="13"/>
                <w:color w:val="auto"/>
              </w:rPr>
            </w:pPr>
          </w:p>
        </w:tc>
        <w:tc>
          <w:tcPr>
            <w:tcW w:w="1180" w:type="dxa"/>
            <w:vAlign w:val="bottom"/>
            <w:shd w:val="clear" w:color="auto" w:fill="CCEEFF"/>
          </w:tcPr>
          <w:p>
            <w:pPr>
              <w:jc w:val="center"/>
              <w:ind w:right="75"/>
              <w:spacing w:after="0" w:line="152" w:lineRule="exact"/>
              <w:rPr>
                <w:sz w:val="20"/>
                <w:szCs w:val="20"/>
                <w:color w:val="auto"/>
              </w:rPr>
            </w:pPr>
            <w:r>
              <w:rPr>
                <w:rFonts w:ascii="Times New Roman" w:cs="Times New Roman" w:eastAsia="Times New Roman" w:hAnsi="Times New Roman"/>
                <w:sz w:val="16"/>
                <w:szCs w:val="16"/>
                <w:b w:val="1"/>
                <w:bCs w:val="1"/>
                <w:color w:val="auto"/>
                <w:w w:val="99"/>
              </w:rPr>
              <w:t>Gain/(loss) on</w:t>
            </w:r>
          </w:p>
        </w:tc>
      </w:tr>
      <w:tr>
        <w:trPr>
          <w:trHeight w:val="157"/>
        </w:trPr>
        <w:tc>
          <w:tcPr>
            <w:tcW w:w="5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center"/>
              <w:ind w:right="280"/>
              <w:spacing w:after="0" w:line="158" w:lineRule="exact"/>
              <w:rPr>
                <w:sz w:val="20"/>
                <w:szCs w:val="20"/>
                <w:color w:val="auto"/>
              </w:rPr>
            </w:pPr>
            <w:r>
              <w:rPr>
                <w:rFonts w:ascii="Times New Roman" w:cs="Times New Roman" w:eastAsia="Times New Roman" w:hAnsi="Times New Roman"/>
                <w:sz w:val="16"/>
                <w:szCs w:val="16"/>
                <w:b w:val="1"/>
                <w:bCs w:val="1"/>
                <w:color w:val="auto"/>
                <w:w w:val="98"/>
              </w:rPr>
              <w:t>consolidated</w:t>
            </w:r>
          </w:p>
        </w:tc>
        <w:tc>
          <w:tcPr>
            <w:tcW w:w="14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center"/>
              <w:ind w:right="240"/>
              <w:spacing w:after="0" w:line="158" w:lineRule="exact"/>
              <w:rPr>
                <w:sz w:val="20"/>
                <w:szCs w:val="20"/>
                <w:color w:val="auto"/>
              </w:rPr>
            </w:pPr>
            <w:r>
              <w:rPr>
                <w:rFonts w:ascii="Times New Roman" w:cs="Times New Roman" w:eastAsia="Times New Roman" w:hAnsi="Times New Roman"/>
                <w:sz w:val="16"/>
                <w:szCs w:val="16"/>
                <w:b w:val="1"/>
                <w:bCs w:val="1"/>
                <w:color w:val="auto"/>
                <w:w w:val="99"/>
              </w:rPr>
              <w:t>derivative</w:t>
            </w:r>
          </w:p>
        </w:tc>
        <w:tc>
          <w:tcPr>
            <w:tcW w:w="16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center"/>
              <w:ind w:right="280"/>
              <w:spacing w:after="0" w:line="158" w:lineRule="exact"/>
              <w:rPr>
                <w:sz w:val="20"/>
                <w:szCs w:val="20"/>
                <w:color w:val="auto"/>
              </w:rPr>
            </w:pPr>
            <w:r>
              <w:rPr>
                <w:rFonts w:ascii="Times New Roman" w:cs="Times New Roman" w:eastAsia="Times New Roman" w:hAnsi="Times New Roman"/>
                <w:sz w:val="16"/>
                <w:szCs w:val="16"/>
                <w:b w:val="1"/>
                <w:bCs w:val="1"/>
                <w:color w:val="auto"/>
                <w:w w:val="98"/>
              </w:rPr>
              <w:t>consolidated</w:t>
            </w:r>
          </w:p>
        </w:tc>
        <w:tc>
          <w:tcPr>
            <w:tcW w:w="140" w:type="dxa"/>
            <w:vAlign w:val="bottom"/>
            <w:shd w:val="clear" w:color="auto" w:fill="CCEEFF"/>
          </w:tcPr>
          <w:p>
            <w:pPr>
              <w:spacing w:after="0"/>
              <w:rPr>
                <w:sz w:val="13"/>
                <w:szCs w:val="13"/>
                <w:color w:val="auto"/>
              </w:rPr>
            </w:pPr>
          </w:p>
        </w:tc>
        <w:tc>
          <w:tcPr>
            <w:tcW w:w="1180" w:type="dxa"/>
            <w:vAlign w:val="bottom"/>
            <w:shd w:val="clear" w:color="auto" w:fill="CCEEFF"/>
          </w:tcPr>
          <w:p>
            <w:pPr>
              <w:jc w:val="center"/>
              <w:ind w:right="55"/>
              <w:spacing w:after="0" w:line="158" w:lineRule="exact"/>
              <w:rPr>
                <w:sz w:val="20"/>
                <w:szCs w:val="20"/>
                <w:color w:val="auto"/>
              </w:rPr>
            </w:pPr>
            <w:r>
              <w:rPr>
                <w:rFonts w:ascii="Times New Roman" w:cs="Times New Roman" w:eastAsia="Times New Roman" w:hAnsi="Times New Roman"/>
                <w:sz w:val="16"/>
                <w:szCs w:val="16"/>
                <w:b w:val="1"/>
                <w:bCs w:val="1"/>
                <w:color w:val="auto"/>
                <w:w w:val="99"/>
              </w:rPr>
              <w:t>derivative</w:t>
            </w:r>
          </w:p>
        </w:tc>
      </w:tr>
      <w:tr>
        <w:trPr>
          <w:trHeight w:val="157"/>
        </w:trPr>
        <w:tc>
          <w:tcPr>
            <w:tcW w:w="5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center"/>
              <w:ind w:right="280"/>
              <w:spacing w:after="0" w:line="158" w:lineRule="exact"/>
              <w:rPr>
                <w:sz w:val="20"/>
                <w:szCs w:val="20"/>
                <w:color w:val="auto"/>
              </w:rPr>
            </w:pPr>
            <w:r>
              <w:rPr>
                <w:rFonts w:ascii="Times New Roman" w:cs="Times New Roman" w:eastAsia="Times New Roman" w:hAnsi="Times New Roman"/>
                <w:sz w:val="16"/>
                <w:szCs w:val="16"/>
                <w:b w:val="1"/>
                <w:bCs w:val="1"/>
                <w:color w:val="auto"/>
                <w:w w:val="97"/>
              </w:rPr>
              <w:t>statements of</w:t>
            </w:r>
          </w:p>
        </w:tc>
        <w:tc>
          <w:tcPr>
            <w:tcW w:w="14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center"/>
              <w:ind w:right="260"/>
              <w:spacing w:after="0" w:line="158" w:lineRule="exact"/>
              <w:rPr>
                <w:sz w:val="20"/>
                <w:szCs w:val="20"/>
                <w:color w:val="auto"/>
              </w:rPr>
            </w:pPr>
            <w:r>
              <w:rPr>
                <w:rFonts w:ascii="Times New Roman" w:cs="Times New Roman" w:eastAsia="Times New Roman" w:hAnsi="Times New Roman"/>
                <w:sz w:val="16"/>
                <w:szCs w:val="16"/>
                <w:b w:val="1"/>
                <w:bCs w:val="1"/>
                <w:color w:val="auto"/>
                <w:w w:val="97"/>
              </w:rPr>
              <w:t>financial</w:t>
            </w:r>
          </w:p>
        </w:tc>
        <w:tc>
          <w:tcPr>
            <w:tcW w:w="16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center"/>
              <w:ind w:right="280"/>
              <w:spacing w:after="0" w:line="158" w:lineRule="exact"/>
              <w:rPr>
                <w:sz w:val="20"/>
                <w:szCs w:val="20"/>
                <w:color w:val="auto"/>
              </w:rPr>
            </w:pPr>
            <w:r>
              <w:rPr>
                <w:rFonts w:ascii="Times New Roman" w:cs="Times New Roman" w:eastAsia="Times New Roman" w:hAnsi="Times New Roman"/>
                <w:sz w:val="16"/>
                <w:szCs w:val="16"/>
                <w:b w:val="1"/>
                <w:bCs w:val="1"/>
                <w:color w:val="auto"/>
                <w:w w:val="97"/>
              </w:rPr>
              <w:t>statements of</w:t>
            </w:r>
          </w:p>
        </w:tc>
        <w:tc>
          <w:tcPr>
            <w:tcW w:w="140" w:type="dxa"/>
            <w:vAlign w:val="bottom"/>
            <w:shd w:val="clear" w:color="auto" w:fill="CCEEFF"/>
          </w:tcPr>
          <w:p>
            <w:pPr>
              <w:spacing w:after="0"/>
              <w:rPr>
                <w:sz w:val="13"/>
                <w:szCs w:val="13"/>
                <w:color w:val="auto"/>
              </w:rPr>
            </w:pPr>
          </w:p>
        </w:tc>
        <w:tc>
          <w:tcPr>
            <w:tcW w:w="1180" w:type="dxa"/>
            <w:vAlign w:val="bottom"/>
            <w:shd w:val="clear" w:color="auto" w:fill="CCEEFF"/>
          </w:tcPr>
          <w:p>
            <w:pPr>
              <w:jc w:val="center"/>
              <w:ind w:right="75"/>
              <w:spacing w:after="0" w:line="158" w:lineRule="exact"/>
              <w:rPr>
                <w:sz w:val="20"/>
                <w:szCs w:val="20"/>
                <w:color w:val="auto"/>
              </w:rPr>
            </w:pPr>
            <w:r>
              <w:rPr>
                <w:rFonts w:ascii="Times New Roman" w:cs="Times New Roman" w:eastAsia="Times New Roman" w:hAnsi="Times New Roman"/>
                <w:sz w:val="16"/>
                <w:szCs w:val="16"/>
                <w:b w:val="1"/>
                <w:bCs w:val="1"/>
                <w:color w:val="auto"/>
                <w:w w:val="97"/>
              </w:rPr>
              <w:t>financial</w:t>
            </w:r>
          </w:p>
        </w:tc>
      </w:tr>
      <w:tr>
        <w:trPr>
          <w:trHeight w:val="210"/>
        </w:trPr>
        <w:tc>
          <w:tcPr>
            <w:tcW w:w="5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8"/>
              </w:rPr>
              <w:t>income</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7"/>
              </w:rPr>
              <w:t>instruments</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8"/>
              </w:rPr>
              <w:t>income</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center"/>
              <w:ind w:right="55"/>
              <w:spacing w:after="0"/>
              <w:rPr>
                <w:sz w:val="20"/>
                <w:szCs w:val="20"/>
                <w:color w:val="auto"/>
              </w:rPr>
            </w:pPr>
            <w:r>
              <w:rPr>
                <w:rFonts w:ascii="Times New Roman" w:cs="Times New Roman" w:eastAsia="Times New Roman" w:hAnsi="Times New Roman"/>
                <w:sz w:val="16"/>
                <w:szCs w:val="16"/>
                <w:b w:val="1"/>
                <w:bCs w:val="1"/>
                <w:color w:val="auto"/>
                <w:w w:val="97"/>
              </w:rPr>
              <w:t>instruments</w:t>
            </w:r>
          </w:p>
        </w:tc>
      </w:tr>
      <w:tr>
        <w:trPr>
          <w:trHeight w:val="202"/>
        </w:trPr>
        <w:tc>
          <w:tcPr>
            <w:tcW w:w="51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Derivatives in cash flow hedging relationships</w:t>
            </w: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r>
      <w:tr>
        <w:trPr>
          <w:trHeight w:val="171"/>
        </w:trPr>
        <w:tc>
          <w:tcPr>
            <w:tcW w:w="5240" w:type="dxa"/>
            <w:vAlign w:val="bottom"/>
            <w:gridSpan w:val="2"/>
            <w:shd w:val="clear" w:color="auto" w:fill="CCEEFF"/>
          </w:tcPr>
          <w:p>
            <w:pPr>
              <w:ind w:left="20"/>
              <w:spacing w:after="0" w:line="172" w:lineRule="exact"/>
              <w:rPr>
                <w:sz w:val="20"/>
                <w:szCs w:val="20"/>
                <w:color w:val="auto"/>
              </w:rPr>
            </w:pPr>
            <w:r>
              <w:rPr>
                <w:rFonts w:ascii="Times New Roman" w:cs="Times New Roman" w:eastAsia="Times New Roman" w:hAnsi="Times New Roman"/>
                <w:sz w:val="17"/>
                <w:szCs w:val="17"/>
                <w:color w:val="auto"/>
              </w:rPr>
              <w:t>Location in unaudited consolidated statements of income where</w:t>
            </w:r>
          </w:p>
        </w:tc>
        <w:tc>
          <w:tcPr>
            <w:tcW w:w="1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r>
      <w:tr>
        <w:trPr>
          <w:trHeight w:val="236"/>
        </w:trPr>
        <w:tc>
          <w:tcPr>
            <w:tcW w:w="5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gain/(loss) was reclassified from AOCI</w:t>
            </w: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r>
      <w:tr>
        <w:trPr>
          <w:trHeight w:val="52"/>
        </w:trPr>
        <w:tc>
          <w:tcPr>
            <w:tcW w:w="5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80" w:type="dxa"/>
            <w:vAlign w:val="bottom"/>
          </w:tcPr>
          <w:p>
            <w:pPr>
              <w:spacing w:after="0"/>
              <w:rPr>
                <w:sz w:val="4"/>
                <w:szCs w:val="4"/>
                <w:color w:val="auto"/>
              </w:rPr>
            </w:pPr>
          </w:p>
        </w:tc>
      </w:tr>
      <w:tr>
        <w:trPr>
          <w:trHeight w:val="223"/>
        </w:trPr>
        <w:tc>
          <w:tcPr>
            <w:tcW w:w="5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Cost of revenues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293,806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256,002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(252)</w:t>
            </w:r>
          </w:p>
        </w:tc>
      </w:tr>
      <w:tr>
        <w:trPr>
          <w:trHeight w:val="223"/>
        </w:trPr>
        <w:tc>
          <w:tcPr>
            <w:tcW w:w="52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General and administrative expenses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57,495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52,213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w:t>
            </w:r>
          </w:p>
        </w:tc>
      </w:tr>
      <w:tr>
        <w:trPr>
          <w:trHeight w:val="223"/>
        </w:trPr>
        <w:tc>
          <w:tcPr>
            <w:tcW w:w="5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Selling and marketing expenses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37,568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30,943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3"/>
        </w:trPr>
        <w:tc>
          <w:tcPr>
            <w:tcW w:w="52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Depreciation and amortization expense</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13,799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11,583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w:t>
            </w:r>
          </w:p>
        </w:tc>
      </w:tr>
      <w:tr>
        <w:trPr>
          <w:trHeight w:val="223"/>
        </w:trPr>
        <w:tc>
          <w:tcPr>
            <w:tcW w:w="5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expense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5,526</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3,405</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221</w:t>
            </w:r>
          </w:p>
        </w:tc>
      </w:tr>
      <w:tr>
        <w:trPr>
          <w:trHeight w:val="216"/>
        </w:trPr>
        <w:tc>
          <w:tcPr>
            <w:tcW w:w="524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Total before tax</w:t>
            </w: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w:t>
            </w:r>
          </w:p>
        </w:tc>
      </w:tr>
      <w:tr>
        <w:trPr>
          <w:trHeight w:val="223"/>
        </w:trPr>
        <w:tc>
          <w:tcPr>
            <w:tcW w:w="5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tax effects on above</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w:t>
            </w:r>
          </w:p>
        </w:tc>
      </w:tr>
      <w:tr>
        <w:trPr>
          <w:trHeight w:val="216"/>
        </w:trPr>
        <w:tc>
          <w:tcPr>
            <w:tcW w:w="52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Net of tax</w:t>
            </w: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775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(96)</w:t>
            </w:r>
          </w:p>
        </w:tc>
      </w:tr>
      <w:tr>
        <w:trPr>
          <w:trHeight w:val="20"/>
        </w:trPr>
        <w:tc>
          <w:tcPr>
            <w:tcW w:w="5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71"/>
        </w:trPr>
        <w:tc>
          <w:tcPr>
            <w:tcW w:w="51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80" w:type="dxa"/>
            <w:vAlign w:val="bottom"/>
            <w:shd w:val="clear" w:color="auto" w:fill="CCEEFF"/>
          </w:tcPr>
          <w:p>
            <w:pPr>
              <w:spacing w:after="0"/>
              <w:rPr>
                <w:sz w:val="6"/>
                <w:szCs w:val="6"/>
                <w:color w:val="auto"/>
              </w:rPr>
            </w:pPr>
          </w:p>
        </w:tc>
      </w:tr>
      <w:tr>
        <w:trPr>
          <w:trHeight w:val="209"/>
        </w:trPr>
        <w:tc>
          <w:tcPr>
            <w:tcW w:w="52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Derivatives not designated as hedging instruments</w:t>
            </w: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171"/>
        </w:trPr>
        <w:tc>
          <w:tcPr>
            <w:tcW w:w="5240" w:type="dxa"/>
            <w:vAlign w:val="bottom"/>
            <w:gridSpan w:val="2"/>
            <w:shd w:val="clear" w:color="auto" w:fill="CCEEFF"/>
          </w:tcPr>
          <w:p>
            <w:pPr>
              <w:ind w:left="20"/>
              <w:spacing w:after="0" w:line="172" w:lineRule="exact"/>
              <w:rPr>
                <w:sz w:val="20"/>
                <w:szCs w:val="20"/>
                <w:color w:val="auto"/>
              </w:rPr>
            </w:pPr>
            <w:r>
              <w:rPr>
                <w:rFonts w:ascii="Times New Roman" w:cs="Times New Roman" w:eastAsia="Times New Roman" w:hAnsi="Times New Roman"/>
                <w:sz w:val="17"/>
                <w:szCs w:val="17"/>
                <w:color w:val="auto"/>
              </w:rPr>
              <w:t>Location in unaudited consolidated statements of income where</w:t>
            </w:r>
          </w:p>
        </w:tc>
        <w:tc>
          <w:tcPr>
            <w:tcW w:w="1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r>
      <w:tr>
        <w:trPr>
          <w:trHeight w:val="236"/>
        </w:trPr>
        <w:tc>
          <w:tcPr>
            <w:tcW w:w="5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gain/(loss) was recognized</w:t>
            </w: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r>
      <w:tr>
        <w:trPr>
          <w:trHeight w:val="52"/>
        </w:trPr>
        <w:tc>
          <w:tcPr>
            <w:tcW w:w="5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80" w:type="dxa"/>
            <w:vAlign w:val="bottom"/>
          </w:tcPr>
          <w:p>
            <w:pPr>
              <w:spacing w:after="0"/>
              <w:rPr>
                <w:sz w:val="4"/>
                <w:szCs w:val="4"/>
                <w:color w:val="auto"/>
              </w:rPr>
            </w:pPr>
          </w:p>
        </w:tc>
      </w:tr>
      <w:tr>
        <w:trPr>
          <w:trHeight w:val="223"/>
        </w:trPr>
        <w:tc>
          <w:tcPr>
            <w:tcW w:w="5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Foreign exchange gain/(loss), net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278</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409</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(1,584)</w:t>
            </w:r>
          </w:p>
        </w:tc>
      </w:tr>
      <w:tr>
        <w:trPr>
          <w:trHeight w:val="216"/>
        </w:trPr>
        <w:tc>
          <w:tcPr>
            <w:tcW w:w="5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278</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(259)</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409</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(1,584)</w:t>
            </w:r>
          </w:p>
        </w:tc>
      </w:tr>
      <w:tr>
        <w:trPr>
          <w:trHeight w:val="20"/>
        </w:trPr>
        <w:tc>
          <w:tcPr>
            <w:tcW w:w="5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300"/>
          </w:cols>
          <w:pgMar w:left="320" w:top="119" w:right="27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EXLSERVICE HOLDINGS, INC.</w:t>
      </w:r>
    </w:p>
    <w:p>
      <w:pPr>
        <w:spacing w:after="0" w:line="200" w:lineRule="exact"/>
        <w:rPr>
          <w:sz w:val="20"/>
          <w:szCs w:val="20"/>
          <w:color w:val="auto"/>
        </w:rPr>
      </w:pPr>
    </w:p>
    <w:p>
      <w:pPr>
        <w:spacing w:after="0" w:line="24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NOTES TO UNAUDITED CONSOLIDATED FINANCIAL STATEMENTS—(continued)</w:t>
      </w:r>
    </w:p>
    <w:p>
      <w:pPr>
        <w:spacing w:after="0" w:line="3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September 30, 2024</w:t>
      </w:r>
    </w:p>
    <w:p>
      <w:pPr>
        <w:spacing w:after="0" w:line="1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(In thousands, except per share amount and share count)</w:t>
      </w:r>
    </w:p>
    <w:p>
      <w:pPr>
        <w:spacing w:after="0" w:line="200" w:lineRule="exact"/>
        <w:rPr>
          <w:sz w:val="20"/>
          <w:szCs w:val="20"/>
          <w:color w:val="auto"/>
        </w:rPr>
      </w:pPr>
    </w:p>
    <w:p>
      <w:pPr>
        <w:spacing w:after="0" w:line="334" w:lineRule="exact"/>
        <w:rPr>
          <w:sz w:val="20"/>
          <w:szCs w:val="20"/>
          <w:color w:val="auto"/>
        </w:rPr>
      </w:pPr>
    </w:p>
    <w:p>
      <w:pPr>
        <w:ind w:right="400" w:firstLine="393"/>
        <w:spacing w:after="0" w:line="297" w:lineRule="auto"/>
        <w:rPr>
          <w:sz w:val="20"/>
          <w:szCs w:val="20"/>
          <w:color w:val="auto"/>
        </w:rPr>
      </w:pPr>
      <w:r>
        <w:rPr>
          <w:rFonts w:ascii="Times New Roman" w:cs="Times New Roman" w:eastAsia="Times New Roman" w:hAnsi="Times New Roman"/>
          <w:sz w:val="17"/>
          <w:szCs w:val="17"/>
          <w:color w:val="auto"/>
        </w:rPr>
        <w:t>The following table sets forth the location and amount of gain/(loss) recognized in unaudited consolidated statements of income for derivatives in cash flow hedging relationships and derivatives not designated as hedging instruments: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40" w:type="dxa"/>
            <w:vAlign w:val="bottom"/>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2660" w:type="dxa"/>
            <w:vAlign w:val="bottom"/>
            <w:tcBorders>
              <w:bottom w:val="single" w:sz="8" w:color="auto"/>
            </w:tcBorders>
            <w:gridSpan w:val="8"/>
            <w:shd w:val="clear" w:color="auto" w:fill="CCEEFF"/>
          </w:tcPr>
          <w:p>
            <w:pPr>
              <w:jc w:val="right"/>
              <w:ind w:right="53"/>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right w:val="single" w:sz="8" w:color="CCEEFF"/>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40" w:type="dxa"/>
            <w:vAlign w:val="bottom"/>
          </w:tcPr>
          <w:p>
            <w:pPr>
              <w:spacing w:after="0"/>
              <w:rPr>
                <w:sz w:val="17"/>
                <w:szCs w:val="17"/>
                <w:color w:val="auto"/>
              </w:rPr>
            </w:pPr>
          </w:p>
        </w:tc>
        <w:tc>
          <w:tcPr>
            <w:tcW w:w="2300" w:type="dxa"/>
            <w:vAlign w:val="bottom"/>
            <w:tcBorders>
              <w:bottom w:val="single" w:sz="8" w:color="CCEEFF"/>
            </w:tcBorders>
          </w:tcPr>
          <w:p>
            <w:pPr>
              <w:spacing w:after="0"/>
              <w:rPr>
                <w:sz w:val="17"/>
                <w:szCs w:val="17"/>
                <w:color w:val="auto"/>
              </w:rPr>
            </w:pPr>
          </w:p>
        </w:tc>
        <w:tc>
          <w:tcPr>
            <w:tcW w:w="600" w:type="dxa"/>
            <w:vAlign w:val="bottom"/>
            <w:tcBorders>
              <w:bottom w:val="single" w:sz="8" w:color="CCEEFF"/>
            </w:tcBorders>
          </w:tcPr>
          <w:p>
            <w:pPr>
              <w:spacing w:after="0"/>
              <w:rPr>
                <w:sz w:val="17"/>
                <w:szCs w:val="17"/>
                <w:color w:val="auto"/>
              </w:rPr>
            </w:pPr>
          </w:p>
        </w:tc>
        <w:tc>
          <w:tcPr>
            <w:tcW w:w="76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9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6"/>
          </w:tcPr>
          <w:p>
            <w:pPr>
              <w:jc w:val="right"/>
              <w:ind w:right="417"/>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gridSpan w:val="3"/>
          </w:tcPr>
          <w:p>
            <w:pPr>
              <w:jc w:val="right"/>
              <w:ind w:right="116"/>
              <w:spacing w:after="0"/>
              <w:rPr>
                <w:sz w:val="20"/>
                <w:szCs w:val="20"/>
                <w:color w:val="auto"/>
              </w:rPr>
            </w:pPr>
            <w:r>
              <w:rPr>
                <w:rFonts w:ascii="Times New Roman" w:cs="Times New Roman" w:eastAsia="Times New Roman" w:hAnsi="Times New Roman"/>
                <w:sz w:val="16"/>
                <w:szCs w:val="16"/>
                <w:b w:val="1"/>
                <w:bCs w:val="1"/>
                <w:color w:val="auto"/>
              </w:rPr>
              <w:t>2023</w:t>
            </w:r>
          </w:p>
        </w:tc>
        <w:tc>
          <w:tcPr>
            <w:tcW w:w="7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1"/>
        </w:trPr>
        <w:tc>
          <w:tcPr>
            <w:tcW w:w="440" w:type="dxa"/>
            <w:vAlign w:val="bottom"/>
          </w:tcPr>
          <w:p>
            <w:pPr>
              <w:spacing w:after="0"/>
              <w:rPr>
                <w:sz w:val="13"/>
                <w:szCs w:val="13"/>
                <w:color w:val="auto"/>
              </w:rPr>
            </w:pPr>
          </w:p>
        </w:tc>
        <w:tc>
          <w:tcPr>
            <w:tcW w:w="23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40" w:type="dxa"/>
            <w:vAlign w:val="bottom"/>
            <w:gridSpan w:val="4"/>
            <w:shd w:val="clear" w:color="auto" w:fill="CCEEFF"/>
          </w:tcPr>
          <w:p>
            <w:pPr>
              <w:jc w:val="center"/>
              <w:spacing w:after="0" w:line="152" w:lineRule="exact"/>
              <w:rPr>
                <w:sz w:val="20"/>
                <w:szCs w:val="20"/>
                <w:color w:val="auto"/>
              </w:rPr>
            </w:pPr>
            <w:r>
              <w:rPr>
                <w:rFonts w:ascii="Times New Roman" w:cs="Times New Roman" w:eastAsia="Times New Roman" w:hAnsi="Times New Roman"/>
                <w:sz w:val="16"/>
                <w:szCs w:val="16"/>
                <w:b w:val="1"/>
                <w:bCs w:val="1"/>
                <w:color w:val="auto"/>
                <w:w w:val="98"/>
              </w:rPr>
              <w:t>As per unaudited</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320" w:type="dxa"/>
            <w:vAlign w:val="bottom"/>
            <w:gridSpan w:val="3"/>
            <w:shd w:val="clear" w:color="auto" w:fill="CCEEFF"/>
          </w:tcPr>
          <w:p>
            <w:pPr>
              <w:jc w:val="center"/>
              <w:spacing w:after="0" w:line="152" w:lineRule="exact"/>
              <w:rPr>
                <w:sz w:val="20"/>
                <w:szCs w:val="20"/>
                <w:color w:val="auto"/>
              </w:rPr>
            </w:pPr>
            <w:r>
              <w:rPr>
                <w:rFonts w:ascii="Times New Roman" w:cs="Times New Roman" w:eastAsia="Times New Roman" w:hAnsi="Times New Roman"/>
                <w:sz w:val="16"/>
                <w:szCs w:val="16"/>
                <w:b w:val="1"/>
                <w:bCs w:val="1"/>
                <w:color w:val="auto"/>
                <w:w w:val="97"/>
              </w:rPr>
              <w:t>Gain/(loss) on</w:t>
            </w:r>
          </w:p>
        </w:tc>
        <w:tc>
          <w:tcPr>
            <w:tcW w:w="80" w:type="dxa"/>
            <w:vAlign w:val="bottom"/>
            <w:shd w:val="clear" w:color="auto" w:fill="CCEEFF"/>
          </w:tcPr>
          <w:p>
            <w:pPr>
              <w:spacing w:after="0"/>
              <w:rPr>
                <w:sz w:val="13"/>
                <w:szCs w:val="13"/>
                <w:color w:val="auto"/>
              </w:rPr>
            </w:pPr>
          </w:p>
        </w:tc>
        <w:tc>
          <w:tcPr>
            <w:tcW w:w="1260" w:type="dxa"/>
            <w:vAlign w:val="bottom"/>
            <w:gridSpan w:val="4"/>
            <w:shd w:val="clear" w:color="auto" w:fill="CCEEFF"/>
          </w:tcPr>
          <w:p>
            <w:pPr>
              <w:jc w:val="center"/>
              <w:spacing w:after="0" w:line="152" w:lineRule="exact"/>
              <w:rPr>
                <w:sz w:val="20"/>
                <w:szCs w:val="20"/>
                <w:color w:val="auto"/>
              </w:rPr>
            </w:pPr>
            <w:r>
              <w:rPr>
                <w:rFonts w:ascii="Times New Roman" w:cs="Times New Roman" w:eastAsia="Times New Roman" w:hAnsi="Times New Roman"/>
                <w:sz w:val="16"/>
                <w:szCs w:val="16"/>
                <w:b w:val="1"/>
                <w:bCs w:val="1"/>
                <w:color w:val="auto"/>
                <w:w w:val="98"/>
              </w:rPr>
              <w:t>As per unaudited</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Gain/(loss) on</w:t>
            </w:r>
          </w:p>
        </w:tc>
        <w:tc>
          <w:tcPr>
            <w:tcW w:w="0" w:type="dxa"/>
            <w:vAlign w:val="bottom"/>
          </w:tcPr>
          <w:p>
            <w:pPr>
              <w:spacing w:after="0"/>
              <w:rPr>
                <w:sz w:val="1"/>
                <w:szCs w:val="1"/>
                <w:color w:val="auto"/>
              </w:rPr>
            </w:pPr>
          </w:p>
        </w:tc>
      </w:tr>
      <w:tr>
        <w:trPr>
          <w:trHeight w:val="79"/>
        </w:trPr>
        <w:tc>
          <w:tcPr>
            <w:tcW w:w="440" w:type="dxa"/>
            <w:vAlign w:val="bottom"/>
          </w:tcPr>
          <w:p>
            <w:pPr>
              <w:spacing w:after="0"/>
              <w:rPr>
                <w:sz w:val="6"/>
                <w:szCs w:val="6"/>
                <w:color w:val="auto"/>
              </w:rPr>
            </w:pPr>
          </w:p>
        </w:tc>
        <w:tc>
          <w:tcPr>
            <w:tcW w:w="2300" w:type="dxa"/>
            <w:vAlign w:val="bottom"/>
            <w:shd w:val="clear" w:color="auto" w:fill="CCEEFF"/>
          </w:tcPr>
          <w:p>
            <w:pPr>
              <w:spacing w:after="0"/>
              <w:rPr>
                <w:sz w:val="6"/>
                <w:szCs w:val="6"/>
                <w:color w:val="auto"/>
              </w:rPr>
            </w:pPr>
          </w:p>
        </w:tc>
        <w:tc>
          <w:tcPr>
            <w:tcW w:w="60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9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340" w:type="dxa"/>
            <w:vAlign w:val="bottom"/>
            <w:gridSpan w:val="4"/>
            <w:vMerge w:val="restart"/>
            <w:shd w:val="clear" w:color="auto" w:fill="CCEEFF"/>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w w:val="98"/>
              </w:rPr>
              <w:t>consolidated</w:t>
            </w:r>
          </w:p>
        </w:tc>
        <w:tc>
          <w:tcPr>
            <w:tcW w:w="6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400" w:type="dxa"/>
            <w:vAlign w:val="bottom"/>
            <w:gridSpan w:val="4"/>
            <w:vMerge w:val="restart"/>
            <w:shd w:val="clear" w:color="auto" w:fill="CCEEFF"/>
          </w:tcPr>
          <w:p>
            <w:pPr>
              <w:jc w:val="center"/>
              <w:ind w:right="80"/>
              <w:spacing w:after="0" w:line="158" w:lineRule="exact"/>
              <w:rPr>
                <w:sz w:val="20"/>
                <w:szCs w:val="20"/>
                <w:color w:val="auto"/>
              </w:rPr>
            </w:pPr>
            <w:r>
              <w:rPr>
                <w:rFonts w:ascii="Times New Roman" w:cs="Times New Roman" w:eastAsia="Times New Roman" w:hAnsi="Times New Roman"/>
                <w:sz w:val="16"/>
                <w:szCs w:val="16"/>
                <w:b w:val="1"/>
                <w:bCs w:val="1"/>
                <w:color w:val="auto"/>
                <w:w w:val="99"/>
              </w:rPr>
              <w:t>derivative</w:t>
            </w:r>
          </w:p>
        </w:tc>
        <w:tc>
          <w:tcPr>
            <w:tcW w:w="1260" w:type="dxa"/>
            <w:vAlign w:val="bottom"/>
            <w:gridSpan w:val="4"/>
            <w:vMerge w:val="restart"/>
            <w:shd w:val="clear" w:color="auto" w:fill="CCEEFF"/>
          </w:tcPr>
          <w:p>
            <w:pPr>
              <w:ind w:left="240"/>
              <w:spacing w:after="0" w:line="158" w:lineRule="exact"/>
              <w:rPr>
                <w:sz w:val="20"/>
                <w:szCs w:val="20"/>
                <w:color w:val="auto"/>
              </w:rPr>
            </w:pPr>
            <w:r>
              <w:rPr>
                <w:rFonts w:ascii="Times New Roman" w:cs="Times New Roman" w:eastAsia="Times New Roman" w:hAnsi="Times New Roman"/>
                <w:sz w:val="16"/>
                <w:szCs w:val="16"/>
                <w:b w:val="1"/>
                <w:bCs w:val="1"/>
                <w:color w:val="auto"/>
              </w:rPr>
              <w:t>consolidated</w:t>
            </w:r>
          </w:p>
        </w:tc>
        <w:tc>
          <w:tcPr>
            <w:tcW w:w="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20" w:type="dxa"/>
            <w:vAlign w:val="bottom"/>
            <w:gridSpan w:val="2"/>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440" w:type="dxa"/>
            <w:vAlign w:val="bottom"/>
          </w:tcPr>
          <w:p>
            <w:pPr>
              <w:spacing w:after="0"/>
              <w:rPr>
                <w:sz w:val="6"/>
                <w:szCs w:val="6"/>
                <w:color w:val="auto"/>
              </w:rPr>
            </w:pPr>
          </w:p>
        </w:tc>
        <w:tc>
          <w:tcPr>
            <w:tcW w:w="2300" w:type="dxa"/>
            <w:vAlign w:val="bottom"/>
            <w:shd w:val="clear" w:color="auto" w:fill="CCEEFF"/>
          </w:tcPr>
          <w:p>
            <w:pPr>
              <w:spacing w:after="0"/>
              <w:rPr>
                <w:sz w:val="6"/>
                <w:szCs w:val="6"/>
                <w:color w:val="auto"/>
              </w:rPr>
            </w:pPr>
          </w:p>
        </w:tc>
        <w:tc>
          <w:tcPr>
            <w:tcW w:w="60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9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340" w:type="dxa"/>
            <w:vAlign w:val="bottom"/>
            <w:gridSpan w:val="4"/>
            <w:vMerge w:val="continue"/>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400" w:type="dxa"/>
            <w:vAlign w:val="bottom"/>
            <w:gridSpan w:val="4"/>
            <w:vMerge w:val="continue"/>
            <w:shd w:val="clear" w:color="auto" w:fill="CCEEFF"/>
          </w:tcPr>
          <w:p>
            <w:pPr>
              <w:spacing w:after="0"/>
              <w:rPr>
                <w:sz w:val="6"/>
                <w:szCs w:val="6"/>
                <w:color w:val="auto"/>
              </w:rPr>
            </w:pPr>
          </w:p>
        </w:tc>
        <w:tc>
          <w:tcPr>
            <w:tcW w:w="1260" w:type="dxa"/>
            <w:vAlign w:val="bottom"/>
            <w:gridSpan w:val="4"/>
            <w:vMerge w:val="continue"/>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20" w:type="dxa"/>
            <w:vAlign w:val="bottom"/>
            <w:gridSpan w:val="2"/>
            <w:vMerge w:val="restart"/>
            <w:shd w:val="clear" w:color="auto" w:fill="CCEEFF"/>
          </w:tcPr>
          <w:p>
            <w:pPr>
              <w:jc w:val="right"/>
              <w:spacing w:after="0" w:line="158" w:lineRule="exact"/>
              <w:rPr>
                <w:sz w:val="20"/>
                <w:szCs w:val="20"/>
                <w:color w:val="auto"/>
              </w:rPr>
            </w:pPr>
            <w:r>
              <w:rPr>
                <w:rFonts w:ascii="Times New Roman" w:cs="Times New Roman" w:eastAsia="Times New Roman" w:hAnsi="Times New Roman"/>
                <w:sz w:val="16"/>
                <w:szCs w:val="16"/>
                <w:b w:val="1"/>
                <w:bCs w:val="1"/>
                <w:color w:val="auto"/>
              </w:rPr>
              <w:t>derivative finan</w:t>
            </w:r>
          </w:p>
        </w:tc>
        <w:tc>
          <w:tcPr>
            <w:tcW w:w="0" w:type="dxa"/>
            <w:vAlign w:val="bottom"/>
          </w:tcPr>
          <w:p>
            <w:pPr>
              <w:spacing w:after="0"/>
              <w:rPr>
                <w:sz w:val="1"/>
                <w:szCs w:val="1"/>
                <w:color w:val="auto"/>
              </w:rPr>
            </w:pPr>
          </w:p>
        </w:tc>
      </w:tr>
      <w:tr>
        <w:trPr>
          <w:trHeight w:val="79"/>
        </w:trPr>
        <w:tc>
          <w:tcPr>
            <w:tcW w:w="440" w:type="dxa"/>
            <w:vAlign w:val="bottom"/>
          </w:tcPr>
          <w:p>
            <w:pPr>
              <w:spacing w:after="0"/>
              <w:rPr>
                <w:sz w:val="6"/>
                <w:szCs w:val="6"/>
                <w:color w:val="auto"/>
              </w:rPr>
            </w:pPr>
          </w:p>
        </w:tc>
        <w:tc>
          <w:tcPr>
            <w:tcW w:w="2300" w:type="dxa"/>
            <w:vAlign w:val="bottom"/>
            <w:shd w:val="clear" w:color="auto" w:fill="CCEEFF"/>
          </w:tcPr>
          <w:p>
            <w:pPr>
              <w:spacing w:after="0"/>
              <w:rPr>
                <w:sz w:val="6"/>
                <w:szCs w:val="6"/>
                <w:color w:val="auto"/>
              </w:rPr>
            </w:pPr>
          </w:p>
        </w:tc>
        <w:tc>
          <w:tcPr>
            <w:tcW w:w="60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9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340" w:type="dxa"/>
            <w:vAlign w:val="bottom"/>
            <w:gridSpan w:val="4"/>
            <w:vMerge w:val="restart"/>
            <w:shd w:val="clear" w:color="auto" w:fill="CCEEFF"/>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w w:val="97"/>
              </w:rPr>
              <w:t>statements of</w:t>
            </w:r>
          </w:p>
        </w:tc>
        <w:tc>
          <w:tcPr>
            <w:tcW w:w="6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400" w:type="dxa"/>
            <w:vAlign w:val="bottom"/>
            <w:gridSpan w:val="4"/>
            <w:vMerge w:val="restart"/>
            <w:shd w:val="clear" w:color="auto" w:fill="CCEEFF"/>
          </w:tcPr>
          <w:p>
            <w:pPr>
              <w:jc w:val="center"/>
              <w:ind w:right="80"/>
              <w:spacing w:after="0" w:line="158" w:lineRule="exact"/>
              <w:rPr>
                <w:sz w:val="20"/>
                <w:szCs w:val="20"/>
                <w:color w:val="auto"/>
              </w:rPr>
            </w:pPr>
            <w:r>
              <w:rPr>
                <w:rFonts w:ascii="Times New Roman" w:cs="Times New Roman" w:eastAsia="Times New Roman" w:hAnsi="Times New Roman"/>
                <w:sz w:val="16"/>
                <w:szCs w:val="16"/>
                <w:b w:val="1"/>
                <w:bCs w:val="1"/>
                <w:color w:val="auto"/>
              </w:rPr>
              <w:t>financial</w:t>
            </w:r>
          </w:p>
        </w:tc>
        <w:tc>
          <w:tcPr>
            <w:tcW w:w="1260" w:type="dxa"/>
            <w:vAlign w:val="bottom"/>
            <w:gridSpan w:val="4"/>
            <w:vMerge w:val="restart"/>
            <w:shd w:val="clear" w:color="auto" w:fill="CCEEFF"/>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w w:val="97"/>
              </w:rPr>
              <w:t>statements of</w:t>
            </w:r>
          </w:p>
        </w:tc>
        <w:tc>
          <w:tcPr>
            <w:tcW w:w="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20" w:type="dxa"/>
            <w:vAlign w:val="bottom"/>
            <w:gridSpan w:val="2"/>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440" w:type="dxa"/>
            <w:vAlign w:val="bottom"/>
          </w:tcPr>
          <w:p>
            <w:pPr>
              <w:spacing w:after="0"/>
              <w:rPr>
                <w:sz w:val="6"/>
                <w:szCs w:val="6"/>
                <w:color w:val="auto"/>
              </w:rPr>
            </w:pPr>
          </w:p>
        </w:tc>
        <w:tc>
          <w:tcPr>
            <w:tcW w:w="2300" w:type="dxa"/>
            <w:vAlign w:val="bottom"/>
            <w:shd w:val="clear" w:color="auto" w:fill="CCEEFF"/>
          </w:tcPr>
          <w:p>
            <w:pPr>
              <w:spacing w:after="0"/>
              <w:rPr>
                <w:sz w:val="6"/>
                <w:szCs w:val="6"/>
                <w:color w:val="auto"/>
              </w:rPr>
            </w:pPr>
          </w:p>
        </w:tc>
        <w:tc>
          <w:tcPr>
            <w:tcW w:w="60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9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340" w:type="dxa"/>
            <w:vAlign w:val="bottom"/>
            <w:gridSpan w:val="4"/>
            <w:vMerge w:val="continue"/>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400" w:type="dxa"/>
            <w:vAlign w:val="bottom"/>
            <w:gridSpan w:val="4"/>
            <w:vMerge w:val="continue"/>
            <w:shd w:val="clear" w:color="auto" w:fill="CCEEFF"/>
          </w:tcPr>
          <w:p>
            <w:pPr>
              <w:spacing w:after="0"/>
              <w:rPr>
                <w:sz w:val="6"/>
                <w:szCs w:val="6"/>
                <w:color w:val="auto"/>
              </w:rPr>
            </w:pPr>
          </w:p>
        </w:tc>
        <w:tc>
          <w:tcPr>
            <w:tcW w:w="1260" w:type="dxa"/>
            <w:vAlign w:val="bottom"/>
            <w:gridSpan w:val="4"/>
            <w:vMerge w:val="continue"/>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40" w:type="dxa"/>
            <w:vAlign w:val="bottom"/>
            <w:tcBorders>
              <w:right w:val="single" w:sz="8" w:color="CCEEFF"/>
            </w:tcBorders>
            <w:shd w:val="clear" w:color="auto" w:fill="CCEEFF"/>
          </w:tcPr>
          <w:p>
            <w:pPr>
              <w:spacing w:after="0"/>
              <w:rPr>
                <w:sz w:val="6"/>
                <w:szCs w:val="6"/>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87"/>
              </w:rPr>
              <w:t>instruments</w:t>
            </w:r>
          </w:p>
        </w:tc>
        <w:tc>
          <w:tcPr>
            <w:tcW w:w="0" w:type="dxa"/>
            <w:vAlign w:val="bottom"/>
          </w:tcPr>
          <w:p>
            <w:pPr>
              <w:spacing w:after="0"/>
              <w:rPr>
                <w:sz w:val="1"/>
                <w:szCs w:val="1"/>
                <w:color w:val="auto"/>
              </w:rPr>
            </w:pPr>
          </w:p>
        </w:tc>
      </w:tr>
      <w:tr>
        <w:trPr>
          <w:trHeight w:val="130"/>
        </w:trPr>
        <w:tc>
          <w:tcPr>
            <w:tcW w:w="440" w:type="dxa"/>
            <w:vAlign w:val="bottom"/>
          </w:tcPr>
          <w:p>
            <w:pPr>
              <w:spacing w:after="0"/>
              <w:rPr>
                <w:sz w:val="11"/>
                <w:szCs w:val="11"/>
                <w:color w:val="auto"/>
              </w:rPr>
            </w:pPr>
          </w:p>
        </w:tc>
        <w:tc>
          <w:tcPr>
            <w:tcW w:w="23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40" w:type="dxa"/>
            <w:vAlign w:val="bottom"/>
            <w:gridSpan w:val="4"/>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income</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0" w:type="dxa"/>
            <w:vAlign w:val="bottom"/>
            <w:gridSpan w:val="4"/>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7"/>
              </w:rPr>
              <w:t>instruments</w:t>
            </w:r>
          </w:p>
        </w:tc>
        <w:tc>
          <w:tcPr>
            <w:tcW w:w="1260" w:type="dxa"/>
            <w:vAlign w:val="bottom"/>
            <w:gridSpan w:val="4"/>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income</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tcBorders>
              <w:right w:val="single" w:sz="8" w:color="CCEEFF"/>
            </w:tcBorders>
            <w:shd w:val="clear" w:color="auto" w:fill="CCEEFF"/>
          </w:tcPr>
          <w:p>
            <w:pPr>
              <w:spacing w:after="0"/>
              <w:rPr>
                <w:sz w:val="11"/>
                <w:szCs w:val="11"/>
                <w:color w:val="auto"/>
              </w:rPr>
            </w:pPr>
          </w:p>
        </w:tc>
        <w:tc>
          <w:tcPr>
            <w:tcW w:w="78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79"/>
        </w:trPr>
        <w:tc>
          <w:tcPr>
            <w:tcW w:w="440" w:type="dxa"/>
            <w:vAlign w:val="bottom"/>
          </w:tcPr>
          <w:p>
            <w:pPr>
              <w:spacing w:after="0"/>
              <w:rPr>
                <w:sz w:val="6"/>
                <w:szCs w:val="6"/>
                <w:color w:val="auto"/>
              </w:rPr>
            </w:pPr>
          </w:p>
        </w:tc>
        <w:tc>
          <w:tcPr>
            <w:tcW w:w="2300" w:type="dxa"/>
            <w:vAlign w:val="bottom"/>
            <w:shd w:val="clear" w:color="auto" w:fill="CCEEFF"/>
          </w:tcPr>
          <w:p>
            <w:pPr>
              <w:spacing w:after="0"/>
              <w:rPr>
                <w:sz w:val="6"/>
                <w:szCs w:val="6"/>
                <w:color w:val="auto"/>
              </w:rPr>
            </w:pPr>
          </w:p>
        </w:tc>
        <w:tc>
          <w:tcPr>
            <w:tcW w:w="60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9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340" w:type="dxa"/>
            <w:vAlign w:val="bottom"/>
            <w:gridSpan w:val="4"/>
            <w:vMerge w:val="continue"/>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400" w:type="dxa"/>
            <w:vAlign w:val="bottom"/>
            <w:gridSpan w:val="4"/>
            <w:vMerge w:val="continue"/>
            <w:shd w:val="clear" w:color="auto" w:fill="CCEEFF"/>
          </w:tcPr>
          <w:p>
            <w:pPr>
              <w:spacing w:after="0"/>
              <w:rPr>
                <w:sz w:val="6"/>
                <w:szCs w:val="6"/>
                <w:color w:val="auto"/>
              </w:rPr>
            </w:pPr>
          </w:p>
        </w:tc>
        <w:tc>
          <w:tcPr>
            <w:tcW w:w="1260" w:type="dxa"/>
            <w:vAlign w:val="bottom"/>
            <w:gridSpan w:val="4"/>
            <w:vMerge w:val="continue"/>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40" w:type="dxa"/>
            <w:vAlign w:val="bottom"/>
            <w:tcBorders>
              <w:right w:val="single" w:sz="8" w:color="CCEEFF"/>
            </w:tcBorders>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440" w:type="dxa"/>
            <w:vAlign w:val="bottom"/>
          </w:tcPr>
          <w:p>
            <w:pPr>
              <w:spacing w:after="0"/>
              <w:rPr>
                <w:sz w:val="17"/>
                <w:szCs w:val="17"/>
                <w:color w:val="auto"/>
              </w:rPr>
            </w:pPr>
          </w:p>
        </w:tc>
        <w:tc>
          <w:tcPr>
            <w:tcW w:w="3740" w:type="dxa"/>
            <w:vAlign w:val="bottom"/>
            <w:tcBorders>
              <w:top w:val="single" w:sz="8" w:color="auto"/>
            </w:tcBorders>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rPr>
              <w:t>Derivatives in cash flow hedging relationships</w:t>
            </w: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440" w:type="dxa"/>
            <w:vAlign w:val="bottom"/>
          </w:tcPr>
          <w:p>
            <w:pPr>
              <w:spacing w:after="0"/>
              <w:rPr>
                <w:sz w:val="14"/>
                <w:szCs w:val="14"/>
                <w:color w:val="auto"/>
              </w:rPr>
            </w:pPr>
          </w:p>
        </w:tc>
        <w:tc>
          <w:tcPr>
            <w:tcW w:w="4940" w:type="dxa"/>
            <w:vAlign w:val="bottom"/>
            <w:gridSpan w:val="7"/>
            <w:shd w:val="clear" w:color="auto" w:fill="CCEEFF"/>
          </w:tcPr>
          <w:p>
            <w:pPr>
              <w:ind w:left="20"/>
              <w:spacing w:after="0" w:line="172" w:lineRule="exact"/>
              <w:rPr>
                <w:sz w:val="20"/>
                <w:szCs w:val="20"/>
                <w:color w:val="auto"/>
              </w:rPr>
            </w:pPr>
            <w:r>
              <w:rPr>
                <w:rFonts w:ascii="Times New Roman" w:cs="Times New Roman" w:eastAsia="Times New Roman" w:hAnsi="Times New Roman"/>
                <w:sz w:val="17"/>
                <w:szCs w:val="17"/>
                <w:color w:val="auto"/>
              </w:rPr>
              <w:t>Location in unaudited consolidated statements of income where</w:t>
            </w: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tcBorders>
              <w:right w:val="single" w:sz="8" w:color="CCEEFF"/>
            </w:tcBorders>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440" w:type="dxa"/>
            <w:vAlign w:val="bottom"/>
          </w:tcPr>
          <w:p>
            <w:pPr>
              <w:spacing w:after="0"/>
              <w:rPr>
                <w:sz w:val="20"/>
                <w:szCs w:val="20"/>
                <w:color w:val="auto"/>
              </w:rPr>
            </w:pPr>
          </w:p>
        </w:tc>
        <w:tc>
          <w:tcPr>
            <w:tcW w:w="2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gain/(loss) was reclassified from AOCI</w:t>
            </w:r>
          </w:p>
        </w:tc>
        <w:tc>
          <w:tcPr>
            <w:tcW w:w="7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tcBorders>
              <w:right w:val="single" w:sz="8" w:color="CCEEFF"/>
            </w:tcBorders>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52"/>
        </w:trPr>
        <w:tc>
          <w:tcPr>
            <w:tcW w:w="440" w:type="dxa"/>
            <w:vAlign w:val="bottom"/>
          </w:tcPr>
          <w:p>
            <w:pPr>
              <w:spacing w:after="0"/>
              <w:rPr>
                <w:sz w:val="4"/>
                <w:szCs w:val="4"/>
                <w:color w:val="auto"/>
              </w:rPr>
            </w:pPr>
          </w:p>
        </w:tc>
        <w:tc>
          <w:tcPr>
            <w:tcW w:w="2300" w:type="dxa"/>
            <w:vAlign w:val="bottom"/>
          </w:tcPr>
          <w:p>
            <w:pPr>
              <w:spacing w:after="0"/>
              <w:rPr>
                <w:sz w:val="4"/>
                <w:szCs w:val="4"/>
                <w:color w:val="auto"/>
              </w:rPr>
            </w:pPr>
          </w:p>
        </w:tc>
        <w:tc>
          <w:tcPr>
            <w:tcW w:w="60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gridSpan w:val="2"/>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440" w:type="dxa"/>
            <w:vAlign w:val="bottom"/>
          </w:tcPr>
          <w:p>
            <w:pPr>
              <w:spacing w:after="0"/>
              <w:rPr>
                <w:sz w:val="19"/>
                <w:szCs w:val="19"/>
                <w:color w:val="auto"/>
              </w:rPr>
            </w:pPr>
          </w:p>
        </w:tc>
        <w:tc>
          <w:tcPr>
            <w:tcW w:w="2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Cost of revenues</w:t>
            </w:r>
          </w:p>
        </w:tc>
        <w:tc>
          <w:tcPr>
            <w:tcW w:w="6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shd w:val="clear" w:color="auto" w:fill="CCEEFF"/>
          </w:tcPr>
          <w:p>
            <w:pPr>
              <w:spacing w:after="0"/>
              <w:rPr>
                <w:sz w:val="19"/>
                <w:szCs w:val="19"/>
                <w:color w:val="auto"/>
              </w:rPr>
            </w:pPr>
          </w:p>
        </w:tc>
        <w:tc>
          <w:tcPr>
            <w:tcW w:w="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849,336</w:t>
            </w:r>
          </w:p>
        </w:tc>
        <w:tc>
          <w:tcPr>
            <w:tcW w:w="660" w:type="dxa"/>
            <w:vAlign w:val="bottom"/>
            <w:gridSpan w:val="3"/>
            <w:shd w:val="clear" w:color="auto" w:fill="CCEEFF"/>
          </w:tcPr>
          <w:p>
            <w:pPr>
              <w:jc w:val="right"/>
              <w:ind w:right="337"/>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760,691</w:t>
            </w:r>
          </w:p>
        </w:tc>
        <w:tc>
          <w:tcPr>
            <w:tcW w:w="580" w:type="dxa"/>
            <w:vAlign w:val="bottom"/>
            <w:tcBorders>
              <w:right w:val="single" w:sz="8" w:color="CCEEFF"/>
            </w:tcBorders>
            <w:gridSpan w:val="3"/>
            <w:shd w:val="clear" w:color="auto" w:fill="CCEEFF"/>
          </w:tcPr>
          <w:p>
            <w:pPr>
              <w:jc w:val="right"/>
              <w:ind w:right="256"/>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0" w:type="dxa"/>
            <w:vAlign w:val="bottom"/>
          </w:tcPr>
          <w:p>
            <w:pPr>
              <w:spacing w:after="0"/>
              <w:rPr>
                <w:sz w:val="1"/>
                <w:szCs w:val="1"/>
                <w:color w:val="auto"/>
              </w:rPr>
            </w:pPr>
          </w:p>
        </w:tc>
      </w:tr>
      <w:tr>
        <w:trPr>
          <w:trHeight w:val="223"/>
        </w:trPr>
        <w:tc>
          <w:tcPr>
            <w:tcW w:w="440" w:type="dxa"/>
            <w:vAlign w:val="bottom"/>
          </w:tcPr>
          <w:p>
            <w:pPr>
              <w:spacing w:after="0"/>
              <w:rPr>
                <w:sz w:val="19"/>
                <w:szCs w:val="19"/>
                <w:color w:val="auto"/>
              </w:rPr>
            </w:pPr>
          </w:p>
        </w:tc>
        <w:tc>
          <w:tcPr>
            <w:tcW w:w="29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General and administrative expenses</w:t>
            </w: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gridSpan w:val="3"/>
          </w:tcPr>
          <w:p>
            <w:pPr>
              <w:ind w:left="360"/>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tcPr>
          <w:p>
            <w:pPr>
              <w:spacing w:after="0"/>
              <w:rPr>
                <w:sz w:val="19"/>
                <w:szCs w:val="19"/>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167,195</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156</w:t>
            </w:r>
          </w:p>
        </w:tc>
        <w:tc>
          <w:tcPr>
            <w:tcW w:w="80" w:type="dxa"/>
            <w:vAlign w:val="bottom"/>
          </w:tcPr>
          <w:p>
            <w:pPr>
              <w:spacing w:after="0"/>
              <w:rPr>
                <w:sz w:val="19"/>
                <w:szCs w:val="19"/>
                <w:color w:val="auto"/>
              </w:rPr>
            </w:pPr>
          </w:p>
        </w:tc>
        <w:tc>
          <w:tcPr>
            <w:tcW w:w="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144,564</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3"/>
        </w:trPr>
        <w:tc>
          <w:tcPr>
            <w:tcW w:w="440" w:type="dxa"/>
            <w:vAlign w:val="bottom"/>
          </w:tcPr>
          <w:p>
            <w:pPr>
              <w:spacing w:after="0"/>
              <w:rPr>
                <w:sz w:val="19"/>
                <w:szCs w:val="19"/>
                <w:color w:val="auto"/>
              </w:rPr>
            </w:pPr>
          </w:p>
        </w:tc>
        <w:tc>
          <w:tcPr>
            <w:tcW w:w="2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Selling and marketing expenses</w:t>
            </w:r>
          </w:p>
        </w:tc>
        <w:tc>
          <w:tcPr>
            <w:tcW w:w="6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shd w:val="clear" w:color="auto" w:fill="CCEEFF"/>
          </w:tcPr>
          <w:p>
            <w:pPr>
              <w:spacing w:after="0"/>
              <w:rPr>
                <w:sz w:val="19"/>
                <w:szCs w:val="19"/>
                <w:color w:val="auto"/>
              </w:rPr>
            </w:pPr>
          </w:p>
        </w:tc>
        <w:tc>
          <w:tcPr>
            <w:tcW w:w="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108,982</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88,674</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tcBorders>
              <w:right w:val="single" w:sz="8" w:color="CCEEFF"/>
            </w:tcBorders>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0" w:type="dxa"/>
            <w:vAlign w:val="bottom"/>
          </w:tcPr>
          <w:p>
            <w:pPr>
              <w:spacing w:after="0"/>
              <w:rPr>
                <w:sz w:val="19"/>
                <w:szCs w:val="19"/>
                <w:color w:val="auto"/>
              </w:rPr>
            </w:pPr>
          </w:p>
        </w:tc>
        <w:tc>
          <w:tcPr>
            <w:tcW w:w="29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Depreciation and amortization expense</w:t>
            </w: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gridSpan w:val="3"/>
          </w:tcPr>
          <w:p>
            <w:pPr>
              <w:ind w:left="360"/>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tcPr>
          <w:p>
            <w:pPr>
              <w:spacing w:after="0"/>
              <w:rPr>
                <w:sz w:val="19"/>
                <w:szCs w:val="19"/>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39,055</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80" w:type="dxa"/>
            <w:vAlign w:val="bottom"/>
          </w:tcPr>
          <w:p>
            <w:pPr>
              <w:spacing w:after="0"/>
              <w:rPr>
                <w:sz w:val="19"/>
                <w:szCs w:val="19"/>
                <w:color w:val="auto"/>
              </w:rPr>
            </w:pPr>
          </w:p>
        </w:tc>
        <w:tc>
          <w:tcPr>
            <w:tcW w:w="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38,192</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3"/>
        </w:trPr>
        <w:tc>
          <w:tcPr>
            <w:tcW w:w="440" w:type="dxa"/>
            <w:vAlign w:val="bottom"/>
          </w:tcPr>
          <w:p>
            <w:pPr>
              <w:spacing w:after="0"/>
              <w:rPr>
                <w:sz w:val="19"/>
                <w:szCs w:val="19"/>
                <w:color w:val="auto"/>
              </w:rPr>
            </w:pPr>
          </w:p>
        </w:tc>
        <w:tc>
          <w:tcPr>
            <w:tcW w:w="2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expense</w:t>
            </w:r>
          </w:p>
        </w:tc>
        <w:tc>
          <w:tcPr>
            <w:tcW w:w="6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shd w:val="clear" w:color="auto" w:fill="CCEEFF"/>
          </w:tcPr>
          <w:p>
            <w:pPr>
              <w:spacing w:after="0"/>
              <w:rPr>
                <w:sz w:val="19"/>
                <w:szCs w:val="19"/>
                <w:color w:val="auto"/>
              </w:rPr>
            </w:pPr>
          </w:p>
        </w:tc>
        <w:tc>
          <w:tcPr>
            <w:tcW w:w="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14,145</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723</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10,030</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right w:val="single" w:sz="8" w:color="CCEEFF"/>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3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Total before tax</w:t>
            </w:r>
          </w:p>
        </w:tc>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850</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0" w:type="dxa"/>
            <w:vAlign w:val="bottom"/>
          </w:tcPr>
          <w:p>
            <w:pPr>
              <w:spacing w:after="0"/>
              <w:rPr>
                <w:sz w:val="1"/>
                <w:szCs w:val="1"/>
                <w:color w:val="auto"/>
              </w:rPr>
            </w:pPr>
          </w:p>
        </w:tc>
      </w:tr>
      <w:tr>
        <w:trPr>
          <w:trHeight w:val="223"/>
        </w:trPr>
        <w:tc>
          <w:tcPr>
            <w:tcW w:w="440" w:type="dxa"/>
            <w:vAlign w:val="bottom"/>
          </w:tcPr>
          <w:p>
            <w:pPr>
              <w:spacing w:after="0"/>
              <w:rPr>
                <w:sz w:val="19"/>
                <w:szCs w:val="19"/>
                <w:color w:val="auto"/>
              </w:rPr>
            </w:pPr>
          </w:p>
        </w:tc>
        <w:tc>
          <w:tcPr>
            <w:tcW w:w="2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tax effects on above</w:t>
            </w:r>
          </w:p>
        </w:tc>
        <w:tc>
          <w:tcPr>
            <w:tcW w:w="6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(416)</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right w:val="single" w:sz="8" w:color="CCEEFF"/>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3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of tax</w:t>
            </w:r>
          </w:p>
        </w:tc>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gridSpan w:val="2"/>
          </w:tcPr>
          <w:p>
            <w:pPr>
              <w:spacing w:after="0"/>
              <w:rPr>
                <w:sz w:val="18"/>
                <w:szCs w:val="18"/>
                <w:color w:val="auto"/>
              </w:rPr>
            </w:pPr>
          </w:p>
        </w:tc>
        <w:tc>
          <w:tcPr>
            <w:tcW w:w="52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434</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gridSpan w:val="2"/>
          </w:tcPr>
          <w:p>
            <w:pPr>
              <w:spacing w:after="0"/>
              <w:rPr>
                <w:sz w:val="18"/>
                <w:szCs w:val="18"/>
                <w:color w:val="auto"/>
              </w:rPr>
            </w:pPr>
          </w:p>
        </w:tc>
        <w:tc>
          <w:tcPr>
            <w:tcW w:w="44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0" w:type="dxa"/>
            <w:vAlign w:val="bottom"/>
          </w:tcPr>
          <w:p>
            <w:pPr>
              <w:spacing w:after="0"/>
              <w:rPr>
                <w:sz w:val="1"/>
                <w:szCs w:val="1"/>
                <w:color w:val="auto"/>
              </w:rPr>
            </w:pPr>
          </w:p>
        </w:tc>
      </w:tr>
      <w:tr>
        <w:trPr>
          <w:trHeight w:val="39"/>
        </w:trPr>
        <w:tc>
          <w:tcPr>
            <w:tcW w:w="440" w:type="dxa"/>
            <w:vAlign w:val="bottom"/>
          </w:tcPr>
          <w:p>
            <w:pPr>
              <w:spacing w:after="0"/>
              <w:rPr>
                <w:sz w:val="3"/>
                <w:szCs w:val="3"/>
                <w:color w:val="auto"/>
              </w:rPr>
            </w:pPr>
          </w:p>
        </w:tc>
        <w:tc>
          <w:tcPr>
            <w:tcW w:w="2300" w:type="dxa"/>
            <w:vAlign w:val="bottom"/>
            <w:tcBorders>
              <w:bottom w:val="single" w:sz="8" w:color="CCEEFF"/>
            </w:tcBorders>
          </w:tcPr>
          <w:p>
            <w:pPr>
              <w:spacing w:after="0"/>
              <w:rPr>
                <w:sz w:val="3"/>
                <w:szCs w:val="3"/>
                <w:color w:val="auto"/>
              </w:rPr>
            </w:pPr>
          </w:p>
        </w:tc>
        <w:tc>
          <w:tcPr>
            <w:tcW w:w="600" w:type="dxa"/>
            <w:vAlign w:val="bottom"/>
            <w:tcBorders>
              <w:bottom w:val="single" w:sz="8" w:color="CCEEFF"/>
            </w:tcBorders>
          </w:tcPr>
          <w:p>
            <w:pPr>
              <w:spacing w:after="0"/>
              <w:rPr>
                <w:sz w:val="3"/>
                <w:szCs w:val="3"/>
                <w:color w:val="auto"/>
              </w:rPr>
            </w:pPr>
          </w:p>
        </w:tc>
        <w:tc>
          <w:tcPr>
            <w:tcW w:w="76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94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62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60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8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54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9"/>
        </w:trPr>
        <w:tc>
          <w:tcPr>
            <w:tcW w:w="440" w:type="dxa"/>
            <w:vAlign w:val="bottom"/>
          </w:tcPr>
          <w:p>
            <w:pPr>
              <w:spacing w:after="0"/>
              <w:rPr>
                <w:sz w:val="18"/>
                <w:szCs w:val="18"/>
                <w:color w:val="auto"/>
              </w:rPr>
            </w:pPr>
          </w:p>
        </w:tc>
        <w:tc>
          <w:tcPr>
            <w:tcW w:w="3740" w:type="dxa"/>
            <w:vAlign w:val="bottom"/>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rPr>
              <w:t>Derivatives not designated as hedging instruments</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440" w:type="dxa"/>
            <w:vAlign w:val="bottom"/>
          </w:tcPr>
          <w:p>
            <w:pPr>
              <w:spacing w:after="0"/>
              <w:rPr>
                <w:sz w:val="14"/>
                <w:szCs w:val="14"/>
                <w:color w:val="auto"/>
              </w:rPr>
            </w:pPr>
          </w:p>
        </w:tc>
        <w:tc>
          <w:tcPr>
            <w:tcW w:w="4940" w:type="dxa"/>
            <w:vAlign w:val="bottom"/>
            <w:gridSpan w:val="7"/>
            <w:shd w:val="clear" w:color="auto" w:fill="CCEEFF"/>
          </w:tcPr>
          <w:p>
            <w:pPr>
              <w:ind w:left="20"/>
              <w:spacing w:after="0" w:line="172" w:lineRule="exact"/>
              <w:rPr>
                <w:sz w:val="20"/>
                <w:szCs w:val="20"/>
                <w:color w:val="auto"/>
              </w:rPr>
            </w:pPr>
            <w:r>
              <w:rPr>
                <w:rFonts w:ascii="Times New Roman" w:cs="Times New Roman" w:eastAsia="Times New Roman" w:hAnsi="Times New Roman"/>
                <w:sz w:val="17"/>
                <w:szCs w:val="17"/>
                <w:color w:val="auto"/>
              </w:rPr>
              <w:t>Location in unaudited consolidated statements of income where</w:t>
            </w: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tcBorders>
              <w:right w:val="single" w:sz="8" w:color="CCEEFF"/>
            </w:tcBorders>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440" w:type="dxa"/>
            <w:vAlign w:val="bottom"/>
          </w:tcPr>
          <w:p>
            <w:pPr>
              <w:spacing w:after="0"/>
              <w:rPr>
                <w:sz w:val="20"/>
                <w:szCs w:val="20"/>
                <w:color w:val="auto"/>
              </w:rPr>
            </w:pPr>
          </w:p>
        </w:tc>
        <w:tc>
          <w:tcPr>
            <w:tcW w:w="2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gain/(loss) was recognized</w:t>
            </w:r>
          </w:p>
        </w:tc>
        <w:tc>
          <w:tcPr>
            <w:tcW w:w="6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tcBorders>
              <w:right w:val="single" w:sz="8" w:color="CCEEFF"/>
            </w:tcBorders>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52"/>
        </w:trPr>
        <w:tc>
          <w:tcPr>
            <w:tcW w:w="440" w:type="dxa"/>
            <w:vAlign w:val="bottom"/>
          </w:tcPr>
          <w:p>
            <w:pPr>
              <w:spacing w:after="0"/>
              <w:rPr>
                <w:sz w:val="4"/>
                <w:szCs w:val="4"/>
                <w:color w:val="auto"/>
              </w:rPr>
            </w:pPr>
          </w:p>
        </w:tc>
        <w:tc>
          <w:tcPr>
            <w:tcW w:w="2900" w:type="dxa"/>
            <w:vAlign w:val="bottom"/>
            <w:gridSpan w:val="2"/>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440" w:type="dxa"/>
            <w:vAlign w:val="bottom"/>
          </w:tcPr>
          <w:p>
            <w:pPr>
              <w:spacing w:after="0"/>
              <w:rPr>
                <w:sz w:val="19"/>
                <w:szCs w:val="19"/>
                <w:color w:val="auto"/>
              </w:rPr>
            </w:pPr>
          </w:p>
        </w:tc>
        <w:tc>
          <w:tcPr>
            <w:tcW w:w="2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Foreign exchange gain/(loss), net</w:t>
            </w: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shd w:val="clear" w:color="auto" w:fill="CCEEFF"/>
          </w:tcPr>
          <w:p>
            <w:pPr>
              <w:spacing w:after="0"/>
              <w:rPr>
                <w:sz w:val="19"/>
                <w:szCs w:val="19"/>
                <w:color w:val="auto"/>
              </w:rPr>
            </w:pPr>
          </w:p>
        </w:tc>
        <w:tc>
          <w:tcPr>
            <w:tcW w:w="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673</w:t>
            </w:r>
          </w:p>
        </w:tc>
        <w:tc>
          <w:tcPr>
            <w:tcW w:w="660" w:type="dxa"/>
            <w:vAlign w:val="bottom"/>
            <w:gridSpan w:val="3"/>
            <w:shd w:val="clear" w:color="auto" w:fill="CCEEFF"/>
          </w:tcPr>
          <w:p>
            <w:pPr>
              <w:jc w:val="right"/>
              <w:ind w:right="337"/>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(2,332)</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838</w:t>
            </w:r>
          </w:p>
        </w:tc>
        <w:tc>
          <w:tcPr>
            <w:tcW w:w="580" w:type="dxa"/>
            <w:vAlign w:val="bottom"/>
            <w:tcBorders>
              <w:right w:val="single" w:sz="8" w:color="CCEEFF"/>
            </w:tcBorders>
            <w:gridSpan w:val="3"/>
            <w:shd w:val="clear" w:color="auto" w:fill="CCEEFF"/>
          </w:tcPr>
          <w:p>
            <w:pPr>
              <w:jc w:val="right"/>
              <w:ind w:right="256"/>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color w:val="auto"/>
              </w:rPr>
              <w:t>673</w:t>
            </w:r>
          </w:p>
        </w:tc>
        <w:tc>
          <w:tcPr>
            <w:tcW w:w="60" w:type="dxa"/>
            <w:vAlign w:val="bottom"/>
            <w:tcBorders>
              <w:top w:val="single" w:sz="8" w:color="auto"/>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Borders>
              <w:top w:val="single" w:sz="8" w:color="auto"/>
              <w:bottom w:val="single" w:sz="8" w:color="auto"/>
            </w:tcBorders>
          </w:tcPr>
          <w:p>
            <w:pPr>
              <w:jc w:val="right"/>
              <w:ind w:right="337"/>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(2,332)</w:t>
            </w:r>
          </w:p>
        </w:tc>
        <w:tc>
          <w:tcPr>
            <w:tcW w:w="80" w:type="dxa"/>
            <w:vAlign w:val="bottom"/>
          </w:tcPr>
          <w:p>
            <w:pPr>
              <w:spacing w:after="0"/>
              <w:rPr>
                <w:sz w:val="18"/>
                <w:szCs w:val="18"/>
                <w:color w:val="auto"/>
              </w:rPr>
            </w:pPr>
          </w:p>
        </w:tc>
        <w:tc>
          <w:tcPr>
            <w:tcW w:w="4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838</w:t>
            </w:r>
          </w:p>
        </w:tc>
        <w:tc>
          <w:tcPr>
            <w:tcW w:w="4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Borders>
              <w:top w:val="single" w:sz="8" w:color="auto"/>
              <w:bottom w:val="single" w:sz="8" w:color="auto"/>
            </w:tcBorders>
          </w:tcPr>
          <w:p>
            <w:pPr>
              <w:jc w:val="right"/>
              <w:ind w:right="256"/>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7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color w:val="auto"/>
              </w:rPr>
              <w:t>18. Borrowings</w:t>
            </w:r>
          </w:p>
        </w:tc>
        <w:tc>
          <w:tcPr>
            <w:tcW w:w="6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8"/>
        </w:trPr>
        <w:tc>
          <w:tcPr>
            <w:tcW w:w="2740" w:type="dxa"/>
            <w:vAlign w:val="bottom"/>
            <w:gridSpan w:val="2"/>
            <w:vMerge w:val="continue"/>
          </w:tcPr>
          <w:p>
            <w:pPr>
              <w:spacing w:after="0"/>
              <w:rPr>
                <w:sz w:val="24"/>
                <w:szCs w:val="24"/>
                <w:color w:val="auto"/>
              </w:rPr>
            </w:pPr>
          </w:p>
        </w:tc>
        <w:tc>
          <w:tcPr>
            <w:tcW w:w="6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5"/>
        </w:trPr>
        <w:tc>
          <w:tcPr>
            <w:tcW w:w="5380" w:type="dxa"/>
            <w:vAlign w:val="bottom"/>
            <w:gridSpan w:val="8"/>
          </w:tcPr>
          <w:p>
            <w:pPr>
              <w:ind w:left="400"/>
              <w:spacing w:after="0"/>
              <w:rPr>
                <w:sz w:val="20"/>
                <w:szCs w:val="20"/>
                <w:color w:val="auto"/>
              </w:rPr>
            </w:pPr>
            <w:r>
              <w:rPr>
                <w:rFonts w:ascii="Times New Roman" w:cs="Times New Roman" w:eastAsia="Times New Roman" w:hAnsi="Times New Roman"/>
                <w:sz w:val="17"/>
                <w:szCs w:val="17"/>
                <w:color w:val="auto"/>
              </w:rPr>
              <w:t>The following tables summarizes the Company’s debt position:</w:t>
            </w: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4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gridSpan w:val="3"/>
          </w:tcPr>
          <w:p>
            <w:pPr>
              <w:jc w:val="right"/>
              <w:ind w:right="277"/>
              <w:spacing w:after="0"/>
              <w:rPr>
                <w:sz w:val="20"/>
                <w:szCs w:val="20"/>
                <w:color w:val="auto"/>
              </w:rPr>
            </w:pPr>
            <w:r>
              <w:rPr>
                <w:rFonts w:ascii="Times New Roman" w:cs="Times New Roman" w:eastAsia="Times New Roman" w:hAnsi="Times New Roman"/>
                <w:sz w:val="16"/>
                <w:szCs w:val="16"/>
                <w:b w:val="1"/>
                <w:bCs w:val="1"/>
                <w:color w:val="auto"/>
                <w:w w:val="96"/>
              </w:rPr>
              <w:t>As of</w:t>
            </w:r>
          </w:p>
        </w:tc>
        <w:tc>
          <w:tcPr>
            <w:tcW w:w="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4"/>
        </w:trPr>
        <w:tc>
          <w:tcPr>
            <w:tcW w:w="440" w:type="dxa"/>
            <w:vAlign w:val="bottom"/>
            <w:tcBorders>
              <w:bottom w:val="single" w:sz="8" w:color="CCEEFF"/>
            </w:tcBorders>
          </w:tcPr>
          <w:p>
            <w:pPr>
              <w:spacing w:after="0"/>
              <w:rPr>
                <w:sz w:val="17"/>
                <w:szCs w:val="17"/>
                <w:color w:val="auto"/>
              </w:rPr>
            </w:pPr>
          </w:p>
        </w:tc>
        <w:tc>
          <w:tcPr>
            <w:tcW w:w="2300" w:type="dxa"/>
            <w:vAlign w:val="bottom"/>
            <w:tcBorders>
              <w:bottom w:val="single" w:sz="8" w:color="CCEEFF"/>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2040" w:type="dxa"/>
            <w:vAlign w:val="bottom"/>
            <w:tcBorders>
              <w:bottom w:val="single" w:sz="8" w:color="auto"/>
            </w:tcBorders>
            <w:gridSpan w:val="5"/>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2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December 31, 2023</w:t>
            </w:r>
          </w:p>
        </w:tc>
        <w:tc>
          <w:tcPr>
            <w:tcW w:w="16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1"/>
        </w:trPr>
        <w:tc>
          <w:tcPr>
            <w:tcW w:w="440" w:type="dxa"/>
            <w:vAlign w:val="bottom"/>
            <w:shd w:val="clear" w:color="auto" w:fill="CCEEFF"/>
          </w:tcPr>
          <w:p>
            <w:pPr>
              <w:spacing w:after="0"/>
              <w:rPr>
                <w:sz w:val="13"/>
                <w:szCs w:val="13"/>
                <w:color w:val="auto"/>
              </w:rPr>
            </w:pPr>
          </w:p>
        </w:tc>
        <w:tc>
          <w:tcPr>
            <w:tcW w:w="2300" w:type="dxa"/>
            <w:vAlign w:val="bottom"/>
            <w:shd w:val="clear" w:color="auto" w:fill="CCEEFF"/>
          </w:tcPr>
          <w:p>
            <w:pPr>
              <w:spacing w:after="0"/>
              <w:rPr>
                <w:sz w:val="13"/>
                <w:szCs w:val="13"/>
                <w:color w:val="auto"/>
              </w:rPr>
            </w:pPr>
          </w:p>
        </w:tc>
        <w:tc>
          <w:tcPr>
            <w:tcW w:w="1440" w:type="dxa"/>
            <w:vAlign w:val="bottom"/>
            <w:gridSpan w:val="3"/>
            <w:shd w:val="clear" w:color="auto" w:fill="CCEEFF"/>
          </w:tcPr>
          <w:p>
            <w:pPr>
              <w:jc w:val="center"/>
              <w:ind w:right="100"/>
              <w:spacing w:after="0" w:line="152" w:lineRule="exact"/>
              <w:rPr>
                <w:sz w:val="20"/>
                <w:szCs w:val="20"/>
                <w:color w:val="auto"/>
              </w:rPr>
            </w:pPr>
            <w:r>
              <w:rPr>
                <w:rFonts w:ascii="Times New Roman" w:cs="Times New Roman" w:eastAsia="Times New Roman" w:hAnsi="Times New Roman"/>
                <w:sz w:val="16"/>
                <w:szCs w:val="16"/>
                <w:b w:val="1"/>
                <w:bCs w:val="1"/>
                <w:color w:val="auto"/>
                <w:w w:val="97"/>
              </w:rPr>
              <w:t>Revolving credit</w:t>
            </w:r>
          </w:p>
        </w:tc>
        <w:tc>
          <w:tcPr>
            <w:tcW w:w="16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center"/>
              <w:ind w:right="240"/>
              <w:spacing w:after="0" w:line="152" w:lineRule="exact"/>
              <w:rPr>
                <w:sz w:val="20"/>
                <w:szCs w:val="20"/>
                <w:color w:val="auto"/>
              </w:rPr>
            </w:pPr>
            <w:r>
              <w:rPr>
                <w:rFonts w:ascii="Times New Roman" w:cs="Times New Roman" w:eastAsia="Times New Roman" w:hAnsi="Times New Roman"/>
                <w:sz w:val="16"/>
                <w:szCs w:val="16"/>
                <w:b w:val="1"/>
                <w:bCs w:val="1"/>
                <w:color w:val="auto"/>
                <w:w w:val="94"/>
              </w:rPr>
              <w:t>Term loan</w:t>
            </w: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60" w:type="dxa"/>
            <w:vAlign w:val="bottom"/>
            <w:gridSpan w:val="4"/>
            <w:shd w:val="clear" w:color="auto" w:fill="CCEEFF"/>
          </w:tcPr>
          <w:p>
            <w:pPr>
              <w:jc w:val="right"/>
              <w:spacing w:after="0" w:line="152" w:lineRule="exact"/>
              <w:rPr>
                <w:sz w:val="20"/>
                <w:szCs w:val="20"/>
                <w:color w:val="auto"/>
              </w:rPr>
            </w:pPr>
            <w:r>
              <w:rPr>
                <w:rFonts w:ascii="Times New Roman" w:cs="Times New Roman" w:eastAsia="Times New Roman" w:hAnsi="Times New Roman"/>
                <w:sz w:val="16"/>
                <w:szCs w:val="16"/>
                <w:b w:val="1"/>
                <w:bCs w:val="1"/>
                <w:color w:val="auto"/>
              </w:rPr>
              <w:t>Revolving credit</w:t>
            </w: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20" w:type="dxa"/>
            <w:vAlign w:val="bottom"/>
            <w:tcBorders>
              <w:right w:val="single" w:sz="8" w:color="CCEEFF"/>
            </w:tcBorders>
            <w:gridSpan w:val="4"/>
            <w:vMerge w:val="restart"/>
            <w:shd w:val="clear" w:color="auto" w:fill="CCEEFF"/>
          </w:tcPr>
          <w:p>
            <w:pPr>
              <w:jc w:val="right"/>
              <w:ind w:right="356"/>
              <w:spacing w:after="0"/>
              <w:rPr>
                <w:sz w:val="20"/>
                <w:szCs w:val="20"/>
                <w:color w:val="auto"/>
              </w:rPr>
            </w:pPr>
            <w:r>
              <w:rPr>
                <w:rFonts w:ascii="Times New Roman" w:cs="Times New Roman" w:eastAsia="Times New Roman" w:hAnsi="Times New Roman"/>
                <w:sz w:val="17"/>
                <w:szCs w:val="17"/>
                <w:b w:val="1"/>
                <w:bCs w:val="1"/>
                <w:color w:val="auto"/>
              </w:rPr>
              <w:t>Total</w:t>
            </w: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440" w:type="dxa"/>
            <w:vAlign w:val="bottom"/>
            <w:shd w:val="clear" w:color="auto" w:fill="CCEEFF"/>
          </w:tcPr>
          <w:p>
            <w:pPr>
              <w:spacing w:after="0"/>
              <w:rPr>
                <w:sz w:val="11"/>
                <w:szCs w:val="11"/>
                <w:color w:val="auto"/>
              </w:rPr>
            </w:pPr>
          </w:p>
        </w:tc>
        <w:tc>
          <w:tcPr>
            <w:tcW w:w="2300" w:type="dxa"/>
            <w:vAlign w:val="bottom"/>
            <w:shd w:val="clear" w:color="auto" w:fill="CCEEFF"/>
          </w:tcPr>
          <w:p>
            <w:pPr>
              <w:spacing w:after="0"/>
              <w:rPr>
                <w:sz w:val="11"/>
                <w:szCs w:val="11"/>
                <w:color w:val="auto"/>
              </w:rPr>
            </w:pPr>
          </w:p>
        </w:tc>
        <w:tc>
          <w:tcPr>
            <w:tcW w:w="1440" w:type="dxa"/>
            <w:vAlign w:val="bottom"/>
            <w:gridSpan w:val="3"/>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7"/>
              </w:rPr>
              <w:t>facility</w:t>
            </w:r>
          </w:p>
        </w:tc>
        <w:tc>
          <w:tcPr>
            <w:tcW w:w="160" w:type="dxa"/>
            <w:vAlign w:val="bottom"/>
            <w:shd w:val="clear" w:color="auto" w:fill="CCEEFF"/>
          </w:tcPr>
          <w:p>
            <w:pPr>
              <w:spacing w:after="0"/>
              <w:rPr>
                <w:sz w:val="11"/>
                <w:szCs w:val="11"/>
                <w:color w:val="auto"/>
              </w:rPr>
            </w:pPr>
          </w:p>
        </w:tc>
        <w:tc>
          <w:tcPr>
            <w:tcW w:w="1040" w:type="dxa"/>
            <w:vAlign w:val="bottom"/>
            <w:gridSpan w:val="2"/>
            <w:vMerge w:val="restart"/>
            <w:shd w:val="clear" w:color="auto" w:fill="CCEEFF"/>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facility</w:t>
            </w: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gridSpan w:val="2"/>
            <w:vMerge w:val="continue"/>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60" w:type="dxa"/>
            <w:vAlign w:val="bottom"/>
            <w:gridSpan w:val="4"/>
            <w:vMerge w:val="restart"/>
            <w:shd w:val="clear" w:color="auto" w:fill="CCEEFF"/>
          </w:tcPr>
          <w:p>
            <w:pPr>
              <w:jc w:val="right"/>
              <w:ind w:right="317"/>
              <w:spacing w:after="0"/>
              <w:rPr>
                <w:sz w:val="20"/>
                <w:szCs w:val="20"/>
                <w:color w:val="auto"/>
              </w:rPr>
            </w:pPr>
            <w:r>
              <w:rPr>
                <w:rFonts w:ascii="Times New Roman" w:cs="Times New Roman" w:eastAsia="Times New Roman" w:hAnsi="Times New Roman"/>
                <w:sz w:val="16"/>
                <w:szCs w:val="16"/>
                <w:b w:val="1"/>
                <w:bCs w:val="1"/>
                <w:color w:val="auto"/>
              </w:rPr>
              <w:t>facility</w:t>
            </w:r>
          </w:p>
        </w:tc>
        <w:tc>
          <w:tcPr>
            <w:tcW w:w="100" w:type="dxa"/>
            <w:vAlign w:val="bottom"/>
            <w:shd w:val="clear" w:color="auto" w:fill="CCEEFF"/>
          </w:tcPr>
          <w:p>
            <w:pPr>
              <w:spacing w:after="0"/>
              <w:rPr>
                <w:sz w:val="11"/>
                <w:szCs w:val="11"/>
                <w:color w:val="auto"/>
              </w:rPr>
            </w:pPr>
          </w:p>
        </w:tc>
        <w:tc>
          <w:tcPr>
            <w:tcW w:w="1340" w:type="dxa"/>
            <w:vAlign w:val="bottom"/>
            <w:gridSpan w:val="4"/>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6"/>
              </w:rPr>
              <w:t>Term loan facility</w:t>
            </w:r>
          </w:p>
        </w:tc>
        <w:tc>
          <w:tcPr>
            <w:tcW w:w="160" w:type="dxa"/>
            <w:vAlign w:val="bottom"/>
            <w:shd w:val="clear" w:color="auto" w:fill="CCEEFF"/>
          </w:tcPr>
          <w:p>
            <w:pPr>
              <w:spacing w:after="0"/>
              <w:rPr>
                <w:sz w:val="11"/>
                <w:szCs w:val="11"/>
                <w:color w:val="auto"/>
              </w:rPr>
            </w:pPr>
          </w:p>
        </w:tc>
        <w:tc>
          <w:tcPr>
            <w:tcW w:w="1120" w:type="dxa"/>
            <w:vAlign w:val="bottom"/>
            <w:tcBorders>
              <w:right w:val="single" w:sz="8" w:color="CCEEFF"/>
            </w:tcBorders>
            <w:gridSpan w:val="4"/>
            <w:vMerge w:val="continue"/>
            <w:shd w:val="clear" w:color="auto" w:fill="CCEEFF"/>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9"/>
        </w:trPr>
        <w:tc>
          <w:tcPr>
            <w:tcW w:w="440" w:type="dxa"/>
            <w:vAlign w:val="bottom"/>
            <w:shd w:val="clear" w:color="auto" w:fill="CCEEFF"/>
          </w:tcPr>
          <w:p>
            <w:pPr>
              <w:spacing w:after="0"/>
              <w:rPr>
                <w:sz w:val="6"/>
                <w:szCs w:val="6"/>
                <w:color w:val="auto"/>
              </w:rPr>
            </w:pPr>
          </w:p>
        </w:tc>
        <w:tc>
          <w:tcPr>
            <w:tcW w:w="2300" w:type="dxa"/>
            <w:vAlign w:val="bottom"/>
            <w:shd w:val="clear" w:color="auto" w:fill="CCEEFF"/>
          </w:tcPr>
          <w:p>
            <w:pPr>
              <w:spacing w:after="0"/>
              <w:rPr>
                <w:sz w:val="6"/>
                <w:szCs w:val="6"/>
                <w:color w:val="auto"/>
              </w:rPr>
            </w:pPr>
          </w:p>
        </w:tc>
        <w:tc>
          <w:tcPr>
            <w:tcW w:w="1440" w:type="dxa"/>
            <w:vAlign w:val="bottom"/>
            <w:gridSpan w:val="3"/>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040" w:type="dxa"/>
            <w:vAlign w:val="bottom"/>
            <w:gridSpan w:val="2"/>
            <w:vMerge w:val="continue"/>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60" w:type="dxa"/>
            <w:vAlign w:val="bottom"/>
            <w:gridSpan w:val="4"/>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340" w:type="dxa"/>
            <w:vAlign w:val="bottom"/>
            <w:gridSpan w:val="4"/>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54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40" w:type="dxa"/>
            <w:vAlign w:val="bottom"/>
            <w:tcBorders>
              <w:right w:val="single" w:sz="8" w:color="CCEEFF"/>
            </w:tcBorders>
            <w:shd w:val="clear" w:color="auto" w:fill="CCEEFF"/>
          </w:tcPr>
          <w:p>
            <w:pPr>
              <w:spacing w:after="0"/>
              <w:rPr>
                <w:sz w:val="6"/>
                <w:szCs w:val="6"/>
                <w:color w:val="auto"/>
              </w:rPr>
            </w:pPr>
          </w:p>
        </w:tc>
        <w:tc>
          <w:tcPr>
            <w:tcW w:w="7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7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Current portion of long-term borrowings</w:t>
            </w:r>
          </w:p>
        </w:tc>
        <w:tc>
          <w:tcPr>
            <w:tcW w:w="600" w:type="dxa"/>
            <w:vAlign w:val="bottom"/>
            <w:tcBorders>
              <w:top w:val="single" w:sz="8" w:color="auto"/>
            </w:tcBorders>
          </w:tcPr>
          <w:p>
            <w:pPr>
              <w:jc w:val="right"/>
              <w:ind w:right="417"/>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5,000</w:t>
            </w:r>
          </w:p>
        </w:tc>
        <w:tc>
          <w:tcPr>
            <w:tcW w:w="100" w:type="dxa"/>
            <w:vAlign w:val="bottom"/>
          </w:tcPr>
          <w:p>
            <w:pPr>
              <w:spacing w:after="0"/>
              <w:rPr>
                <w:sz w:val="18"/>
                <w:szCs w:val="18"/>
                <w:color w:val="auto"/>
              </w:rPr>
            </w:pPr>
          </w:p>
        </w:tc>
        <w:tc>
          <w:tcPr>
            <w:tcW w:w="260" w:type="dxa"/>
            <w:vAlign w:val="bottom"/>
            <w:tcBorders>
              <w:top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5,000</w:t>
            </w:r>
          </w:p>
        </w:tc>
        <w:tc>
          <w:tcPr>
            <w:tcW w:w="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Borders>
              <w:top w:val="single" w:sz="8" w:color="auto"/>
            </w:tcBorders>
          </w:tcPr>
          <w:p>
            <w:pPr>
              <w:jc w:val="right"/>
              <w:ind w:right="417"/>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color w:val="auto"/>
              </w:rPr>
              <w:t>65,000</w:t>
            </w:r>
          </w:p>
        </w:tc>
        <w:tc>
          <w:tcPr>
            <w:tcW w:w="100" w:type="dxa"/>
            <w:vAlign w:val="bottom"/>
          </w:tcPr>
          <w:p>
            <w:pPr>
              <w:spacing w:after="0"/>
              <w:rPr>
                <w:sz w:val="18"/>
                <w:szCs w:val="18"/>
                <w:color w:val="auto"/>
              </w:rPr>
            </w:pPr>
          </w:p>
        </w:tc>
        <w:tc>
          <w:tcPr>
            <w:tcW w:w="700" w:type="dxa"/>
            <w:vAlign w:val="bottom"/>
            <w:tcBorders>
              <w:top w:val="single" w:sz="8" w:color="auto"/>
            </w:tcBorders>
          </w:tcPr>
          <w:p>
            <w:pPr>
              <w:jc w:val="right"/>
              <w:ind w:right="516"/>
              <w:spacing w:after="0"/>
              <w:rPr>
                <w:sz w:val="20"/>
                <w:szCs w:val="20"/>
                <w:color w:val="auto"/>
              </w:rPr>
            </w:pPr>
            <w:r>
              <w:rPr>
                <w:rFonts w:ascii="Times New Roman" w:cs="Times New Roman" w:eastAsia="Times New Roman" w:hAnsi="Times New Roman"/>
                <w:sz w:val="17"/>
                <w:szCs w:val="17"/>
                <w:color w:val="auto"/>
                <w:w w:val="93"/>
              </w:rPr>
              <w:t>$</w:t>
            </w:r>
          </w:p>
        </w:tc>
        <w:tc>
          <w:tcPr>
            <w:tcW w:w="8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ind w:left="2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color w:val="auto"/>
              </w:rPr>
              <w:t>65,000</w:t>
            </w: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Unamortized debt issuance costs</w:t>
            </w:r>
          </w:p>
        </w:tc>
        <w:tc>
          <w:tcPr>
            <w:tcW w:w="6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7"/>
        </w:trPr>
        <w:tc>
          <w:tcPr>
            <w:tcW w:w="2740" w:type="dxa"/>
            <w:vAlign w:val="bottom"/>
            <w:gridSpan w:val="2"/>
          </w:tcPr>
          <w:p>
            <w:pPr>
              <w:ind w:left="20"/>
              <w:spacing w:after="0" w:line="138" w:lineRule="exact"/>
              <w:rPr>
                <w:sz w:val="20"/>
                <w:szCs w:val="20"/>
                <w:color w:val="auto"/>
              </w:rPr>
            </w:pPr>
            <w:r>
              <w:rPr>
                <w:rFonts w:ascii="Times New Roman" w:cs="Times New Roman" w:eastAsia="Times New Roman" w:hAnsi="Times New Roman"/>
                <w:sz w:val="15"/>
                <w:szCs w:val="15"/>
                <w:b w:val="1"/>
                <w:bCs w:val="1"/>
                <w:color w:val="auto"/>
              </w:rPr>
              <w:t>Total current portion of long-term</w:t>
            </w:r>
          </w:p>
        </w:tc>
        <w:tc>
          <w:tcPr>
            <w:tcW w:w="600" w:type="dxa"/>
            <w:vAlign w:val="bottom"/>
          </w:tcPr>
          <w:p>
            <w:pPr>
              <w:spacing w:after="0"/>
              <w:rPr>
                <w:sz w:val="11"/>
                <w:szCs w:val="11"/>
                <w:color w:val="auto"/>
              </w:rPr>
            </w:pP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4,891</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4,891</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7"/>
                <w:szCs w:val="17"/>
                <w:color w:val="auto"/>
              </w:rPr>
              <w:t>65,000</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vMerge w:val="restart"/>
          </w:tcPr>
          <w:p>
            <w:pPr>
              <w:ind w:left="24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7"/>
                <w:szCs w:val="17"/>
                <w:color w:val="auto"/>
              </w:rPr>
              <w:t>65,000</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2"/>
        </w:trPr>
        <w:tc>
          <w:tcPr>
            <w:tcW w:w="27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borrowings</w:t>
            </w:r>
          </w:p>
        </w:tc>
        <w:tc>
          <w:tcPr>
            <w:tcW w:w="600" w:type="dxa"/>
            <w:vAlign w:val="bottom"/>
            <w:tcBorders>
              <w:bottom w:val="single" w:sz="8" w:color="CCEEFF"/>
            </w:tcBorders>
          </w:tcPr>
          <w:p>
            <w:pPr>
              <w:spacing w:after="0"/>
              <w:rPr>
                <w:sz w:val="21"/>
                <w:szCs w:val="21"/>
                <w:color w:val="auto"/>
              </w:rPr>
            </w:pPr>
          </w:p>
        </w:tc>
        <w:tc>
          <w:tcPr>
            <w:tcW w:w="840" w:type="dxa"/>
            <w:vAlign w:val="bottom"/>
            <w:tcBorders>
              <w:bottom w:val="single" w:sz="8" w:color="CCEEFF"/>
            </w:tcBorders>
            <w:gridSpan w:val="2"/>
            <w:vMerge w:val="continue"/>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940" w:type="dxa"/>
            <w:vAlign w:val="bottom"/>
            <w:tcBorders>
              <w:bottom w:val="single" w:sz="8" w:color="CCEEFF"/>
            </w:tcBorders>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620" w:type="dxa"/>
            <w:vAlign w:val="bottom"/>
            <w:tcBorders>
              <w:bottom w:val="single" w:sz="8" w:color="CCEEFF"/>
            </w:tcBorders>
            <w:vMerge w:val="continue"/>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600" w:type="dxa"/>
            <w:vAlign w:val="bottom"/>
            <w:tcBorders>
              <w:bottom w:val="single" w:sz="8" w:color="CCEEFF"/>
            </w:tcBorders>
          </w:tcPr>
          <w:p>
            <w:pPr>
              <w:spacing w:after="0"/>
              <w:rPr>
                <w:sz w:val="21"/>
                <w:szCs w:val="21"/>
                <w:color w:val="auto"/>
              </w:rPr>
            </w:pPr>
          </w:p>
        </w:tc>
        <w:tc>
          <w:tcPr>
            <w:tcW w:w="660" w:type="dxa"/>
            <w:vAlign w:val="bottom"/>
            <w:tcBorders>
              <w:bottom w:val="single" w:sz="8" w:color="CCEEFF"/>
            </w:tcBorders>
            <w:gridSpan w:val="3"/>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70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560" w:type="dxa"/>
            <w:vAlign w:val="bottom"/>
            <w:tcBorders>
              <w:bottom w:val="single" w:sz="8" w:color="CCEEFF"/>
            </w:tcBorders>
            <w:gridSpan w:val="2"/>
            <w:vMerge w:val="continue"/>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540" w:type="dxa"/>
            <w:vAlign w:val="bottom"/>
            <w:tcBorders>
              <w:bottom w:val="single" w:sz="8" w:color="CCEEFF"/>
            </w:tcBorders>
          </w:tcPr>
          <w:p>
            <w:pPr>
              <w:spacing w:after="0"/>
              <w:rPr>
                <w:sz w:val="21"/>
                <w:szCs w:val="21"/>
                <w:color w:val="auto"/>
              </w:rPr>
            </w:pPr>
          </w:p>
        </w:tc>
        <w:tc>
          <w:tcPr>
            <w:tcW w:w="580" w:type="dxa"/>
            <w:vAlign w:val="bottom"/>
            <w:tcBorders>
              <w:bottom w:val="single" w:sz="8" w:color="CCEEFF"/>
            </w:tcBorders>
            <w:gridSpan w:val="3"/>
            <w:vMerge w:val="continue"/>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27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Long-term borrowings</w:t>
            </w:r>
          </w:p>
        </w:tc>
        <w:tc>
          <w:tcPr>
            <w:tcW w:w="6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245,000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95,000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340,000</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135,000</w:t>
            </w: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p>
        </w:tc>
        <w:tc>
          <w:tcPr>
            <w:tcW w:w="112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auto"/>
              </w:rPr>
              <w:t>135,000</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Unamortized debt issuance costs</w:t>
            </w:r>
          </w:p>
        </w:tc>
        <w:tc>
          <w:tcPr>
            <w:tcW w:w="6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(172)</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(172)</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7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Total long-term borrowings</w:t>
            </w:r>
          </w:p>
        </w:tc>
        <w:tc>
          <w:tcPr>
            <w:tcW w:w="6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245,000</w:t>
            </w:r>
          </w:p>
        </w:tc>
        <w:tc>
          <w:tcPr>
            <w:tcW w:w="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94,828</w:t>
            </w:r>
          </w:p>
        </w:tc>
        <w:tc>
          <w:tcPr>
            <w:tcW w:w="1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339,828</w:t>
            </w:r>
          </w:p>
        </w:tc>
        <w:tc>
          <w:tcPr>
            <w:tcW w:w="20" w:type="dxa"/>
            <w:vAlign w:val="bottom"/>
            <w:tcBorders>
              <w:top w:val="single" w:sz="8" w:color="auto"/>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0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color w:val="auto"/>
              </w:rPr>
              <w:t>135,000</w:t>
            </w:r>
          </w:p>
        </w:tc>
        <w:tc>
          <w:tcPr>
            <w:tcW w:w="100" w:type="dxa"/>
            <w:vAlign w:val="bottom"/>
            <w:tcBorders>
              <w:bottom w:val="single" w:sz="8" w:color="CCEEFF"/>
            </w:tcBorders>
          </w:tcPr>
          <w:p>
            <w:pPr>
              <w:spacing w:after="0"/>
              <w:rPr>
                <w:sz w:val="18"/>
                <w:szCs w:val="18"/>
                <w:color w:val="auto"/>
              </w:rPr>
            </w:pPr>
          </w:p>
        </w:tc>
        <w:tc>
          <w:tcPr>
            <w:tcW w:w="70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ind w:left="2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7"/>
                <w:szCs w:val="17"/>
                <w:color w:val="auto"/>
              </w:rPr>
              <w:t>135,000</w:t>
            </w: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borrowings</w:t>
            </w:r>
          </w:p>
        </w:tc>
        <w:tc>
          <w:tcPr>
            <w:tcW w:w="600" w:type="dxa"/>
            <w:vAlign w:val="bottom"/>
            <w:tcBorders>
              <w:bottom w:val="single" w:sz="8" w:color="auto"/>
            </w:tcBorders>
            <w:shd w:val="clear" w:color="auto" w:fill="CCEEFF"/>
          </w:tcPr>
          <w:p>
            <w:pPr>
              <w:jc w:val="right"/>
              <w:ind w:right="417"/>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245,000</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99,719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8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344,719</w:t>
            </w: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ind w:right="417"/>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200,000</w:t>
            </w:r>
          </w:p>
        </w:tc>
        <w:tc>
          <w:tcPr>
            <w:tcW w:w="1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ind w:right="516"/>
              <w:spacing w:after="0"/>
              <w:rPr>
                <w:sz w:val="20"/>
                <w:szCs w:val="20"/>
                <w:color w:val="auto"/>
              </w:rPr>
            </w:pPr>
            <w:r>
              <w:rPr>
                <w:rFonts w:ascii="Times New Roman" w:cs="Times New Roman" w:eastAsia="Times New Roman" w:hAnsi="Times New Roman"/>
                <w:sz w:val="17"/>
                <w:szCs w:val="17"/>
                <w:color w:val="auto"/>
                <w:w w:val="93"/>
              </w:rPr>
              <w:t>$</w:t>
            </w:r>
          </w:p>
        </w:tc>
        <w:tc>
          <w:tcPr>
            <w:tcW w:w="80" w:type="dxa"/>
            <w:vAlign w:val="bottom"/>
            <w:tcBorders>
              <w:bottom w:val="single" w:sz="8" w:color="auto"/>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bottom w:val="single" w:sz="8" w:color="auto"/>
              <w:right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200,000</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40" w:type="dxa"/>
            <w:vAlign w:val="bottom"/>
            <w:tcBorders>
              <w:top w:val="single" w:sz="8" w:color="CCEEFF"/>
            </w:tcBorders>
          </w:tcPr>
          <w:p>
            <w:pPr>
              <w:spacing w:after="0" w:line="20" w:lineRule="exact"/>
              <w:rPr>
                <w:sz w:val="1"/>
                <w:szCs w:val="1"/>
                <w:color w:val="auto"/>
              </w:rPr>
            </w:pPr>
          </w:p>
        </w:tc>
        <w:tc>
          <w:tcPr>
            <w:tcW w:w="23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right="100" w:firstLine="433"/>
        <w:spacing w:after="0" w:line="281" w:lineRule="auto"/>
        <w:rPr>
          <w:sz w:val="20"/>
          <w:szCs w:val="20"/>
          <w:color w:val="auto"/>
        </w:rPr>
      </w:pPr>
      <w:r>
        <w:rPr>
          <w:rFonts w:ascii="Times New Roman" w:cs="Times New Roman" w:eastAsia="Times New Roman" w:hAnsi="Times New Roman"/>
          <w:sz w:val="17"/>
          <w:szCs w:val="17"/>
          <w:color w:val="auto"/>
        </w:rPr>
        <w:t>Unamortized debt issuance costs for the Company’s revolving credit facility of $978 and $903 as of September 30, 2024 and December 31, 2023, respectively, are presented under “Other current assets” and “Other assets,” as applicable in the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340"/>
          </w:cols>
          <w:pgMar w:left="320" w:top="119" w:right="2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EXLSERVICE HOLDINGS, INC.</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UNAUDITED CONSOLIDATED FINANCIAL STATEMENTS—(continued)</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September 30, 2024</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per share amount and share count)</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Credit Agreement</w:t>
      </w:r>
    </w:p>
    <w:p>
      <w:pPr>
        <w:spacing w:after="0" w:line="226" w:lineRule="exact"/>
        <w:rPr>
          <w:sz w:val="20"/>
          <w:szCs w:val="20"/>
          <w:color w:val="auto"/>
        </w:rPr>
      </w:pPr>
    </w:p>
    <w:p>
      <w:pPr>
        <w:jc w:val="both"/>
        <w:ind w:firstLine="393"/>
        <w:spacing w:after="0" w:line="261" w:lineRule="auto"/>
        <w:rPr>
          <w:sz w:val="20"/>
          <w:szCs w:val="20"/>
          <w:color w:val="auto"/>
        </w:rPr>
      </w:pPr>
      <w:r>
        <w:rPr>
          <w:rFonts w:ascii="Times New Roman" w:cs="Times New Roman" w:eastAsia="Times New Roman" w:hAnsi="Times New Roman"/>
          <w:sz w:val="17"/>
          <w:szCs w:val="17"/>
          <w:color w:val="auto"/>
        </w:rPr>
        <w:t>The Company held a $300,000 revolving credit facility pursuant to its credit agreement (the “Credit Agreement”), dated as of November 21, 2017 with certain lenders and Citibank N.A. as Administrative Agent. The revolving credit facility originally had a maturity date of November 21, 2022 and was voluntarily pre-payable from time to time without premium or penalty.</w:t>
      </w:r>
    </w:p>
    <w:p>
      <w:pPr>
        <w:spacing w:after="0" w:line="188" w:lineRule="exact"/>
        <w:rPr>
          <w:sz w:val="20"/>
          <w:szCs w:val="20"/>
          <w:color w:val="auto"/>
        </w:rPr>
      </w:pPr>
    </w:p>
    <w:p>
      <w:pPr>
        <w:jc w:val="both"/>
        <w:ind w:firstLine="393"/>
        <w:spacing w:after="0" w:line="249" w:lineRule="auto"/>
        <w:rPr>
          <w:sz w:val="20"/>
          <w:szCs w:val="20"/>
          <w:color w:val="auto"/>
        </w:rPr>
      </w:pPr>
      <w:r>
        <w:rPr>
          <w:rFonts w:ascii="Times New Roman" w:cs="Times New Roman" w:eastAsia="Times New Roman" w:hAnsi="Times New Roman"/>
          <w:sz w:val="17"/>
          <w:szCs w:val="17"/>
          <w:color w:val="auto"/>
        </w:rPr>
        <w:t>On April 18, 2022, the Company and each of the Company’s wholly owned material domestic subsidiaries entered into an Amendment and Restatement Agreement with Citibank, N.A. as Administrative Agent, and certain lenders (the “2022 Credit Agreement”), pursuant to which the parties thereto amended and restated the Credit Agreement. Among other things, the 2022 Credit Agreement (a) provides for the issuance of new revolving credit commitments such that the aggregate amount of revolving credit commitments available to the Company is equal to $400,000; (b) extends the maturity date of the revolving credit facility from November 21, 2022 to April 18, 2027; and (c) replaces LIBOR with Secured Overnight Financing Rate (“SOFR”) as the reference rate for the U.S. dollar borrowings.</w:t>
      </w:r>
    </w:p>
    <w:p>
      <w:pPr>
        <w:spacing w:after="0" w:line="199" w:lineRule="exact"/>
        <w:rPr>
          <w:sz w:val="20"/>
          <w:szCs w:val="20"/>
          <w:color w:val="auto"/>
        </w:rPr>
      </w:pPr>
    </w:p>
    <w:p>
      <w:pPr>
        <w:jc w:val="both"/>
        <w:ind w:firstLine="393"/>
        <w:spacing w:after="0" w:line="246" w:lineRule="auto"/>
        <w:rPr>
          <w:sz w:val="20"/>
          <w:szCs w:val="20"/>
          <w:color w:val="auto"/>
        </w:rPr>
      </w:pPr>
      <w:r>
        <w:rPr>
          <w:rFonts w:ascii="Times New Roman" w:cs="Times New Roman" w:eastAsia="Times New Roman" w:hAnsi="Times New Roman"/>
          <w:sz w:val="17"/>
          <w:szCs w:val="17"/>
          <w:color w:val="auto"/>
        </w:rPr>
        <w:t>On August 9, 2024, the Company and each of the Company’s wholly owned material domestic subsidiaries entered into a First Amendment to Amended and Restated Credit Agreement with Citibank, N.A., as Administrative Agent, and certain lenders (the “2024 Credit Agreement”), pursuant to which the parties thereto amended and restated the 2022 Credit Agreement. Among other things, the 2024 Credit Agreement (a) provides for a $100,000 increase to the revolving credit commitments such that the aggregate amount of revolving credit commitments available to the Company is now equal to $500,000; and (b) provides for the issuance of a new term loan facility in the aggregate amount of $100,000 with an annual amortization of 5%. The increased credit facility and the new term loan facility both mature on April 18, 2027.</w:t>
      </w:r>
    </w:p>
    <w:p>
      <w:pPr>
        <w:spacing w:after="0" w:line="201" w:lineRule="exact"/>
        <w:rPr>
          <w:sz w:val="20"/>
          <w:szCs w:val="20"/>
          <w:color w:val="auto"/>
        </w:rPr>
      </w:pPr>
    </w:p>
    <w:p>
      <w:pPr>
        <w:jc w:val="both"/>
        <w:ind w:firstLine="393"/>
        <w:spacing w:after="0" w:line="256" w:lineRule="auto"/>
        <w:rPr>
          <w:sz w:val="20"/>
          <w:szCs w:val="20"/>
          <w:color w:val="auto"/>
        </w:rPr>
      </w:pPr>
      <w:r>
        <w:rPr>
          <w:rFonts w:ascii="Times New Roman" w:cs="Times New Roman" w:eastAsia="Times New Roman" w:hAnsi="Times New Roman"/>
          <w:sz w:val="17"/>
          <w:szCs w:val="17"/>
          <w:color w:val="auto"/>
        </w:rPr>
        <w:t>The 2024 Credit Agreement includes a letter of credit sub facility and is voluntarily pre-payable from time to time without premium or penalty. Borrowings under the revolving credit facility can be used for working capital and general corporate purposes, including permitted acquisitions. Borrowings under the term loan facility can be used to repay the borrowings outstanding under the revolving facility on August 9, 2024, being the effective date of the 2024 Credit Agreement.</w:t>
      </w:r>
    </w:p>
    <w:p>
      <w:pPr>
        <w:spacing w:after="0" w:line="397" w:lineRule="exact"/>
        <w:rPr>
          <w:sz w:val="20"/>
          <w:szCs w:val="20"/>
          <w:color w:val="auto"/>
        </w:rPr>
      </w:pPr>
    </w:p>
    <w:p>
      <w:pPr>
        <w:jc w:val="both"/>
        <w:ind w:firstLine="393"/>
        <w:spacing w:after="0" w:line="254" w:lineRule="auto"/>
        <w:rPr>
          <w:sz w:val="20"/>
          <w:szCs w:val="20"/>
          <w:color w:val="auto"/>
        </w:rPr>
      </w:pPr>
      <w:r>
        <w:rPr>
          <w:rFonts w:ascii="Times New Roman" w:cs="Times New Roman" w:eastAsia="Times New Roman" w:hAnsi="Times New Roman"/>
          <w:sz w:val="17"/>
          <w:szCs w:val="17"/>
          <w:color w:val="auto"/>
        </w:rPr>
        <w:t>Obligations under the 2024 Credit Agreement are guaranteed by the Company’s wholly-owned material domestic subsidiaries and are secured by all or substantially all of the Company’s and its material domestic subsidiaries’ assets. The 2024 Credit Agreement contains customary affirmative and negative covenants, including, but not limited to, restrictions on the ability to incur indebtedness, create liens, make certain investments, make certain dividends and distributions, enter into, or undertake, certain liquidations, mergers, consolidations or acquisitions and dispose of certain assets or subsidiaries.</w:t>
      </w:r>
    </w:p>
    <w:p>
      <w:pPr>
        <w:spacing w:after="0" w:line="195" w:lineRule="exact"/>
        <w:rPr>
          <w:sz w:val="20"/>
          <w:szCs w:val="20"/>
          <w:color w:val="auto"/>
        </w:rPr>
      </w:pPr>
    </w:p>
    <w:p>
      <w:pPr>
        <w:jc w:val="both"/>
        <w:ind w:firstLine="393"/>
        <w:spacing w:after="0" w:line="265" w:lineRule="auto"/>
        <w:rPr>
          <w:sz w:val="20"/>
          <w:szCs w:val="20"/>
          <w:color w:val="auto"/>
        </w:rPr>
      </w:pPr>
      <w:r>
        <w:rPr>
          <w:rFonts w:ascii="Times New Roman" w:cs="Times New Roman" w:eastAsia="Times New Roman" w:hAnsi="Times New Roman"/>
          <w:sz w:val="17"/>
          <w:szCs w:val="17"/>
          <w:color w:val="auto"/>
        </w:rPr>
        <w:t>The Company has fully drawn $100,000 under its term loan facility based on adjusted SOFR, and repaid the borrowings outstanding under its revolving credit facility to that extent.</w:t>
      </w:r>
    </w:p>
    <w:p>
      <w:pPr>
        <w:spacing w:after="0" w:line="18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The effective interest rates of the revolving credit facility and the term loan facility are as follows:</w:t>
      </w:r>
    </w:p>
    <w:p>
      <w:pPr>
        <w:spacing w:after="0" w:line="292" w:lineRule="exact"/>
        <w:rPr>
          <w:sz w:val="20"/>
          <w:szCs w:val="20"/>
          <w:color w:val="auto"/>
        </w:rPr>
      </w:pPr>
    </w:p>
    <w:tbl>
      <w:tblPr>
        <w:tblLayout w:type="fixed"/>
        <w:tblInd w:w="400" w:type="dxa"/>
        <w:tblCellMar>
          <w:top w:w="0" w:type="dxa"/>
          <w:left w:w="0" w:type="dxa"/>
          <w:bottom w:w="0" w:type="dxa"/>
          <w:right w:w="0" w:type="dxa"/>
        </w:tblCellMar>
      </w:tblPr>
      <w:tr>
        <w:trPr>
          <w:trHeight w:val="210"/>
        </w:trPr>
        <w:tc>
          <w:tcPr>
            <w:tcW w:w="4960" w:type="dxa"/>
            <w:vAlign w:val="bottom"/>
          </w:tcPr>
          <w:p>
            <w:pPr>
              <w:spacing w:after="0"/>
              <w:rPr>
                <w:sz w:val="18"/>
                <w:szCs w:val="18"/>
                <w:color w:val="auto"/>
              </w:rPr>
            </w:pPr>
          </w:p>
        </w:tc>
        <w:tc>
          <w:tcPr>
            <w:tcW w:w="2880" w:type="dxa"/>
            <w:vAlign w:val="bottom"/>
            <w:gridSpan w:val="5"/>
          </w:tcPr>
          <w:p>
            <w:pPr>
              <w:ind w:left="20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800" w:type="dxa"/>
            <w:vAlign w:val="bottom"/>
            <w:gridSpan w:val="3"/>
          </w:tcPr>
          <w:p>
            <w:pPr>
              <w:jc w:val="right"/>
              <w:ind w:right="176"/>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04"/>
        </w:trPr>
        <w:tc>
          <w:tcPr>
            <w:tcW w:w="4960" w:type="dxa"/>
            <w:vAlign w:val="bottom"/>
            <w:tcBorders>
              <w:bottom w:val="single" w:sz="8" w:color="CCEEFF"/>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48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CCEEFF"/>
            </w:tcBorders>
          </w:tcPr>
          <w:p>
            <w:pPr>
              <w:spacing w:after="0"/>
              <w:rPr>
                <w:sz w:val="17"/>
                <w:szCs w:val="17"/>
                <w:color w:val="auto"/>
              </w:rPr>
            </w:pPr>
          </w:p>
        </w:tc>
        <w:tc>
          <w:tcPr>
            <w:tcW w:w="1360" w:type="dxa"/>
            <w:vAlign w:val="bottom"/>
            <w:tcBorders>
              <w:top w:val="single" w:sz="8" w:color="auto"/>
              <w:bottom w:val="single" w:sz="8" w:color="auto"/>
            </w:tcBorders>
          </w:tcPr>
          <w:p>
            <w:pPr>
              <w:jc w:val="right"/>
              <w:ind w:right="436"/>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7"/>
                <w:szCs w:val="17"/>
                <w:color w:val="auto"/>
              </w:rPr>
            </w:pPr>
          </w:p>
        </w:tc>
        <w:tc>
          <w:tcPr>
            <w:tcW w:w="1360" w:type="dxa"/>
            <w:vAlign w:val="bottom"/>
            <w:tcBorders>
              <w:top w:val="single" w:sz="8" w:color="auto"/>
              <w:bottom w:val="single" w:sz="8" w:color="auto"/>
            </w:tcBorders>
          </w:tcPr>
          <w:p>
            <w:pPr>
              <w:jc w:val="right"/>
              <w:ind w:right="437"/>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top w:val="single" w:sz="8" w:color="auto"/>
              <w:bottom w:val="single" w:sz="8" w:color="CCEEFF"/>
            </w:tcBorders>
          </w:tcPr>
          <w:p>
            <w:pPr>
              <w:spacing w:after="0"/>
              <w:rPr>
                <w:sz w:val="17"/>
                <w:szCs w:val="17"/>
                <w:color w:val="auto"/>
              </w:rPr>
            </w:pPr>
          </w:p>
        </w:tc>
        <w:tc>
          <w:tcPr>
            <w:tcW w:w="1360" w:type="dxa"/>
            <w:vAlign w:val="bottom"/>
            <w:tcBorders>
              <w:top w:val="single" w:sz="8" w:color="auto"/>
              <w:bottom w:val="single" w:sz="8" w:color="auto"/>
            </w:tcBorders>
          </w:tcPr>
          <w:p>
            <w:pPr>
              <w:jc w:val="right"/>
              <w:ind w:right="436"/>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7"/>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Revolving credit facility</w:t>
            </w:r>
          </w:p>
        </w:tc>
        <w:tc>
          <w:tcPr>
            <w:tcW w:w="8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6.4 %</w:t>
            </w:r>
          </w:p>
        </w:tc>
        <w:tc>
          <w:tcPr>
            <w:tcW w:w="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6.5 %</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6.3 %</w:t>
            </w:r>
          </w:p>
        </w:tc>
        <w:tc>
          <w:tcPr>
            <w:tcW w:w="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6.2 %</w:t>
            </w:r>
          </w:p>
        </w:tc>
      </w:tr>
      <w:tr>
        <w:trPr>
          <w:trHeight w:val="228"/>
        </w:trPr>
        <w:tc>
          <w:tcPr>
            <w:tcW w:w="58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Term loan facility</w:t>
            </w: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6.8 %</w:t>
            </w:r>
          </w:p>
        </w:tc>
        <w:tc>
          <w:tcPr>
            <w:tcW w:w="80" w:type="dxa"/>
            <w:vAlign w:val="bottom"/>
          </w:tcPr>
          <w:p>
            <w:pPr>
              <w:spacing w:after="0"/>
              <w:rPr>
                <w:sz w:val="19"/>
                <w:szCs w:val="19"/>
                <w:color w:val="auto"/>
              </w:rPr>
            </w:pP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6.8 %</w:t>
            </w:r>
          </w:p>
        </w:tc>
        <w:tc>
          <w:tcPr>
            <w:tcW w:w="80" w:type="dxa"/>
            <w:vAlign w:val="bottom"/>
          </w:tcPr>
          <w:p>
            <w:pPr>
              <w:spacing w:after="0"/>
              <w:rPr>
                <w:sz w:val="19"/>
                <w:szCs w:val="19"/>
                <w:color w:val="auto"/>
              </w:rPr>
            </w:pPr>
          </w:p>
        </w:tc>
        <w:tc>
          <w:tcPr>
            <w:tcW w:w="136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rPr>
              <w:t>—</w:t>
            </w:r>
          </w:p>
        </w:tc>
      </w:tr>
    </w:tbl>
    <w:p>
      <w:pPr>
        <w:spacing w:after="0" w:line="29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As of September 30, 2024 and December 31, 2023, the Company was in compliance with the financial covenants under the applicable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EXLSERVICE HOLDINGS, INC.</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UNAUDITED CONSOLIDATED FINANCIAL STATEMENTS—(continued)</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September 30, 2024</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per share amount and share count)</w:t>
      </w:r>
    </w:p>
    <w:p>
      <w:pPr>
        <w:spacing w:after="0" w:line="23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The maturity profile of the Company’s long-term borrowings, excluding debt issuance costs, outstanding as of September 30, 2024 were as follows:</w:t>
      </w:r>
    </w:p>
    <w:p>
      <w:pPr>
        <w:spacing w:after="0" w:line="56" w:lineRule="exact"/>
        <w:rPr>
          <w:sz w:val="20"/>
          <w:szCs w:val="20"/>
          <w:color w:val="auto"/>
        </w:rPr>
      </w:pPr>
    </w:p>
    <w:tbl>
      <w:tblPr>
        <w:tblLayout w:type="fixed"/>
        <w:tblInd w:w="400" w:type="dxa"/>
        <w:tblCellMar>
          <w:top w:w="0" w:type="dxa"/>
          <w:left w:w="0" w:type="dxa"/>
          <w:bottom w:w="0" w:type="dxa"/>
          <w:right w:w="0" w:type="dxa"/>
        </w:tblCellMar>
      </w:tblPr>
      <w:tr>
        <w:trPr>
          <w:trHeight w:val="210"/>
        </w:trPr>
        <w:tc>
          <w:tcPr>
            <w:tcW w:w="4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4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Revolving credit facility</w:t>
            </w:r>
          </w:p>
        </w:tc>
        <w:tc>
          <w:tcPr>
            <w:tcW w:w="280" w:type="dxa"/>
            <w:vAlign w:val="bottom"/>
          </w:tcPr>
          <w:p>
            <w:pPr>
              <w:spacing w:after="0"/>
              <w:rPr>
                <w:sz w:val="18"/>
                <w:szCs w:val="18"/>
                <w:color w:val="auto"/>
              </w:rPr>
            </w:pPr>
          </w:p>
        </w:tc>
        <w:tc>
          <w:tcPr>
            <w:tcW w:w="1820" w:type="dxa"/>
            <w:vAlign w:val="bottom"/>
          </w:tcPr>
          <w:p>
            <w:pPr>
              <w:jc w:val="right"/>
              <w:ind w:right="374"/>
              <w:spacing w:after="0"/>
              <w:rPr>
                <w:sz w:val="20"/>
                <w:szCs w:val="20"/>
                <w:color w:val="auto"/>
              </w:rPr>
            </w:pPr>
            <w:r>
              <w:rPr>
                <w:rFonts w:ascii="Times New Roman" w:cs="Times New Roman" w:eastAsia="Times New Roman" w:hAnsi="Times New Roman"/>
                <w:sz w:val="16"/>
                <w:szCs w:val="16"/>
                <w:b w:val="1"/>
                <w:bCs w:val="1"/>
                <w:color w:val="auto"/>
              </w:rPr>
              <w:t>Term loan facility</w:t>
            </w:r>
          </w:p>
        </w:tc>
      </w:tr>
      <w:tr>
        <w:trPr>
          <w:trHeight w:val="218"/>
        </w:trPr>
        <w:tc>
          <w:tcPr>
            <w:tcW w:w="4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2024 (October 1 - December 31)</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1,250</w:t>
            </w:r>
          </w:p>
        </w:tc>
      </w:tr>
      <w:tr>
        <w:trPr>
          <w:trHeight w:val="223"/>
        </w:trPr>
        <w:tc>
          <w:tcPr>
            <w:tcW w:w="4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2025</w:t>
            </w:r>
          </w:p>
        </w:tc>
        <w:tc>
          <w:tcPr>
            <w:tcW w:w="180" w:type="dxa"/>
            <w:vAlign w:val="bottom"/>
          </w:tcPr>
          <w:p>
            <w:pPr>
              <w:spacing w:after="0"/>
              <w:rPr>
                <w:sz w:val="19"/>
                <w:szCs w:val="19"/>
                <w:color w:val="auto"/>
              </w:rPr>
            </w:pPr>
          </w:p>
        </w:tc>
        <w:tc>
          <w:tcPr>
            <w:tcW w:w="20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5,000</w:t>
            </w:r>
          </w:p>
        </w:tc>
      </w:tr>
      <w:tr>
        <w:trPr>
          <w:trHeight w:val="223"/>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180" w:type="dxa"/>
            <w:vAlign w:val="bottom"/>
            <w:shd w:val="clear" w:color="auto" w:fill="CCEEFF"/>
          </w:tcPr>
          <w:p>
            <w:pPr>
              <w:spacing w:after="0"/>
              <w:rPr>
                <w:sz w:val="19"/>
                <w:szCs w:val="19"/>
                <w:color w:val="auto"/>
              </w:rPr>
            </w:pPr>
          </w:p>
        </w:tc>
        <w:tc>
          <w:tcPr>
            <w:tcW w:w="2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5,000</w:t>
            </w:r>
          </w:p>
        </w:tc>
      </w:tr>
      <w:tr>
        <w:trPr>
          <w:trHeight w:val="223"/>
        </w:trPr>
        <w:tc>
          <w:tcPr>
            <w:tcW w:w="4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2027</w:t>
            </w:r>
          </w:p>
        </w:tc>
        <w:tc>
          <w:tcPr>
            <w:tcW w:w="18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245,000</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88,750</w:t>
            </w:r>
          </w:p>
        </w:tc>
      </w:tr>
      <w:tr>
        <w:trPr>
          <w:trHeight w:val="241"/>
        </w:trPr>
        <w:tc>
          <w:tcPr>
            <w:tcW w:w="4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245,000</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100,000</w:t>
            </w: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Letters of Credit</w:t>
      </w:r>
    </w:p>
    <w:p>
      <w:pPr>
        <w:spacing w:after="0" w:line="239" w:lineRule="exact"/>
        <w:rPr>
          <w:sz w:val="20"/>
          <w:szCs w:val="20"/>
          <w:color w:val="auto"/>
        </w:rPr>
      </w:pPr>
    </w:p>
    <w:p>
      <w:pPr>
        <w:jc w:val="both"/>
        <w:ind w:firstLine="393"/>
        <w:spacing w:after="0" w:line="268" w:lineRule="auto"/>
        <w:rPr>
          <w:sz w:val="20"/>
          <w:szCs w:val="20"/>
          <w:color w:val="auto"/>
        </w:rPr>
      </w:pPr>
      <w:r>
        <w:rPr>
          <w:rFonts w:ascii="Times New Roman" w:cs="Times New Roman" w:eastAsia="Times New Roman" w:hAnsi="Times New Roman"/>
          <w:sz w:val="17"/>
          <w:szCs w:val="17"/>
          <w:color w:val="auto"/>
        </w:rPr>
        <w:t>In the ordinary course of business, the Company provides standby letters of credit to third parties primarily for facility leases. As of September 30, 2024 and December 31, 2023, the Company had outstanding letters of credit of $741 and $461, respectively, that were not recognized in the consolidated balance sheets.</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19. Capital Structure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Common Stock</w:t>
      </w:r>
    </w:p>
    <w:p>
      <w:pPr>
        <w:spacing w:after="0" w:line="12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The Company has one class of common stock outstanding.</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Share Repurchases</w:t>
      </w:r>
    </w:p>
    <w:p>
      <w:pPr>
        <w:spacing w:after="0" w:line="241" w:lineRule="exact"/>
        <w:rPr>
          <w:sz w:val="20"/>
          <w:szCs w:val="20"/>
          <w:color w:val="auto"/>
        </w:rPr>
      </w:pPr>
    </w:p>
    <w:p>
      <w:pPr>
        <w:jc w:val="both"/>
        <w:ind w:firstLine="433"/>
        <w:spacing w:after="0" w:line="281" w:lineRule="auto"/>
        <w:rPr>
          <w:sz w:val="20"/>
          <w:szCs w:val="20"/>
          <w:color w:val="auto"/>
        </w:rPr>
      </w:pPr>
      <w:r>
        <w:rPr>
          <w:rFonts w:ascii="Times New Roman" w:cs="Times New Roman" w:eastAsia="Times New Roman" w:hAnsi="Times New Roman"/>
          <w:sz w:val="17"/>
          <w:szCs w:val="17"/>
          <w:color w:val="auto"/>
        </w:rPr>
        <w:t>The Company purchased shares of its common stock from certain employees in connection with withholding tax payments related to the vesting of restricted stock units and performance-based restricted stock units, as below:</w:t>
      </w:r>
    </w:p>
    <w:p>
      <w:pPr>
        <w:spacing w:after="0" w:line="177" w:lineRule="exact"/>
        <w:rPr>
          <w:sz w:val="20"/>
          <w:szCs w:val="20"/>
          <w:color w:val="auto"/>
        </w:rPr>
      </w:pPr>
    </w:p>
    <w:tbl>
      <w:tblPr>
        <w:tblLayout w:type="fixed"/>
        <w:tblInd w:w="440" w:type="dxa"/>
        <w:tblCellMar>
          <w:top w:w="0" w:type="dxa"/>
          <w:left w:w="0" w:type="dxa"/>
          <w:bottom w:w="0" w:type="dxa"/>
          <w:right w:w="0" w:type="dxa"/>
        </w:tblCellMar>
      </w:tblPr>
      <w:tr>
        <w:trPr>
          <w:trHeight w:val="184"/>
        </w:trPr>
        <w:tc>
          <w:tcPr>
            <w:tcW w:w="5080" w:type="dxa"/>
            <w:vAlign w:val="bottom"/>
          </w:tcPr>
          <w:p>
            <w:pPr>
              <w:spacing w:after="0"/>
              <w:rPr>
                <w:sz w:val="16"/>
                <w:szCs w:val="16"/>
                <w:color w:val="auto"/>
              </w:rPr>
            </w:pPr>
          </w:p>
        </w:tc>
        <w:tc>
          <w:tcPr>
            <w:tcW w:w="148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Shares repurchased</w:t>
            </w:r>
          </w:p>
        </w:tc>
        <w:tc>
          <w:tcPr>
            <w:tcW w:w="1560" w:type="dxa"/>
            <w:vAlign w:val="bottom"/>
            <w:gridSpan w:val="3"/>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Total consideration</w:t>
            </w:r>
          </w:p>
        </w:tc>
        <w:tc>
          <w:tcPr>
            <w:tcW w:w="120" w:type="dxa"/>
            <w:vAlign w:val="bottom"/>
          </w:tcPr>
          <w:p>
            <w:pPr>
              <w:spacing w:after="0"/>
              <w:rPr>
                <w:sz w:val="16"/>
                <w:szCs w:val="16"/>
                <w:color w:val="auto"/>
              </w:rPr>
            </w:pPr>
          </w:p>
        </w:tc>
        <w:tc>
          <w:tcPr>
            <w:tcW w:w="2360" w:type="dxa"/>
            <w:vAlign w:val="bottom"/>
          </w:tcPr>
          <w:p>
            <w:pPr>
              <w:jc w:val="right"/>
              <w:ind w:right="36"/>
              <w:spacing w:after="0"/>
              <w:rPr>
                <w:sz w:val="20"/>
                <w:szCs w:val="20"/>
                <w:color w:val="auto"/>
              </w:rPr>
            </w:pPr>
            <w:r>
              <w:rPr>
                <w:rFonts w:ascii="Times New Roman" w:cs="Times New Roman" w:eastAsia="Times New Roman" w:hAnsi="Times New Roman"/>
                <w:sz w:val="16"/>
                <w:szCs w:val="16"/>
                <w:b w:val="1"/>
                <w:bCs w:val="1"/>
                <w:color w:val="auto"/>
                <w:w w:val="97"/>
              </w:rPr>
              <w:t>Weighted average purchase price</w:t>
            </w:r>
          </w:p>
        </w:tc>
        <w:tc>
          <w:tcPr>
            <w:tcW w:w="0" w:type="dxa"/>
            <w:vAlign w:val="bottom"/>
          </w:tcPr>
          <w:p>
            <w:pPr>
              <w:spacing w:after="0"/>
              <w:rPr>
                <w:sz w:val="1"/>
                <w:szCs w:val="1"/>
                <w:color w:val="auto"/>
              </w:rPr>
            </w:pPr>
          </w:p>
        </w:tc>
      </w:tr>
      <w:tr>
        <w:trPr>
          <w:trHeight w:val="210"/>
        </w:trPr>
        <w:tc>
          <w:tcPr>
            <w:tcW w:w="5080" w:type="dxa"/>
            <w:vAlign w:val="bottom"/>
          </w:tcPr>
          <w:p>
            <w:pPr>
              <w:spacing w:after="0"/>
              <w:rPr>
                <w:sz w:val="18"/>
                <w:szCs w:val="18"/>
                <w:color w:val="auto"/>
              </w:rPr>
            </w:pPr>
          </w:p>
        </w:tc>
        <w:tc>
          <w:tcPr>
            <w:tcW w:w="1480" w:type="dxa"/>
            <w:vAlign w:val="bottom"/>
            <w:gridSpan w:val="2"/>
            <w:vMerge w:val="continue"/>
          </w:tcPr>
          <w:p>
            <w:pPr>
              <w:spacing w:after="0"/>
              <w:rPr>
                <w:sz w:val="18"/>
                <w:szCs w:val="18"/>
                <w:color w:val="auto"/>
              </w:rPr>
            </w:pPr>
          </w:p>
        </w:tc>
        <w:tc>
          <w:tcPr>
            <w:tcW w:w="156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2360" w:type="dxa"/>
            <w:vAlign w:val="bottom"/>
          </w:tcPr>
          <w:p>
            <w:pPr>
              <w:jc w:val="right"/>
              <w:ind w:right="756"/>
              <w:spacing w:after="0" w:line="209" w:lineRule="exact"/>
              <w:rPr>
                <w:sz w:val="20"/>
                <w:szCs w:val="20"/>
                <w:color w:val="auto"/>
              </w:rPr>
            </w:pPr>
            <w:r>
              <w:rPr>
                <w:rFonts w:ascii="Times New Roman" w:cs="Times New Roman" w:eastAsia="Times New Roman" w:hAnsi="Times New Roman"/>
                <w:sz w:val="16"/>
                <w:szCs w:val="16"/>
                <w:b w:val="1"/>
                <w:bCs w:val="1"/>
                <w:color w:val="auto"/>
              </w:rPr>
              <w:t xml:space="preserve">per share </w:t>
            </w:r>
            <w:r>
              <w:rPr>
                <w:rFonts w:ascii="Times New Roman" w:cs="Times New Roman" w:eastAsia="Times New Roman" w:hAnsi="Times New Roman"/>
                <w:sz w:val="20"/>
                <w:szCs w:val="20"/>
                <w:b w:val="1"/>
                <w:bCs w:val="1"/>
                <w:color w:val="auto"/>
                <w:vertAlign w:val="superscript"/>
              </w:rPr>
              <w:t>(1)</w:t>
            </w:r>
          </w:p>
        </w:tc>
        <w:tc>
          <w:tcPr>
            <w:tcW w:w="0" w:type="dxa"/>
            <w:vAlign w:val="bottom"/>
          </w:tcPr>
          <w:p>
            <w:pPr>
              <w:spacing w:after="0"/>
              <w:rPr>
                <w:sz w:val="1"/>
                <w:szCs w:val="1"/>
                <w:color w:val="auto"/>
              </w:rPr>
            </w:pPr>
          </w:p>
        </w:tc>
      </w:tr>
      <w:tr>
        <w:trPr>
          <w:trHeight w:val="216"/>
        </w:trPr>
        <w:tc>
          <w:tcPr>
            <w:tcW w:w="5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Three months ended September 30, 2024</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91,565</w:t>
            </w:r>
          </w:p>
        </w:tc>
        <w:tc>
          <w:tcPr>
            <w:tcW w:w="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ind w:right="354"/>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3,346</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36.54</w:t>
            </w:r>
          </w:p>
        </w:tc>
        <w:tc>
          <w:tcPr>
            <w:tcW w:w="0" w:type="dxa"/>
            <w:vAlign w:val="bottom"/>
          </w:tcPr>
          <w:p>
            <w:pPr>
              <w:spacing w:after="0"/>
              <w:rPr>
                <w:sz w:val="1"/>
                <w:szCs w:val="1"/>
                <w:color w:val="auto"/>
              </w:rPr>
            </w:pPr>
          </w:p>
        </w:tc>
      </w:tr>
      <w:tr>
        <w:trPr>
          <w:trHeight w:val="255"/>
        </w:trPr>
        <w:tc>
          <w:tcPr>
            <w:tcW w:w="5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Three months ended September 30, 2023</w:t>
            </w:r>
          </w:p>
        </w:tc>
        <w:tc>
          <w:tcPr>
            <w:tcW w:w="14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45,267</w:t>
            </w:r>
          </w:p>
        </w:tc>
        <w:tc>
          <w:tcPr>
            <w:tcW w:w="80" w:type="dxa"/>
            <w:vAlign w:val="bottom"/>
            <w:tcBorders>
              <w:bottom w:val="single" w:sz="8" w:color="CCEEFF"/>
            </w:tcBorders>
          </w:tcPr>
          <w:p>
            <w:pPr>
              <w:spacing w:after="0"/>
              <w:rPr>
                <w:sz w:val="22"/>
                <w:szCs w:val="22"/>
                <w:color w:val="auto"/>
              </w:rPr>
            </w:pPr>
          </w:p>
        </w:tc>
        <w:tc>
          <w:tcPr>
            <w:tcW w:w="560" w:type="dxa"/>
            <w:vAlign w:val="bottom"/>
            <w:tcBorders>
              <w:bottom w:val="single" w:sz="8" w:color="CCEEFF"/>
            </w:tcBorders>
          </w:tcPr>
          <w:p>
            <w:pPr>
              <w:jc w:val="right"/>
              <w:ind w:right="354"/>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1,324</w:t>
            </w:r>
          </w:p>
        </w:tc>
        <w:tc>
          <w:tcPr>
            <w:tcW w:w="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3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29.25</w:t>
            </w:r>
          </w:p>
        </w:tc>
        <w:tc>
          <w:tcPr>
            <w:tcW w:w="0" w:type="dxa"/>
            <w:vAlign w:val="bottom"/>
          </w:tcPr>
          <w:p>
            <w:pPr>
              <w:spacing w:after="0"/>
              <w:rPr>
                <w:sz w:val="1"/>
                <w:szCs w:val="1"/>
                <w:color w:val="auto"/>
              </w:rPr>
            </w:pPr>
          </w:p>
        </w:tc>
      </w:tr>
      <w:tr>
        <w:trPr>
          <w:trHeight w:val="223"/>
        </w:trPr>
        <w:tc>
          <w:tcPr>
            <w:tcW w:w="5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Nine months ended September 30, 2024</w:t>
            </w: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291,967</w:t>
            </w:r>
          </w:p>
        </w:tc>
        <w:tc>
          <w:tcPr>
            <w:tcW w:w="80" w:type="dxa"/>
            <w:vAlign w:val="bottom"/>
          </w:tcPr>
          <w:p>
            <w:pPr>
              <w:spacing w:after="0"/>
              <w:rPr>
                <w:sz w:val="19"/>
                <w:szCs w:val="19"/>
                <w:color w:val="auto"/>
              </w:rPr>
            </w:pPr>
          </w:p>
        </w:tc>
        <w:tc>
          <w:tcPr>
            <w:tcW w:w="560" w:type="dxa"/>
            <w:vAlign w:val="bottom"/>
          </w:tcPr>
          <w:p>
            <w:pPr>
              <w:jc w:val="right"/>
              <w:ind w:right="354"/>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9,721</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33.29</w:t>
            </w:r>
          </w:p>
        </w:tc>
        <w:tc>
          <w:tcPr>
            <w:tcW w:w="0" w:type="dxa"/>
            <w:vAlign w:val="bottom"/>
          </w:tcPr>
          <w:p>
            <w:pPr>
              <w:spacing w:after="0"/>
              <w:rPr>
                <w:sz w:val="1"/>
                <w:szCs w:val="1"/>
                <w:color w:val="auto"/>
              </w:rPr>
            </w:pPr>
          </w:p>
        </w:tc>
      </w:tr>
      <w:tr>
        <w:trPr>
          <w:trHeight w:val="223"/>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Nine months ended September 30, 2023</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237,047</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54"/>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7,853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33.13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3" w:lineRule="exact"/>
        <w:rPr>
          <w:sz w:val="20"/>
          <w:szCs w:val="20"/>
          <w:color w:val="auto"/>
        </w:rPr>
      </w:pPr>
    </w:p>
    <w:p>
      <w:pPr>
        <w:ind w:firstLine="398"/>
        <w:spacing w:after="0" w:line="281" w:lineRule="auto"/>
        <w:tabs>
          <w:tab w:leader="none" w:pos="625"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weighted average purchase price per share is based on the closing price of the Company’s common stock on the Nasdaq Global Select Market on the trading day prior to the applicable vesting date of the shares of restricted stock.</w:t>
      </w:r>
    </w:p>
    <w:p>
      <w:pPr>
        <w:spacing w:after="0" w:line="172" w:lineRule="exact"/>
        <w:rPr>
          <w:sz w:val="20"/>
          <w:szCs w:val="20"/>
          <w:color w:val="auto"/>
        </w:rPr>
      </w:pPr>
    </w:p>
    <w:p>
      <w:pPr>
        <w:jc w:val="both"/>
        <w:ind w:firstLine="393"/>
        <w:spacing w:after="0" w:line="281" w:lineRule="auto"/>
        <w:rPr>
          <w:sz w:val="20"/>
          <w:szCs w:val="20"/>
          <w:color w:val="auto"/>
        </w:rPr>
      </w:pPr>
      <w:r>
        <w:rPr>
          <w:rFonts w:ascii="Times New Roman" w:cs="Times New Roman" w:eastAsia="Times New Roman" w:hAnsi="Times New Roman"/>
          <w:sz w:val="17"/>
          <w:szCs w:val="17"/>
          <w:color w:val="auto"/>
        </w:rPr>
        <w:t>On October 5, 2021, the Company’s board of directors authorized a $300,000 (excluding excise tax) common stock repurchase program beginning January 1, 2022 (the “2022 Repurchase Program”).</w:t>
      </w:r>
    </w:p>
    <w:p>
      <w:pPr>
        <w:spacing w:after="0" w:line="172" w:lineRule="exact"/>
        <w:rPr>
          <w:sz w:val="20"/>
          <w:szCs w:val="20"/>
          <w:color w:val="auto"/>
        </w:rPr>
      </w:pPr>
    </w:p>
    <w:p>
      <w:pPr>
        <w:jc w:val="both"/>
        <w:ind w:firstLine="393"/>
        <w:spacing w:after="0" w:line="281" w:lineRule="auto"/>
        <w:rPr>
          <w:sz w:val="20"/>
          <w:szCs w:val="20"/>
          <w:color w:val="auto"/>
        </w:rPr>
      </w:pPr>
      <w:r>
        <w:rPr>
          <w:rFonts w:ascii="Times New Roman" w:cs="Times New Roman" w:eastAsia="Times New Roman" w:hAnsi="Times New Roman"/>
          <w:sz w:val="17"/>
          <w:szCs w:val="17"/>
          <w:color w:val="auto"/>
        </w:rPr>
        <w:t>On February 26, 2024, the Company’s board of directors authorized a $500,000 (excluding excise tax) common stock repurchase program beginning March 1, 2024 (the “2024 Repurchase Program”), and terminated the 2022 Repurchase Program on February 29, 2024.</w:t>
      </w:r>
    </w:p>
    <w:p>
      <w:pPr>
        <w:spacing w:after="0" w:line="172" w:lineRule="exact"/>
        <w:rPr>
          <w:sz w:val="20"/>
          <w:szCs w:val="20"/>
          <w:color w:val="auto"/>
        </w:rPr>
      </w:pPr>
    </w:p>
    <w:p>
      <w:pPr>
        <w:jc w:val="both"/>
        <w:ind w:firstLine="393"/>
        <w:spacing w:after="0" w:line="245" w:lineRule="auto"/>
        <w:rPr>
          <w:sz w:val="20"/>
          <w:szCs w:val="20"/>
          <w:color w:val="auto"/>
        </w:rPr>
      </w:pPr>
      <w:r>
        <w:rPr>
          <w:rFonts w:ascii="Times New Roman" w:cs="Times New Roman" w:eastAsia="Times New Roman" w:hAnsi="Times New Roman"/>
          <w:sz w:val="17"/>
          <w:szCs w:val="17"/>
          <w:color w:val="auto"/>
        </w:rPr>
        <w:t xml:space="preserve">On March 15, 2024, the Company entered into a 2024 ASR Agreement with Citibank to repurchase shares of its common stock for an aggregate purchase price of $125,000, as part of the Company’s 2024 Repurchase Program. Upon payment of the aggregate purchase price of $125,000, the Company received an initial delivery of 3,350,084 shares of its common stock at an initial price of $29.85 per share, representing 80% of the aggregate purchase price. The Company funded the repurchase with available cash on hand and borrowing from its revolving credit facility. The 2024 ASR Agreement is accounted for as a treasury stock transaction and forward stock purchase agreement indexed to the Company’s common stock. The forward stock purchase agreement was classified as an equity instrument under ASC Topic 815-40, </w:t>
      </w:r>
      <w:r>
        <w:rPr>
          <w:rFonts w:ascii="Times New Roman" w:cs="Times New Roman" w:eastAsia="Times New Roman" w:hAnsi="Times New Roman"/>
          <w:sz w:val="17"/>
          <w:szCs w:val="17"/>
          <w:i w:val="1"/>
          <w:iCs w:val="1"/>
          <w:color w:val="auto"/>
        </w:rPr>
        <w:t>Contracts in Entity's Own Equity</w:t>
      </w:r>
      <w:r>
        <w:rPr>
          <w:rFonts w:ascii="Times New Roman" w:cs="Times New Roman" w:eastAsia="Times New Roman" w:hAnsi="Times New Roman"/>
          <w:sz w:val="17"/>
          <w:szCs w:val="17"/>
          <w:color w:val="auto"/>
        </w:rPr>
        <w:t>, and deemed to have a fair value of zero at the effective date. The prepayment of $25,000 was initially recorded in additional paid-in</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EXLSERVICE HOLDINGS, INC.</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UNAUDITED CONSOLIDATED FINANCIAL STATEMENTS—(continued)</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September 30, 2024</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per share amount and share count)</w:t>
      </w:r>
    </w:p>
    <w:p>
      <w:pPr>
        <w:spacing w:after="0" w:line="2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capital, which reflected the pending settlement of the 2024 ASR Agreement. Under the terms of the 2024 ASR Agreement, the ultimate number of shares of Common Stock that the Company repurchased was based on the average of the daily volume-weighted average prices of the Common Stock during the term of the 2024 ASR Agreement, less a discount and subject to adjustments pursuant to the terms and conditions of the 2024 ASR Agreement.</w:t>
      </w:r>
    </w:p>
    <w:p>
      <w:pPr>
        <w:spacing w:after="0" w:line="188" w:lineRule="exact"/>
        <w:rPr>
          <w:sz w:val="20"/>
          <w:szCs w:val="20"/>
          <w:color w:val="auto"/>
        </w:rPr>
      </w:pPr>
    </w:p>
    <w:p>
      <w:pPr>
        <w:jc w:val="both"/>
        <w:ind w:firstLine="393"/>
        <w:spacing w:after="0" w:line="261" w:lineRule="auto"/>
        <w:rPr>
          <w:sz w:val="20"/>
          <w:szCs w:val="20"/>
          <w:color w:val="auto"/>
        </w:rPr>
      </w:pPr>
      <w:r>
        <w:rPr>
          <w:rFonts w:ascii="Times New Roman" w:cs="Times New Roman" w:eastAsia="Times New Roman" w:hAnsi="Times New Roman"/>
          <w:sz w:val="17"/>
          <w:szCs w:val="17"/>
          <w:color w:val="auto"/>
        </w:rPr>
        <w:t>On July 19, 2024, upon final settlement of the 2024 ASR Agreement, the Company received 820,433 additional shares of its common stock based on a daily volume-weighted average price of $29.97 per share during the term of the 2024 ASR Agreement. The additional shares received were recorded as treasury stock at a fair market value of $33.96 per share, and $2,862 was recorded in additional paid-in capital.</w:t>
      </w:r>
    </w:p>
    <w:p>
      <w:pPr>
        <w:spacing w:after="0" w:line="201" w:lineRule="exact"/>
        <w:rPr>
          <w:sz w:val="20"/>
          <w:szCs w:val="20"/>
          <w:color w:val="auto"/>
        </w:rPr>
      </w:pPr>
    </w:p>
    <w:p>
      <w:pPr>
        <w:jc w:val="both"/>
        <w:ind w:firstLine="393"/>
        <w:spacing w:after="0" w:line="277" w:lineRule="auto"/>
        <w:rPr>
          <w:sz w:val="20"/>
          <w:szCs w:val="20"/>
          <w:color w:val="auto"/>
        </w:rPr>
      </w:pPr>
      <w:r>
        <w:rPr>
          <w:rFonts w:ascii="Times New Roman" w:cs="Times New Roman" w:eastAsia="Times New Roman" w:hAnsi="Times New Roman"/>
          <w:sz w:val="17"/>
          <w:szCs w:val="17"/>
          <w:color w:val="auto"/>
        </w:rPr>
        <w:t>Under the Company’s two repurchase programs, shares may be purchased by the Company from time to time from the open market and through private transactions, or otherwise, as determined by the Company’s management as market conditions warrant. Repurchases may be discontinued at any time by the management.</w:t>
      </w:r>
    </w:p>
    <w:p>
      <w:pPr>
        <w:spacing w:after="0" w:line="176" w:lineRule="exact"/>
        <w:rPr>
          <w:sz w:val="20"/>
          <w:szCs w:val="20"/>
          <w:color w:val="auto"/>
        </w:rPr>
      </w:pPr>
    </w:p>
    <w:p>
      <w:pPr>
        <w:jc w:val="both"/>
        <w:ind w:firstLine="393"/>
        <w:spacing w:after="0" w:line="265" w:lineRule="auto"/>
        <w:rPr>
          <w:sz w:val="20"/>
          <w:szCs w:val="20"/>
          <w:color w:val="auto"/>
        </w:rPr>
      </w:pPr>
      <w:r>
        <w:rPr>
          <w:rFonts w:ascii="Times New Roman" w:cs="Times New Roman" w:eastAsia="Times New Roman" w:hAnsi="Times New Roman"/>
          <w:sz w:val="17"/>
          <w:szCs w:val="17"/>
          <w:color w:val="auto"/>
        </w:rPr>
        <w:t>The Company purchased shares of its common stock, for a total consideration including commissions and excluding excise tax, under its two repurchase programs, as below:</w:t>
      </w:r>
    </w:p>
    <w:p>
      <w:pPr>
        <w:spacing w:after="0" w:line="188"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5080" w:type="dxa"/>
            <w:vAlign w:val="bottom"/>
          </w:tcPr>
          <w:p>
            <w:pPr>
              <w:spacing w:after="0"/>
              <w:rPr>
                <w:sz w:val="13"/>
                <w:szCs w:val="13"/>
                <w:color w:val="auto"/>
              </w:rPr>
            </w:pPr>
          </w:p>
        </w:tc>
        <w:tc>
          <w:tcPr>
            <w:tcW w:w="15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Shares repurchased</w:t>
            </w:r>
          </w:p>
        </w:tc>
        <w:tc>
          <w:tcPr>
            <w:tcW w:w="120" w:type="dxa"/>
            <w:vAlign w:val="bottom"/>
          </w:tcPr>
          <w:p>
            <w:pPr>
              <w:spacing w:after="0"/>
              <w:rPr>
                <w:sz w:val="13"/>
                <w:szCs w:val="13"/>
                <w:color w:val="auto"/>
              </w:rPr>
            </w:pPr>
          </w:p>
        </w:tc>
        <w:tc>
          <w:tcPr>
            <w:tcW w:w="14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Total consideration</w:t>
            </w:r>
          </w:p>
        </w:tc>
        <w:tc>
          <w:tcPr>
            <w:tcW w:w="23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Weighted average purchase price per</w:t>
            </w:r>
          </w:p>
        </w:tc>
        <w:tc>
          <w:tcPr>
            <w:tcW w:w="0" w:type="dxa"/>
            <w:vAlign w:val="bottom"/>
          </w:tcPr>
          <w:p>
            <w:pPr>
              <w:spacing w:after="0"/>
              <w:rPr>
                <w:sz w:val="1"/>
                <w:szCs w:val="1"/>
                <w:color w:val="auto"/>
              </w:rPr>
            </w:pPr>
          </w:p>
        </w:tc>
      </w:tr>
      <w:tr>
        <w:trPr>
          <w:trHeight w:val="106"/>
        </w:trPr>
        <w:tc>
          <w:tcPr>
            <w:tcW w:w="5080" w:type="dxa"/>
            <w:vAlign w:val="bottom"/>
          </w:tcPr>
          <w:p>
            <w:pPr>
              <w:spacing w:after="0"/>
              <w:rPr>
                <w:sz w:val="9"/>
                <w:szCs w:val="9"/>
                <w:color w:val="auto"/>
              </w:rPr>
            </w:pPr>
          </w:p>
        </w:tc>
        <w:tc>
          <w:tcPr>
            <w:tcW w:w="154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4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1740" w:type="dxa"/>
            <w:vAlign w:val="bottom"/>
            <w:vMerge w:val="restart"/>
          </w:tcPr>
          <w:p>
            <w:pPr>
              <w:jc w:val="right"/>
              <w:ind w:right="896"/>
              <w:spacing w:after="0"/>
              <w:rPr>
                <w:sz w:val="20"/>
                <w:szCs w:val="20"/>
                <w:color w:val="auto"/>
              </w:rPr>
            </w:pPr>
            <w:r>
              <w:rPr>
                <w:rFonts w:ascii="Times New Roman" w:cs="Times New Roman" w:eastAsia="Times New Roman" w:hAnsi="Times New Roman"/>
                <w:sz w:val="14"/>
                <w:szCs w:val="14"/>
                <w:b w:val="1"/>
                <w:bCs w:val="1"/>
                <w:color w:val="auto"/>
              </w:rPr>
              <w:t>share</w:t>
            </w:r>
          </w:p>
        </w:tc>
        <w:tc>
          <w:tcPr>
            <w:tcW w:w="0" w:type="dxa"/>
            <w:vAlign w:val="bottom"/>
          </w:tcPr>
          <w:p>
            <w:pPr>
              <w:spacing w:after="0"/>
              <w:rPr>
                <w:sz w:val="1"/>
                <w:szCs w:val="1"/>
                <w:color w:val="auto"/>
              </w:rPr>
            </w:pPr>
          </w:p>
        </w:tc>
      </w:tr>
      <w:tr>
        <w:trPr>
          <w:trHeight w:val="84"/>
        </w:trPr>
        <w:tc>
          <w:tcPr>
            <w:tcW w:w="5080" w:type="dxa"/>
            <w:vAlign w:val="bottom"/>
            <w:tcBorders>
              <w:bottom w:val="single" w:sz="8" w:color="CCEEFF"/>
            </w:tcBorders>
          </w:tcPr>
          <w:p>
            <w:pPr>
              <w:spacing w:after="0"/>
              <w:rPr>
                <w:sz w:val="7"/>
                <w:szCs w:val="7"/>
                <w:color w:val="auto"/>
              </w:rPr>
            </w:pPr>
          </w:p>
        </w:tc>
        <w:tc>
          <w:tcPr>
            <w:tcW w:w="144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340" w:type="dxa"/>
            <w:vAlign w:val="bottom"/>
            <w:tcBorders>
              <w:bottom w:val="single" w:sz="8" w:color="auto"/>
            </w:tcBorders>
          </w:tcPr>
          <w:p>
            <w:pPr>
              <w:spacing w:after="0"/>
              <w:rPr>
                <w:sz w:val="7"/>
                <w:szCs w:val="7"/>
                <w:color w:val="auto"/>
              </w:rPr>
            </w:pPr>
          </w:p>
        </w:tc>
        <w:tc>
          <w:tcPr>
            <w:tcW w:w="80" w:type="dxa"/>
            <w:vAlign w:val="bottom"/>
            <w:tcBorders>
              <w:bottom w:val="single" w:sz="8" w:color="CCEEFF"/>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1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Three months ended September 30, 2024</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1,738,114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59,346</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34.14</w:t>
            </w:r>
          </w:p>
        </w:tc>
        <w:tc>
          <w:tcPr>
            <w:tcW w:w="0" w:type="dxa"/>
            <w:vAlign w:val="bottom"/>
          </w:tcPr>
          <w:p>
            <w:pPr>
              <w:spacing w:after="0"/>
              <w:rPr>
                <w:sz w:val="1"/>
                <w:szCs w:val="1"/>
                <w:color w:val="auto"/>
              </w:rPr>
            </w:pPr>
          </w:p>
        </w:tc>
      </w:tr>
      <w:tr>
        <w:trPr>
          <w:trHeight w:val="255"/>
        </w:trPr>
        <w:tc>
          <w:tcPr>
            <w:tcW w:w="5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Three months ended September 30, 2023</w:t>
            </w:r>
          </w:p>
        </w:tc>
        <w:tc>
          <w:tcPr>
            <w:tcW w:w="14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975,774</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28,636</w:t>
            </w:r>
          </w:p>
        </w:tc>
        <w:tc>
          <w:tcPr>
            <w:tcW w:w="80" w:type="dxa"/>
            <w:vAlign w:val="bottom"/>
            <w:tcBorders>
              <w:bottom w:val="single" w:sz="8" w:color="CCEEFF"/>
            </w:tcBorders>
          </w:tcPr>
          <w:p>
            <w:pPr>
              <w:spacing w:after="0"/>
              <w:rPr>
                <w:sz w:val="22"/>
                <w:szCs w:val="22"/>
                <w:color w:val="auto"/>
              </w:rPr>
            </w:pPr>
          </w:p>
        </w:tc>
        <w:tc>
          <w:tcPr>
            <w:tcW w:w="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7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29.35</w:t>
            </w:r>
          </w:p>
        </w:tc>
        <w:tc>
          <w:tcPr>
            <w:tcW w:w="0" w:type="dxa"/>
            <w:vAlign w:val="bottom"/>
          </w:tcPr>
          <w:p>
            <w:pPr>
              <w:spacing w:after="0"/>
              <w:rPr>
                <w:sz w:val="1"/>
                <w:szCs w:val="1"/>
                <w:color w:val="auto"/>
              </w:rPr>
            </w:pPr>
          </w:p>
        </w:tc>
      </w:tr>
      <w:tr>
        <w:trPr>
          <w:trHeight w:val="223"/>
        </w:trPr>
        <w:tc>
          <w:tcPr>
            <w:tcW w:w="5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Nine months ended September 30, 2024</w:t>
            </w: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6,012,285</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187,599</w:t>
            </w:r>
          </w:p>
        </w:tc>
        <w:tc>
          <w:tcPr>
            <w:tcW w:w="80" w:type="dxa"/>
            <w:vAlign w:val="bottom"/>
          </w:tcPr>
          <w:p>
            <w:pPr>
              <w:spacing w:after="0"/>
              <w:rPr>
                <w:sz w:val="19"/>
                <w:szCs w:val="19"/>
                <w:color w:val="auto"/>
              </w:rPr>
            </w:pPr>
          </w:p>
        </w:tc>
        <w:tc>
          <w:tcPr>
            <w:tcW w:w="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31.20</w:t>
            </w:r>
          </w:p>
        </w:tc>
        <w:tc>
          <w:tcPr>
            <w:tcW w:w="0" w:type="dxa"/>
            <w:vAlign w:val="bottom"/>
          </w:tcPr>
          <w:p>
            <w:pPr>
              <w:spacing w:after="0"/>
              <w:rPr>
                <w:sz w:val="1"/>
                <w:szCs w:val="1"/>
                <w:color w:val="auto"/>
              </w:rPr>
            </w:pPr>
          </w:p>
        </w:tc>
      </w:tr>
      <w:tr>
        <w:trPr>
          <w:trHeight w:val="223"/>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Nine months ended September 30, 2023</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3,001,619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93,483</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31.14</w:t>
            </w:r>
          </w:p>
        </w:tc>
        <w:tc>
          <w:tcPr>
            <w:tcW w:w="0" w:type="dxa"/>
            <w:vAlign w:val="bottom"/>
          </w:tcPr>
          <w:p>
            <w:pPr>
              <w:spacing w:after="0"/>
              <w:rPr>
                <w:sz w:val="1"/>
                <w:szCs w:val="1"/>
                <w:color w:val="auto"/>
              </w:rPr>
            </w:pPr>
          </w:p>
        </w:tc>
      </w:tr>
    </w:tbl>
    <w:p>
      <w:pPr>
        <w:spacing w:after="0" w:line="270" w:lineRule="exact"/>
        <w:rPr>
          <w:sz w:val="20"/>
          <w:szCs w:val="20"/>
          <w:color w:val="auto"/>
        </w:rPr>
      </w:pPr>
    </w:p>
    <w:p>
      <w:pPr>
        <w:jc w:val="both"/>
        <w:ind w:firstLine="393"/>
        <w:spacing w:after="0" w:line="281" w:lineRule="auto"/>
        <w:rPr>
          <w:sz w:val="20"/>
          <w:szCs w:val="20"/>
          <w:color w:val="auto"/>
        </w:rPr>
      </w:pPr>
      <w:r>
        <w:rPr>
          <w:rFonts w:ascii="Times New Roman" w:cs="Times New Roman" w:eastAsia="Times New Roman" w:hAnsi="Times New Roman"/>
          <w:sz w:val="17"/>
          <w:szCs w:val="17"/>
          <w:color w:val="auto"/>
        </w:rPr>
        <w:t>Repurchased shares have been recorded as treasury shares and will be held until the Company’s board of directors designates that these shares be retired or used for other purposes.</w:t>
      </w:r>
    </w:p>
    <w:p>
      <w:pPr>
        <w:spacing w:after="0" w:line="172" w:lineRule="exact"/>
        <w:rPr>
          <w:sz w:val="20"/>
          <w:szCs w:val="20"/>
          <w:color w:val="auto"/>
        </w:rPr>
      </w:pPr>
    </w:p>
    <w:p>
      <w:pPr>
        <w:jc w:val="both"/>
        <w:ind w:firstLine="393"/>
        <w:spacing w:after="0" w:line="261" w:lineRule="auto"/>
        <w:rPr>
          <w:sz w:val="20"/>
          <w:szCs w:val="20"/>
          <w:color w:val="auto"/>
        </w:rPr>
      </w:pPr>
      <w:r>
        <w:rPr>
          <w:rFonts w:ascii="Times New Roman" w:cs="Times New Roman" w:eastAsia="Times New Roman" w:hAnsi="Times New Roman"/>
          <w:sz w:val="17"/>
          <w:szCs w:val="17"/>
          <w:color w:val="auto"/>
        </w:rPr>
        <w:t>Pursuant to the Inflation Reduction Act, effective January 1, 2023, the Company is required to pay a 1% excise tax on the fair market value of each share of common stock repurchased, net of stock issuances. The Company recognized excise tax of $412 and $1,030, respectively, on repurchase of common stock as a part of cost of such repurchases for the three and nine months ended September 30, 2024.</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20. Employee Benefit Plans</w:t>
      </w:r>
    </w:p>
    <w:p>
      <w:pPr>
        <w:spacing w:after="0" w:line="239" w:lineRule="exact"/>
        <w:rPr>
          <w:sz w:val="20"/>
          <w:szCs w:val="20"/>
          <w:color w:val="auto"/>
        </w:rPr>
      </w:pPr>
    </w:p>
    <w:p>
      <w:pPr>
        <w:jc w:val="both"/>
        <w:ind w:firstLine="393"/>
        <w:spacing w:after="0" w:line="245" w:lineRule="auto"/>
        <w:rPr>
          <w:sz w:val="20"/>
          <w:szCs w:val="20"/>
          <w:color w:val="auto"/>
        </w:rPr>
      </w:pPr>
      <w:r>
        <w:rPr>
          <w:rFonts w:ascii="Times New Roman" w:cs="Times New Roman" w:eastAsia="Times New Roman" w:hAnsi="Times New Roman"/>
          <w:sz w:val="17"/>
          <w:szCs w:val="17"/>
          <w:color w:val="auto"/>
        </w:rPr>
        <w:t>The Company’s Gratuity Plan in India (the “India Plan”) provides for a lump sum payment to vested employees on retirement or upon termination of employment in an amount based on the respective employee’s salary and years of employment with the Company. In addition, the Company’s subsidiary operating in the Philippines conforms to the minimum regulatory benefit, which provide for lump sum payment to vested employees on retirement from employment in an amount based on the respective employee’s salary and years of employment with the Company (the “Philippines Plan”). Liabilities with regard to the India Plan and the Philippines Plan are determined by actuarial valuation using the projected unit credit method. Current service costs for these plans are accrued in the year to which they relate. Actuarial gains or losses or prior service costs, if any, resulting from amendments to the plans are recognized and amortized over the remaining period of service of the employees.</w:t>
      </w:r>
    </w:p>
    <w:p>
      <w:pPr>
        <w:spacing w:after="0" w:line="203" w:lineRule="exact"/>
        <w:rPr>
          <w:sz w:val="20"/>
          <w:szCs w:val="20"/>
          <w:color w:val="auto"/>
        </w:rPr>
      </w:pPr>
    </w:p>
    <w:p>
      <w:pPr>
        <w:jc w:val="both"/>
        <w:ind w:firstLine="393"/>
        <w:spacing w:after="0" w:line="254" w:lineRule="auto"/>
        <w:rPr>
          <w:sz w:val="20"/>
          <w:szCs w:val="20"/>
          <w:color w:val="auto"/>
        </w:rPr>
      </w:pPr>
      <w:r>
        <w:rPr>
          <w:rFonts w:ascii="Times New Roman" w:cs="Times New Roman" w:eastAsia="Times New Roman" w:hAnsi="Times New Roman"/>
          <w:sz w:val="17"/>
          <w:szCs w:val="17"/>
          <w:color w:val="auto"/>
        </w:rPr>
        <w:t>The India Plan is partially funded whereas the Philippines Plan is unfunded. The Company makes annual contributions to the India Plan established with insurance companies. Fund managers manage these funds and calculate the annual contribution required to be made by the Company and manage the India Plan, including any required payouts. These funds are managed on a cash accumulation basis, inclusive of interest which is declared periodically. The Company expects to earn a return of approximately 7.2% per annum on the India Plan for the year ending on December 31, 2024.</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4" w:lineRule="exact"/>
        <w:rPr>
          <w:sz w:val="20"/>
          <w:szCs w:val="20"/>
          <w:color w:val="auto"/>
        </w:rPr>
      </w:pPr>
    </w:p>
    <w:tbl>
      <w:tblPr>
        <w:tblLayout w:type="fixed"/>
        <w:tblInd w:w="1020" w:type="dxa"/>
        <w:tblCellMar>
          <w:top w:w="0" w:type="dxa"/>
          <w:left w:w="0" w:type="dxa"/>
          <w:bottom w:w="0" w:type="dxa"/>
          <w:right w:w="0" w:type="dxa"/>
        </w:tblCellMar>
      </w:tblPr>
      <w:tr>
        <w:trPr>
          <w:trHeight w:val="230"/>
        </w:trPr>
        <w:tc>
          <w:tcPr>
            <w:tcW w:w="7620" w:type="dxa"/>
            <w:vAlign w:val="bottom"/>
          </w:tcPr>
          <w:p>
            <w:pPr>
              <w:jc w:val="center"/>
              <w:ind w:left="1493"/>
              <w:spacing w:after="0"/>
              <w:rPr>
                <w:sz w:val="20"/>
                <w:szCs w:val="20"/>
                <w:color w:val="auto"/>
              </w:rPr>
            </w:pPr>
            <w:r>
              <w:rPr>
                <w:rFonts w:ascii="Times New Roman" w:cs="Times New Roman" w:eastAsia="Times New Roman" w:hAnsi="Times New Roman"/>
                <w:sz w:val="17"/>
                <w:szCs w:val="17"/>
                <w:b w:val="1"/>
                <w:bCs w:val="1"/>
                <w:color w:val="auto"/>
              </w:rPr>
              <w:t>EXLSERVICE HOLDINGS, INC.</w:t>
            </w:r>
          </w:p>
        </w:tc>
        <w:tc>
          <w:tcPr>
            <w:tcW w:w="68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616"/>
        </w:trPr>
        <w:tc>
          <w:tcPr>
            <w:tcW w:w="8300" w:type="dxa"/>
            <w:vAlign w:val="bottom"/>
            <w:gridSpan w:val="2"/>
          </w:tcPr>
          <w:p>
            <w:pPr>
              <w:jc w:val="center"/>
              <w:ind w:left="813"/>
              <w:spacing w:after="0"/>
              <w:rPr>
                <w:sz w:val="20"/>
                <w:szCs w:val="20"/>
                <w:color w:val="auto"/>
              </w:rPr>
            </w:pPr>
            <w:r>
              <w:rPr>
                <w:rFonts w:ascii="Times New Roman" w:cs="Times New Roman" w:eastAsia="Times New Roman" w:hAnsi="Times New Roman"/>
                <w:sz w:val="17"/>
                <w:szCs w:val="17"/>
                <w:b w:val="1"/>
                <w:bCs w:val="1"/>
                <w:color w:val="auto"/>
              </w:rPr>
              <w:t>NOTES TO UNAUDITED CONSOLIDATED FINANCIAL STATEMENTS—(continued)</w:t>
            </w:r>
          </w:p>
        </w:tc>
        <w:tc>
          <w:tcPr>
            <w:tcW w:w="920" w:type="dxa"/>
            <w:vAlign w:val="bottom"/>
          </w:tcPr>
          <w:p>
            <w:pPr>
              <w:spacing w:after="0"/>
              <w:rPr>
                <w:sz w:val="24"/>
                <w:szCs w:val="24"/>
                <w:color w:val="auto"/>
              </w:rPr>
            </w:pPr>
          </w:p>
        </w:tc>
      </w:tr>
      <w:tr>
        <w:trPr>
          <w:trHeight w:val="210"/>
        </w:trPr>
        <w:tc>
          <w:tcPr>
            <w:tcW w:w="7620" w:type="dxa"/>
            <w:vAlign w:val="bottom"/>
          </w:tcPr>
          <w:p>
            <w:pPr>
              <w:jc w:val="center"/>
              <w:ind w:left="1513"/>
              <w:spacing w:after="0"/>
              <w:rPr>
                <w:sz w:val="20"/>
                <w:szCs w:val="20"/>
                <w:color w:val="auto"/>
              </w:rPr>
            </w:pPr>
            <w:r>
              <w:rPr>
                <w:rFonts w:ascii="Times New Roman" w:cs="Times New Roman" w:eastAsia="Times New Roman" w:hAnsi="Times New Roman"/>
                <w:sz w:val="17"/>
                <w:szCs w:val="17"/>
                <w:b w:val="1"/>
                <w:bCs w:val="1"/>
                <w:color w:val="auto"/>
              </w:rPr>
              <w:t>September 30, 2024</w:t>
            </w:r>
          </w:p>
        </w:tc>
        <w:tc>
          <w:tcPr>
            <w:tcW w:w="6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30"/>
        </w:trPr>
        <w:tc>
          <w:tcPr>
            <w:tcW w:w="7620" w:type="dxa"/>
            <w:vAlign w:val="bottom"/>
          </w:tcPr>
          <w:p>
            <w:pPr>
              <w:jc w:val="center"/>
              <w:ind w:left="1493"/>
              <w:spacing w:after="0"/>
              <w:rPr>
                <w:sz w:val="20"/>
                <w:szCs w:val="20"/>
                <w:color w:val="auto"/>
              </w:rPr>
            </w:pPr>
            <w:r>
              <w:rPr>
                <w:rFonts w:ascii="Times New Roman" w:cs="Times New Roman" w:eastAsia="Times New Roman" w:hAnsi="Times New Roman"/>
                <w:sz w:val="17"/>
                <w:szCs w:val="17"/>
                <w:b w:val="1"/>
                <w:bCs w:val="1"/>
                <w:color w:val="auto"/>
              </w:rPr>
              <w:t>(In thousands, except per share amount and share count)</w:t>
            </w:r>
          </w:p>
        </w:tc>
        <w:tc>
          <w:tcPr>
            <w:tcW w:w="68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577"/>
        </w:trPr>
        <w:tc>
          <w:tcPr>
            <w:tcW w:w="76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Change in Plan Assets</w:t>
            </w:r>
          </w:p>
        </w:tc>
        <w:tc>
          <w:tcPr>
            <w:tcW w:w="6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23"/>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Plan assets as of January 1, 2024</w:t>
            </w:r>
          </w:p>
        </w:tc>
        <w:tc>
          <w:tcPr>
            <w:tcW w:w="680" w:type="dxa"/>
            <w:vAlign w:val="bottom"/>
            <w:shd w:val="clear" w:color="auto" w:fill="CCEEFF"/>
          </w:tcPr>
          <w:p>
            <w:pPr>
              <w:jc w:val="right"/>
              <w:ind w:right="493"/>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17,134</w:t>
            </w:r>
          </w:p>
        </w:tc>
      </w:tr>
      <w:tr>
        <w:trPr>
          <w:trHeight w:val="223"/>
        </w:trPr>
        <w:tc>
          <w:tcPr>
            <w:tcW w:w="76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Actual return</w:t>
            </w:r>
          </w:p>
        </w:tc>
        <w:tc>
          <w:tcPr>
            <w:tcW w:w="6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1,052</w:t>
            </w:r>
          </w:p>
        </w:tc>
      </w:tr>
      <w:tr>
        <w:trPr>
          <w:trHeight w:val="223"/>
        </w:trPr>
        <w:tc>
          <w:tcPr>
            <w:tcW w:w="7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Employer contribution</w:t>
            </w:r>
          </w:p>
        </w:tc>
        <w:tc>
          <w:tcPr>
            <w:tcW w:w="6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3,366</w:t>
            </w:r>
          </w:p>
        </w:tc>
      </w:tr>
      <w:tr>
        <w:trPr>
          <w:trHeight w:val="223"/>
        </w:trPr>
        <w:tc>
          <w:tcPr>
            <w:tcW w:w="76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Benefits paid</w:t>
            </w:r>
          </w:p>
        </w:tc>
        <w:tc>
          <w:tcPr>
            <w:tcW w:w="6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(1,044)</w:t>
            </w:r>
          </w:p>
        </w:tc>
      </w:tr>
      <w:tr>
        <w:trPr>
          <w:trHeight w:val="223"/>
        </w:trPr>
        <w:tc>
          <w:tcPr>
            <w:tcW w:w="7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Currency translation adjustments</w:t>
            </w:r>
          </w:p>
        </w:tc>
        <w:tc>
          <w:tcPr>
            <w:tcW w:w="6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w:t>
            </w:r>
          </w:p>
        </w:tc>
      </w:tr>
      <w:tr>
        <w:trPr>
          <w:trHeight w:val="216"/>
        </w:trPr>
        <w:tc>
          <w:tcPr>
            <w:tcW w:w="7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Plan assets as of September 30, 2024</w:t>
            </w:r>
          </w:p>
        </w:tc>
        <w:tc>
          <w:tcPr>
            <w:tcW w:w="68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20,374</w:t>
            </w:r>
          </w:p>
        </w:tc>
      </w:tr>
      <w:tr>
        <w:trPr>
          <w:trHeight w:val="20"/>
        </w:trPr>
        <w:tc>
          <w:tcPr>
            <w:tcW w:w="76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right="340" w:firstLine="393"/>
        <w:spacing w:after="0" w:line="297" w:lineRule="auto"/>
        <w:rPr>
          <w:sz w:val="20"/>
          <w:szCs w:val="20"/>
          <w:color w:val="auto"/>
        </w:rPr>
      </w:pPr>
      <w:r>
        <w:rPr>
          <w:rFonts w:ascii="Times New Roman" w:cs="Times New Roman" w:eastAsia="Times New Roman" w:hAnsi="Times New Roman"/>
          <w:sz w:val="17"/>
          <w:szCs w:val="17"/>
          <w:color w:val="auto"/>
        </w:rPr>
        <w:t>Components of net periodic benefit costs recognized in unaudited consolidated statements of income and actuarial (gain)/loss reclassified from AOCI, were as follows:</w:t>
      </w:r>
    </w:p>
    <w:p>
      <w:pPr>
        <w:spacing w:after="0" w:line="61" w:lineRule="exact"/>
        <w:rPr>
          <w:sz w:val="20"/>
          <w:szCs w:val="20"/>
          <w:color w:val="auto"/>
        </w:rPr>
      </w:pPr>
    </w:p>
    <w:tbl>
      <w:tblPr>
        <w:tblLayout w:type="fixed"/>
        <w:tblInd w:w="160" w:type="dxa"/>
        <w:tblCellMar>
          <w:top w:w="0" w:type="dxa"/>
          <w:left w:w="0" w:type="dxa"/>
          <w:bottom w:w="0" w:type="dxa"/>
          <w:right w:w="0" w:type="dxa"/>
        </w:tblCellMar>
      </w:tblPr>
      <w:tr>
        <w:trPr>
          <w:trHeight w:val="185"/>
        </w:trPr>
        <w:tc>
          <w:tcPr>
            <w:tcW w:w="5240" w:type="dxa"/>
            <w:vAlign w:val="bottom"/>
          </w:tcPr>
          <w:p>
            <w:pPr>
              <w:spacing w:after="0"/>
              <w:rPr>
                <w:sz w:val="16"/>
                <w:szCs w:val="16"/>
                <w:color w:val="auto"/>
              </w:rPr>
            </w:pPr>
          </w:p>
        </w:tc>
        <w:tc>
          <w:tcPr>
            <w:tcW w:w="2940" w:type="dxa"/>
            <w:vAlign w:val="bottom"/>
            <w:gridSpan w:val="6"/>
          </w:tcPr>
          <w:p>
            <w:pPr>
              <w:ind w:left="3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20" w:type="dxa"/>
            <w:vAlign w:val="bottom"/>
          </w:tcPr>
          <w:p>
            <w:pPr>
              <w:spacing w:after="0"/>
              <w:rPr>
                <w:sz w:val="16"/>
                <w:szCs w:val="16"/>
                <w:color w:val="auto"/>
              </w:rPr>
            </w:pPr>
          </w:p>
        </w:tc>
        <w:tc>
          <w:tcPr>
            <w:tcW w:w="2540" w:type="dxa"/>
            <w:vAlign w:val="bottom"/>
            <w:gridSpan w:val="4"/>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4"/>
        </w:trPr>
        <w:tc>
          <w:tcPr>
            <w:tcW w:w="524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84"/>
        </w:trPr>
        <w:tc>
          <w:tcPr>
            <w:tcW w:w="524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2"/>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Service cost</w:t>
            </w:r>
          </w:p>
        </w:tc>
        <w:tc>
          <w:tcPr>
            <w:tcW w:w="880" w:type="dxa"/>
            <w:vAlign w:val="bottom"/>
            <w:shd w:val="clear" w:color="auto" w:fill="CCEEFF"/>
          </w:tcPr>
          <w:p>
            <w:pPr>
              <w:jc w:val="right"/>
              <w:ind w:right="698"/>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3,325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2,856</w:t>
            </w:r>
          </w:p>
        </w:tc>
      </w:tr>
      <w:tr>
        <w:trPr>
          <w:trHeight w:val="223"/>
        </w:trPr>
        <w:tc>
          <w:tcPr>
            <w:tcW w:w="5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Interest cost</w:t>
            </w:r>
          </w:p>
        </w:tc>
        <w:tc>
          <w:tcPr>
            <w:tcW w:w="8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1,160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1,180</w:t>
            </w:r>
          </w:p>
        </w:tc>
      </w:tr>
      <w:tr>
        <w:trPr>
          <w:trHeight w:val="223"/>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Expected return on plan assets</w:t>
            </w:r>
          </w:p>
        </w:tc>
        <w:tc>
          <w:tcPr>
            <w:tcW w:w="8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(788)</w:t>
            </w:r>
          </w:p>
        </w:tc>
      </w:tr>
      <w:tr>
        <w:trPr>
          <w:trHeight w:val="223"/>
        </w:trPr>
        <w:tc>
          <w:tcPr>
            <w:tcW w:w="5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Amortization of actuarial (gain)/loss, gross of tax</w:t>
            </w:r>
          </w:p>
        </w:tc>
        <w:tc>
          <w:tcPr>
            <w:tcW w:w="8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(70)</w:t>
            </w:r>
          </w:p>
        </w:tc>
      </w:tr>
      <w:tr>
        <w:trPr>
          <w:trHeight w:val="241"/>
        </w:trPr>
        <w:tc>
          <w:tcPr>
            <w:tcW w:w="5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gratuity cost</w:t>
            </w:r>
          </w:p>
        </w:tc>
        <w:tc>
          <w:tcPr>
            <w:tcW w:w="880" w:type="dxa"/>
            <w:vAlign w:val="bottom"/>
            <w:tcBorders>
              <w:bottom w:val="single" w:sz="8" w:color="auto"/>
            </w:tcBorders>
            <w:shd w:val="clear" w:color="auto" w:fill="CCEEFF"/>
          </w:tcPr>
          <w:p>
            <w:pPr>
              <w:jc w:val="right"/>
              <w:ind w:right="698"/>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1,041</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1,056</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3,099</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3,178</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51"/>
        </w:trPr>
        <w:tc>
          <w:tcPr>
            <w:tcW w:w="5240" w:type="dxa"/>
            <w:vAlign w:val="bottom"/>
          </w:tcPr>
          <w:p>
            <w:pPr>
              <w:spacing w:after="0"/>
              <w:rPr>
                <w:sz w:val="4"/>
                <w:szCs w:val="4"/>
                <w:color w:val="auto"/>
              </w:rPr>
            </w:pPr>
          </w:p>
        </w:tc>
        <w:tc>
          <w:tcPr>
            <w:tcW w:w="88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20" w:type="dxa"/>
            <w:vAlign w:val="bottom"/>
          </w:tcPr>
          <w:p>
            <w:pPr>
              <w:spacing w:after="0"/>
              <w:rPr>
                <w:sz w:val="4"/>
                <w:szCs w:val="4"/>
                <w:color w:val="auto"/>
              </w:rPr>
            </w:pPr>
          </w:p>
        </w:tc>
      </w:tr>
      <w:tr>
        <w:trPr>
          <w:trHeight w:val="223"/>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Amortization of actuarial (gain)/loss, gross of tax</w:t>
            </w:r>
          </w:p>
        </w:tc>
        <w:tc>
          <w:tcPr>
            <w:tcW w:w="880" w:type="dxa"/>
            <w:vAlign w:val="bottom"/>
            <w:shd w:val="clear" w:color="auto" w:fill="CCEEFF"/>
          </w:tcPr>
          <w:p>
            <w:pPr>
              <w:jc w:val="right"/>
              <w:ind w:right="698"/>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w:t>
            </w:r>
          </w:p>
        </w:tc>
      </w:tr>
      <w:tr>
        <w:trPr>
          <w:trHeight w:val="223"/>
        </w:trPr>
        <w:tc>
          <w:tcPr>
            <w:tcW w:w="5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Income tax effects on above</w:t>
            </w:r>
          </w:p>
        </w:tc>
        <w:tc>
          <w:tcPr>
            <w:tcW w:w="8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(56)</w:t>
            </w:r>
          </w:p>
        </w:tc>
      </w:tr>
      <w:tr>
        <w:trPr>
          <w:trHeight w:val="216"/>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Amortization of actuarial (gain)/loss, net of tax</w:t>
            </w:r>
          </w:p>
        </w:tc>
        <w:tc>
          <w:tcPr>
            <w:tcW w:w="880" w:type="dxa"/>
            <w:vAlign w:val="bottom"/>
            <w:tcBorders>
              <w:bottom w:val="single" w:sz="8" w:color="auto"/>
            </w:tcBorders>
            <w:shd w:val="clear" w:color="auto" w:fill="CCEEFF"/>
          </w:tcPr>
          <w:p>
            <w:pPr>
              <w:jc w:val="right"/>
              <w:ind w:right="698"/>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(458)</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w:t>
            </w:r>
          </w:p>
        </w:tc>
      </w:tr>
    </w:tbl>
    <w:p>
      <w:pPr>
        <w:spacing w:after="0" w:line="60" w:lineRule="exact"/>
        <w:rPr>
          <w:sz w:val="20"/>
          <w:szCs w:val="20"/>
          <w:color w:val="auto"/>
        </w:rPr>
      </w:pPr>
    </w:p>
    <w:p>
      <w:pPr>
        <w:jc w:val="both"/>
        <w:ind w:firstLine="472"/>
        <w:spacing w:after="0" w:line="253" w:lineRule="auto"/>
        <w:rPr>
          <w:sz w:val="20"/>
          <w:szCs w:val="20"/>
          <w:color w:val="auto"/>
        </w:rPr>
      </w:pPr>
      <w:r>
        <w:rPr>
          <w:rFonts w:ascii="Times New Roman" w:cs="Times New Roman" w:eastAsia="Times New Roman" w:hAnsi="Times New Roman"/>
          <w:sz w:val="17"/>
          <w:szCs w:val="17"/>
          <w:color w:val="auto"/>
        </w:rPr>
        <w:t>The Company maintains several 401(k) plans (the “401(k) Plans”) under Section 401(k) of the Internal Revenue Code of 1986, as amended (the “Code”), covering all eligible employees, as defined in the Code as a defined contribution plan. The Company may make discretionary contributions of up to a maximum of 3.0% of employee compensation within certain limits.</w:t>
      </w:r>
    </w:p>
    <w:p>
      <w:pPr>
        <w:spacing w:after="0" w:line="20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The Company’s contributions to various defined contribution plans was as follows:</w:t>
      </w:r>
    </w:p>
    <w:p>
      <w:pPr>
        <w:spacing w:after="0" w:line="48" w:lineRule="exact"/>
        <w:rPr>
          <w:sz w:val="20"/>
          <w:szCs w:val="20"/>
          <w:color w:val="auto"/>
        </w:rPr>
      </w:pPr>
    </w:p>
    <w:tbl>
      <w:tblPr>
        <w:tblLayout w:type="fixed"/>
        <w:tblInd w:w="400" w:type="dxa"/>
        <w:tblCellMar>
          <w:top w:w="0" w:type="dxa"/>
          <w:left w:w="0" w:type="dxa"/>
          <w:bottom w:w="0" w:type="dxa"/>
          <w:right w:w="0" w:type="dxa"/>
        </w:tblCellMar>
      </w:tblPr>
      <w:tr>
        <w:trPr>
          <w:trHeight w:val="185"/>
        </w:trPr>
        <w:tc>
          <w:tcPr>
            <w:tcW w:w="5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6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40" w:type="dxa"/>
            <w:vAlign w:val="bottom"/>
          </w:tcPr>
          <w:p>
            <w:pPr>
              <w:spacing w:after="0"/>
              <w:rPr>
                <w:sz w:val="16"/>
                <w:szCs w:val="16"/>
                <w:color w:val="auto"/>
              </w:rPr>
            </w:pPr>
          </w:p>
        </w:tc>
        <w:tc>
          <w:tcPr>
            <w:tcW w:w="2240" w:type="dxa"/>
            <w:vAlign w:val="bottom"/>
            <w:gridSpan w:val="4"/>
          </w:tcPr>
          <w:p>
            <w:pPr>
              <w:jc w:val="right"/>
              <w:ind w:right="78"/>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4"/>
        </w:trPr>
        <w:tc>
          <w:tcPr>
            <w:tcW w:w="54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84"/>
        </w:trPr>
        <w:tc>
          <w:tcPr>
            <w:tcW w:w="54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3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3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2"/>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Contribution to the 401(k) Plans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4,991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4,804</w:t>
            </w:r>
          </w:p>
        </w:tc>
      </w:tr>
      <w:tr>
        <w:trPr>
          <w:trHeight w:val="170"/>
        </w:trPr>
        <w:tc>
          <w:tcPr>
            <w:tcW w:w="5480" w:type="dxa"/>
            <w:vAlign w:val="bottom"/>
          </w:tcPr>
          <w:p>
            <w:pPr>
              <w:ind w:left="20"/>
              <w:spacing w:after="0" w:line="171" w:lineRule="exact"/>
              <w:rPr>
                <w:sz w:val="20"/>
                <w:szCs w:val="20"/>
                <w:color w:val="auto"/>
              </w:rPr>
            </w:pPr>
            <w:r>
              <w:rPr>
                <w:rFonts w:ascii="Times New Roman" w:cs="Times New Roman" w:eastAsia="Times New Roman" w:hAnsi="Times New Roman"/>
                <w:sz w:val="17"/>
                <w:szCs w:val="17"/>
                <w:color w:val="auto"/>
              </w:rPr>
              <w:t>Contributions to the defined contribution plans on behalf of employees in</w:t>
            </w: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236"/>
        </w:trPr>
        <w:tc>
          <w:tcPr>
            <w:tcW w:w="5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foreign subsidiaries of the Company</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7,112</w:t>
            </w:r>
          </w:p>
        </w:tc>
        <w:tc>
          <w:tcPr>
            <w:tcW w:w="100" w:type="dxa"/>
            <w:vAlign w:val="bottom"/>
          </w:tcPr>
          <w:p>
            <w:pPr>
              <w:spacing w:after="0"/>
              <w:rPr>
                <w:sz w:val="20"/>
                <w:szCs w:val="20"/>
                <w:color w:val="auto"/>
              </w:rPr>
            </w:pPr>
          </w:p>
        </w:tc>
        <w:tc>
          <w:tcPr>
            <w:tcW w:w="28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5,841</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17"/>
                <w:szCs w:val="17"/>
                <w:color w:val="auto"/>
              </w:rPr>
              <w:t>20,752</w:t>
            </w:r>
          </w:p>
        </w:tc>
        <w:tc>
          <w:tcPr>
            <w:tcW w:w="100" w:type="dxa"/>
            <w:vAlign w:val="bottom"/>
          </w:tcPr>
          <w:p>
            <w:pPr>
              <w:spacing w:after="0"/>
              <w:rPr>
                <w:sz w:val="20"/>
                <w:szCs w:val="20"/>
                <w:color w:val="auto"/>
              </w:rPr>
            </w:pPr>
          </w:p>
        </w:tc>
        <w:tc>
          <w:tcPr>
            <w:tcW w:w="28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16,837</w:t>
            </w:r>
          </w:p>
        </w:tc>
      </w:tr>
    </w:tbl>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21. Leases</w:t>
      </w:r>
    </w:p>
    <w:p>
      <w:pPr>
        <w:spacing w:after="0" w:line="252" w:lineRule="exact"/>
        <w:rPr>
          <w:sz w:val="20"/>
          <w:szCs w:val="20"/>
          <w:color w:val="auto"/>
        </w:rPr>
      </w:pPr>
    </w:p>
    <w:p>
      <w:pPr>
        <w:jc w:val="both"/>
        <w:ind w:firstLine="393"/>
        <w:spacing w:after="0" w:line="269" w:lineRule="auto"/>
        <w:rPr>
          <w:sz w:val="20"/>
          <w:szCs w:val="20"/>
          <w:color w:val="auto"/>
        </w:rPr>
      </w:pPr>
      <w:r>
        <w:rPr>
          <w:rFonts w:ascii="Times New Roman" w:cs="Times New Roman" w:eastAsia="Times New Roman" w:hAnsi="Times New Roman"/>
          <w:sz w:val="17"/>
          <w:szCs w:val="17"/>
          <w:color w:val="auto"/>
        </w:rPr>
        <w:t>The Company conducts its operations using facilities leased under operating lease agreements that expire at various dates. The Company finances its use of certain motor vehicles and other equipment under various lease arrangements provided by financial institutions. The lease agreements do not contain any covenants to impose any restrictions except for market-standard practice for similar lease arrangements.</w:t>
      </w:r>
    </w:p>
    <w:p>
      <w:pPr>
        <w:spacing w:after="0" w:line="167" w:lineRule="exact"/>
        <w:rPr>
          <w:sz w:val="20"/>
          <w:szCs w:val="20"/>
          <w:color w:val="auto"/>
        </w:rPr>
      </w:pPr>
    </w:p>
    <w:p>
      <w:pPr>
        <w:jc w:val="both"/>
        <w:ind w:firstLine="393"/>
        <w:spacing w:after="0" w:line="283" w:lineRule="auto"/>
        <w:rPr>
          <w:sz w:val="20"/>
          <w:szCs w:val="20"/>
          <w:color w:val="auto"/>
        </w:rPr>
      </w:pPr>
      <w:r>
        <w:rPr>
          <w:rFonts w:ascii="Times New Roman" w:cs="Times New Roman" w:eastAsia="Times New Roman" w:hAnsi="Times New Roman"/>
          <w:sz w:val="17"/>
          <w:szCs w:val="17"/>
          <w:color w:val="auto"/>
        </w:rPr>
        <w:t xml:space="preserve">The Company had performed an evaluation of its contracts with suppliers in accordance with ASC Topic 842, </w:t>
      </w:r>
      <w:r>
        <w:rPr>
          <w:rFonts w:ascii="Times New Roman" w:cs="Times New Roman" w:eastAsia="Times New Roman" w:hAnsi="Times New Roman"/>
          <w:sz w:val="17"/>
          <w:szCs w:val="17"/>
          <w:i w:val="1"/>
          <w:iCs w:val="1"/>
          <w:color w:val="auto"/>
        </w:rPr>
        <w:t>Leases</w:t>
      </w:r>
      <w:r>
        <w:rPr>
          <w:rFonts w:ascii="Times New Roman" w:cs="Times New Roman" w:eastAsia="Times New Roman" w:hAnsi="Times New Roman"/>
          <w:sz w:val="17"/>
          <w:szCs w:val="17"/>
          <w:color w:val="auto"/>
        </w:rPr>
        <w:t>, and had determined that, except for leases for office facilities, motor vehicles and other equipment as described above, none of the Company’s contracts contain a 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4"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EXLSERVICE HOLDINGS, INC.</w:t>
      </w:r>
    </w:p>
    <w:p>
      <w:pPr>
        <w:spacing w:after="0" w:line="200" w:lineRule="exact"/>
        <w:rPr>
          <w:sz w:val="20"/>
          <w:szCs w:val="20"/>
          <w:color w:val="auto"/>
        </w:rPr>
      </w:pPr>
    </w:p>
    <w:p>
      <w:pPr>
        <w:spacing w:after="0" w:line="240"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NOTES TO UNAUDITED CONSOLIDATED FINANCIAL STATEMENTS—(continued)</w:t>
      </w:r>
    </w:p>
    <w:p>
      <w:pPr>
        <w:spacing w:after="0" w:line="34"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September 30, 2024</w:t>
      </w:r>
    </w:p>
    <w:p>
      <w:pPr>
        <w:spacing w:after="0" w:line="14"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(In thousands, except per share amount and share count)</w:t>
      </w:r>
    </w:p>
    <w:p>
      <w:pPr>
        <w:spacing w:after="0" w:line="21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The components of lease cost, which are included in the Company’s unaudited consolidated statements of income,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3234055</wp:posOffset>
            </wp:positionH>
            <wp:positionV relativeFrom="paragraph">
              <wp:posOffset>187325</wp:posOffset>
            </wp:positionV>
            <wp:extent cx="396684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966845" cy="8255"/>
                    </a:xfrm>
                    <a:prstGeom prst="rect">
                      <a:avLst/>
                    </a:prstGeom>
                    <a:noFill/>
                  </pic:spPr>
                </pic:pic>
              </a:graphicData>
            </a:graphic>
          </wp:anchor>
        </w:drawing>
      </w:r>
    </w:p>
    <w:p>
      <w:pPr>
        <w:sectPr>
          <w:pgSz w:w="11900" w:h="16838" w:orient="portrait"/>
          <w:cols w:equalWidth="0" w:num="1">
            <w:col w:w="11340"/>
          </w:cols>
          <w:pgMar w:left="320" w:top="119" w:right="239" w:bottom="1440" w:gutter="0" w:footer="0" w:header="0"/>
        </w:sectPr>
      </w:pPr>
    </w:p>
    <w:p>
      <w:pPr>
        <w:spacing w:after="0" w:line="297" w:lineRule="exact"/>
        <w:rPr>
          <w:sz w:val="20"/>
          <w:szCs w:val="20"/>
          <w:color w:val="auto"/>
        </w:rPr>
      </w:pPr>
    </w:p>
    <w:p>
      <w:pPr>
        <w:jc w:val="center"/>
        <w:ind w:left="5180"/>
        <w:spacing w:after="0"/>
        <w:rPr>
          <w:sz w:val="20"/>
          <w:szCs w:val="20"/>
          <w:color w:val="auto"/>
        </w:rPr>
      </w:pPr>
      <w:r>
        <w:rPr>
          <w:rFonts w:ascii="Times New Roman" w:cs="Times New Roman" w:eastAsia="Times New Roman" w:hAnsi="Times New Roman"/>
          <w:sz w:val="13"/>
          <w:szCs w:val="13"/>
          <w:b w:val="1"/>
          <w:bCs w:val="1"/>
          <w:color w:val="auto"/>
        </w:rPr>
        <w:t>Three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302895</wp:posOffset>
            </wp:positionH>
            <wp:positionV relativeFrom="paragraph">
              <wp:posOffset>37465</wp:posOffset>
            </wp:positionV>
            <wp:extent cx="6898005" cy="1333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98005" cy="133350"/>
                    </a:xfrm>
                    <a:prstGeom prst="rect">
                      <a:avLst/>
                    </a:prstGeom>
                    <a:noFill/>
                  </pic:spPr>
                </pic:pic>
              </a:graphicData>
            </a:graphic>
          </wp:anchor>
        </w:drawing>
      </w:r>
    </w:p>
    <w:p>
      <w:pPr>
        <w:spacing w:after="0" w:line="40" w:lineRule="exact"/>
        <w:rPr>
          <w:sz w:val="20"/>
          <w:szCs w:val="20"/>
          <w:color w:val="auto"/>
        </w:rPr>
      </w:pPr>
    </w:p>
    <w:p>
      <w:pPr>
        <w:ind w:left="5720"/>
        <w:spacing w:after="0"/>
        <w:tabs>
          <w:tab w:leader="none" w:pos="7320" w:val="left"/>
        </w:tabs>
        <w:rPr>
          <w:sz w:val="20"/>
          <w:szCs w:val="20"/>
          <w:color w:val="auto"/>
        </w:rPr>
      </w:pP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2023</w:t>
      </w:r>
    </w:p>
    <w:p>
      <w:pPr>
        <w:spacing w:after="0" w:line="20" w:lineRule="exact"/>
        <w:rPr>
          <w:sz w:val="20"/>
          <w:szCs w:val="20"/>
          <w:color w:val="auto"/>
        </w:rPr>
      </w:pPr>
      <w:r>
        <w:rPr>
          <w:sz w:val="20"/>
          <w:szCs w:val="20"/>
          <w:color w:val="auto"/>
        </w:rPr>
        <w:br w:type="column"/>
      </w:r>
    </w:p>
    <w:p>
      <w:pPr>
        <w:spacing w:after="0" w:line="277"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3"/>
          <w:szCs w:val="13"/>
          <w:b w:val="1"/>
          <w:bCs w:val="1"/>
          <w:color w:val="auto"/>
        </w:rPr>
        <w:t>Nine months ended September 30,</w:t>
      </w:r>
    </w:p>
    <w:p>
      <w:pPr>
        <w:spacing w:after="0" w:line="60" w:lineRule="exact"/>
        <w:rPr>
          <w:sz w:val="20"/>
          <w:szCs w:val="20"/>
          <w:color w:val="auto"/>
        </w:rPr>
      </w:pPr>
    </w:p>
    <w:p>
      <w:pPr>
        <w:ind w:left="80"/>
        <w:spacing w:after="0"/>
        <w:tabs>
          <w:tab w:leader="none" w:pos="1660" w:val="left"/>
        </w:tabs>
        <w:rPr>
          <w:sz w:val="20"/>
          <w:szCs w:val="20"/>
          <w:color w:val="auto"/>
        </w:rPr>
      </w:pP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2023</w:t>
      </w:r>
    </w:p>
    <w:p>
      <w:pPr>
        <w:spacing w:after="0" w:line="27" w:lineRule="exact"/>
        <w:rPr>
          <w:sz w:val="20"/>
          <w:szCs w:val="20"/>
          <w:color w:val="auto"/>
        </w:rPr>
      </w:pPr>
    </w:p>
    <w:p>
      <w:pPr>
        <w:sectPr>
          <w:pgSz w:w="11900" w:h="16838" w:orient="portrait"/>
          <w:cols w:equalWidth="0" w:num="2">
            <w:col w:w="8160" w:space="720"/>
            <w:col w:w="2460"/>
          </w:cols>
          <w:pgMar w:left="320" w:top="119" w:right="239" w:bottom="1440" w:gutter="0" w:footer="0" w:header="0"/>
          <w:type w:val="continuous"/>
        </w:sectPr>
      </w:pPr>
    </w:p>
    <w:tbl>
      <w:tblPr>
        <w:tblLayout w:type="fixed"/>
        <w:tblInd w:w="0" w:type="dxa"/>
        <w:tblCellMar>
          <w:top w:w="0" w:type="dxa"/>
          <w:left w:w="0" w:type="dxa"/>
          <w:bottom w:w="0" w:type="dxa"/>
          <w:right w:w="0" w:type="dxa"/>
        </w:tblCellMar>
      </w:tblPr>
      <w:tr>
        <w:trPr>
          <w:trHeight w:val="210"/>
        </w:trPr>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Finance lease:</w:t>
            </w:r>
          </w:p>
        </w:tc>
        <w:tc>
          <w:tcPr>
            <w:tcW w:w="8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Depreciation on underlying ROU assets</w:t>
            </w:r>
          </w:p>
        </w:tc>
        <w:tc>
          <w:tcPr>
            <w:tcW w:w="820" w:type="dxa"/>
            <w:vAlign w:val="bottom"/>
            <w:shd w:val="clear" w:color="auto" w:fill="CCEEFF"/>
          </w:tcPr>
          <w:p>
            <w:pPr>
              <w:jc w:val="right"/>
              <w:ind w:right="661"/>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111</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521"/>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780" w:type="dxa"/>
            <w:vAlign w:val="bottom"/>
            <w:gridSpan w:val="2"/>
            <w:shd w:val="clear" w:color="auto" w:fill="CCEEFF"/>
          </w:tcPr>
          <w:p>
            <w:pPr>
              <w:jc w:val="right"/>
              <w:ind w:right="52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261</w:t>
            </w:r>
          </w:p>
        </w:tc>
        <w:tc>
          <w:tcPr>
            <w:tcW w:w="720" w:type="dxa"/>
            <w:vAlign w:val="bottom"/>
            <w:gridSpan w:val="2"/>
            <w:shd w:val="clear" w:color="auto" w:fill="CCEEFF"/>
          </w:tcPr>
          <w:p>
            <w:pPr>
              <w:jc w:val="right"/>
              <w:ind w:right="461"/>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208"/>
        </w:trPr>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2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6"/>
                <w:szCs w:val="16"/>
                <w:color w:val="auto"/>
              </w:rPr>
              <w:t>Interest on lease liabilities</w:t>
            </w:r>
          </w:p>
        </w:tc>
        <w:tc>
          <w:tcPr>
            <w:tcW w:w="8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53</w:t>
            </w:r>
          </w:p>
        </w:tc>
        <w:tc>
          <w:tcPr>
            <w:tcW w:w="10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134</w:t>
            </w:r>
          </w:p>
        </w:tc>
        <w:tc>
          <w:tcPr>
            <w:tcW w:w="8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05"/>
        </w:trPr>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164</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395</w:t>
            </w: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210"/>
        </w:trPr>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20" w:type="dxa"/>
            <w:vAlign w:val="bottom"/>
          </w:tcPr>
          <w:p>
            <w:pPr>
              <w:ind w:left="20"/>
              <w:spacing w:after="0" w:line="209" w:lineRule="exact"/>
              <w:rPr>
                <w:sz w:val="20"/>
                <w:szCs w:val="20"/>
                <w:color w:val="auto"/>
              </w:rPr>
            </w:pPr>
            <w:r>
              <w:rPr>
                <w:rFonts w:ascii="Times New Roman" w:cs="Times New Roman" w:eastAsia="Times New Roman" w:hAnsi="Times New Roman"/>
                <w:sz w:val="16"/>
                <w:szCs w:val="16"/>
                <w:b w:val="1"/>
                <w:bCs w:val="1"/>
                <w:color w:val="auto"/>
              </w:rPr>
              <w:t xml:space="preserve">Operating lease </w:t>
            </w:r>
            <w:r>
              <w:rPr>
                <w:rFonts w:ascii="Times New Roman" w:cs="Times New Roman" w:eastAsia="Times New Roman" w:hAnsi="Times New Roman"/>
                <w:sz w:val="20"/>
                <w:szCs w:val="20"/>
                <w:b w:val="1"/>
                <w:bCs w:val="1"/>
                <w:color w:val="auto"/>
                <w:vertAlign w:val="superscript"/>
              </w:rPr>
              <w:t>(1)</w:t>
            </w:r>
          </w:p>
        </w:tc>
        <w:tc>
          <w:tcPr>
            <w:tcW w:w="820" w:type="dxa"/>
            <w:vAlign w:val="bottom"/>
          </w:tcPr>
          <w:p>
            <w:pPr>
              <w:spacing w:after="0"/>
              <w:rPr>
                <w:sz w:val="18"/>
                <w:szCs w:val="18"/>
                <w:color w:val="auto"/>
              </w:rPr>
            </w:pPr>
          </w:p>
        </w:tc>
        <w:tc>
          <w:tcPr>
            <w:tcW w:w="7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5,995</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4,839</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17,088</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15,17</w:t>
            </w:r>
          </w:p>
        </w:tc>
        <w:tc>
          <w:tcPr>
            <w:tcW w:w="0" w:type="dxa"/>
            <w:vAlign w:val="bottom"/>
          </w:tcPr>
          <w:p>
            <w:pPr>
              <w:spacing w:after="0"/>
              <w:rPr>
                <w:sz w:val="1"/>
                <w:szCs w:val="1"/>
                <w:color w:val="auto"/>
              </w:rPr>
            </w:pPr>
          </w:p>
        </w:tc>
      </w:tr>
      <w:tr>
        <w:trPr>
          <w:trHeight w:val="210"/>
        </w:trPr>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Variable lease costs</w:t>
            </w:r>
          </w:p>
        </w:tc>
        <w:tc>
          <w:tcPr>
            <w:tcW w:w="82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1,240</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1,170</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3,329</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w:t>
            </w:r>
          </w:p>
        </w:tc>
        <w:tc>
          <w:tcPr>
            <w:tcW w:w="0" w:type="dxa"/>
            <w:vAlign w:val="bottom"/>
          </w:tcPr>
          <w:p>
            <w:pPr>
              <w:spacing w:after="0"/>
              <w:rPr>
                <w:sz w:val="1"/>
                <w:szCs w:val="1"/>
                <w:color w:val="auto"/>
              </w:rPr>
            </w:pPr>
          </w:p>
        </w:tc>
      </w:tr>
      <w:tr>
        <w:trPr>
          <w:trHeight w:val="209"/>
        </w:trPr>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Sub lease income</w:t>
            </w:r>
          </w:p>
        </w:tc>
        <w:tc>
          <w:tcPr>
            <w:tcW w:w="8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0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8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4"/>
        </w:trPr>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lease cost</w:t>
            </w:r>
          </w:p>
        </w:tc>
        <w:tc>
          <w:tcPr>
            <w:tcW w:w="820" w:type="dxa"/>
            <w:vAlign w:val="bottom"/>
            <w:tcBorders>
              <w:bottom w:val="single" w:sz="8" w:color="auto"/>
            </w:tcBorders>
            <w:shd w:val="clear" w:color="auto" w:fill="CCEEFF"/>
          </w:tcPr>
          <w:p>
            <w:pPr>
              <w:jc w:val="right"/>
              <w:ind w:right="661"/>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7,350</w:t>
            </w:r>
          </w:p>
        </w:tc>
        <w:tc>
          <w:tcPr>
            <w:tcW w:w="1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ind w:right="521"/>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6,084</w:t>
            </w:r>
          </w:p>
        </w:tc>
        <w:tc>
          <w:tcPr>
            <w:tcW w:w="1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ind w:right="52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20,763</w:t>
            </w:r>
          </w:p>
        </w:tc>
        <w:tc>
          <w:tcPr>
            <w:tcW w:w="8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ind w:right="46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18,69</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2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1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auto"/>
              </w:rPr>
              <w:t>(1) Includes short-term leases, which are immaterial.</w:t>
            </w:r>
          </w:p>
        </w:tc>
        <w:tc>
          <w:tcPr>
            <w:tcW w:w="8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0"/>
        </w:trPr>
        <w:tc>
          <w:tcPr>
            <w:tcW w:w="5100" w:type="dxa"/>
            <w:vAlign w:val="bottom"/>
            <w:gridSpan w:val="3"/>
            <w:vMerge w:val="continue"/>
          </w:tcPr>
          <w:p>
            <w:pPr>
              <w:spacing w:after="0"/>
              <w:rPr>
                <w:sz w:val="22"/>
                <w:szCs w:val="22"/>
                <w:color w:val="auto"/>
              </w:rPr>
            </w:pPr>
          </w:p>
        </w:tc>
        <w:tc>
          <w:tcPr>
            <w:tcW w:w="8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15"/>
        </w:trPr>
        <w:tc>
          <w:tcPr>
            <w:tcW w:w="5920" w:type="dxa"/>
            <w:vAlign w:val="bottom"/>
            <w:gridSpan w:val="4"/>
          </w:tcPr>
          <w:p>
            <w:pPr>
              <w:spacing w:after="0"/>
              <w:rPr>
                <w:sz w:val="20"/>
                <w:szCs w:val="20"/>
                <w:color w:val="auto"/>
              </w:rPr>
            </w:pPr>
            <w:r>
              <w:rPr>
                <w:rFonts w:ascii="Times New Roman" w:cs="Times New Roman" w:eastAsia="Times New Roman" w:hAnsi="Times New Roman"/>
                <w:sz w:val="17"/>
                <w:szCs w:val="17"/>
                <w:b w:val="1"/>
                <w:bCs w:val="1"/>
                <w:i w:val="1"/>
                <w:iCs w:val="1"/>
                <w:color w:val="auto"/>
              </w:rPr>
              <w:t>Supplemental cash flow and other information related to leases are as follows:</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160" w:type="dxa"/>
            <w:vAlign w:val="bottom"/>
            <w:gridSpan w:val="8"/>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4620" w:type="dxa"/>
            <w:vAlign w:val="bottom"/>
          </w:tcPr>
          <w:p>
            <w:pPr>
              <w:spacing w:after="0"/>
              <w:rPr>
                <w:sz w:val="2"/>
                <w:szCs w:val="2"/>
                <w:color w:val="auto"/>
              </w:rPr>
            </w:pPr>
          </w:p>
        </w:tc>
        <w:tc>
          <w:tcPr>
            <w:tcW w:w="8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3"/>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0" w:type="dxa"/>
            <w:vAlign w:val="bottom"/>
            <w:tcBorders>
              <w:bottom w:val="single" w:sz="8" w:color="auto"/>
            </w:tcBorders>
            <w:gridSpan w:val="3"/>
          </w:tcPr>
          <w:p>
            <w:pPr>
              <w:jc w:val="right"/>
              <w:ind w:right="58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3"/>
          </w:tcPr>
          <w:p>
            <w:pPr>
              <w:jc w:val="right"/>
              <w:ind w:right="521"/>
              <w:spacing w:after="0"/>
              <w:rPr>
                <w:sz w:val="20"/>
                <w:szCs w:val="20"/>
                <w:color w:val="auto"/>
              </w:rPr>
            </w:pPr>
            <w:r>
              <w:rPr>
                <w:rFonts w:ascii="Times New Roman" w:cs="Times New Roman" w:eastAsia="Times New Roman" w:hAnsi="Times New Roman"/>
                <w:sz w:val="14"/>
                <w:szCs w:val="14"/>
                <w:b w:val="1"/>
                <w:bCs w:val="1"/>
                <w:color w:val="auto"/>
              </w:rPr>
              <w:t>2023</w:t>
            </w: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400" w:type="dxa"/>
            <w:vAlign w:val="bottom"/>
          </w:tcPr>
          <w:p>
            <w:pPr>
              <w:spacing w:after="0"/>
              <w:rPr>
                <w:sz w:val="16"/>
                <w:szCs w:val="16"/>
                <w:color w:val="auto"/>
              </w:rPr>
            </w:pPr>
          </w:p>
        </w:tc>
        <w:tc>
          <w:tcPr>
            <w:tcW w:w="55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Cash payments for amounts included in the measurement of lease liabilities :</w:t>
            </w: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00" w:type="dxa"/>
            <w:vAlign w:val="bottom"/>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Operating cash outflows for operating leases</w:t>
            </w:r>
          </w:p>
        </w:tc>
        <w:tc>
          <w:tcPr>
            <w:tcW w:w="8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643"/>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6"/>
                <w:szCs w:val="16"/>
                <w:color w:val="auto"/>
                <w:w w:val="95"/>
              </w:rPr>
              <w:t>15,180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15,622</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Operating cash outflows for finance leases</w:t>
            </w:r>
          </w:p>
        </w:tc>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20" w:type="dxa"/>
            <w:vAlign w:val="bottom"/>
          </w:tcPr>
          <w:p>
            <w:pPr>
              <w:jc w:val="right"/>
              <w:ind w:right="643"/>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gridSpan w:val="2"/>
          </w:tcPr>
          <w:p>
            <w:pPr>
              <w:jc w:val="right"/>
              <w:ind w:right="261"/>
              <w:spacing w:after="0"/>
              <w:rPr>
                <w:sz w:val="20"/>
                <w:szCs w:val="20"/>
                <w:color w:val="auto"/>
              </w:rPr>
            </w:pPr>
            <w:r>
              <w:rPr>
                <w:rFonts w:ascii="Times New Roman" w:cs="Times New Roman" w:eastAsia="Times New Roman" w:hAnsi="Times New Roman"/>
                <w:sz w:val="16"/>
                <w:szCs w:val="16"/>
                <w:color w:val="auto"/>
              </w:rPr>
              <w:t>134</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Pr>
          <w:p>
            <w:pPr>
              <w:spacing w:after="0"/>
              <w:rPr>
                <w:sz w:val="18"/>
                <w:szCs w:val="18"/>
                <w:color w:val="auto"/>
              </w:rPr>
            </w:pPr>
          </w:p>
        </w:tc>
        <w:tc>
          <w:tcPr>
            <w:tcW w:w="720" w:type="dxa"/>
            <w:vAlign w:val="bottom"/>
            <w:gridSpan w:val="2"/>
          </w:tcPr>
          <w:p>
            <w:pPr>
              <w:jc w:val="right"/>
              <w:ind w:right="121"/>
              <w:spacing w:after="0"/>
              <w:rPr>
                <w:sz w:val="20"/>
                <w:szCs w:val="20"/>
                <w:color w:val="auto"/>
              </w:rPr>
            </w:pPr>
            <w:r>
              <w:rPr>
                <w:rFonts w:ascii="Times New Roman" w:cs="Times New Roman" w:eastAsia="Times New Roman" w:hAnsi="Times New Roman"/>
                <w:sz w:val="16"/>
                <w:szCs w:val="16"/>
                <w:color w:val="auto"/>
              </w:rPr>
              <w:t>63</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00" w:type="dxa"/>
            <w:vAlign w:val="bottom"/>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Financing cash outflows for finance leases</w:t>
            </w:r>
          </w:p>
        </w:tc>
        <w:tc>
          <w:tcPr>
            <w:tcW w:w="8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643"/>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6"/>
                <w:szCs w:val="16"/>
                <w:color w:val="auto"/>
              </w:rPr>
              <w:t>222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120</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00" w:type="dxa"/>
            <w:vAlign w:val="bottom"/>
          </w:tcPr>
          <w:p>
            <w:pPr>
              <w:spacing w:after="0"/>
              <w:rPr>
                <w:sz w:val="18"/>
                <w:szCs w:val="18"/>
                <w:color w:val="auto"/>
              </w:rPr>
            </w:pPr>
          </w:p>
        </w:tc>
        <w:tc>
          <w:tcPr>
            <w:tcW w:w="47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ROU assets obtained in exchange for new operating lease liabilities</w:t>
            </w:r>
          </w:p>
        </w:tc>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20" w:type="dxa"/>
            <w:vAlign w:val="bottom"/>
          </w:tcPr>
          <w:p>
            <w:pPr>
              <w:jc w:val="right"/>
              <w:ind w:right="643"/>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gridSpan w:val="2"/>
          </w:tcPr>
          <w:p>
            <w:pPr>
              <w:jc w:val="right"/>
              <w:ind w:right="261"/>
              <w:spacing w:after="0"/>
              <w:rPr>
                <w:sz w:val="20"/>
                <w:szCs w:val="20"/>
                <w:color w:val="auto"/>
              </w:rPr>
            </w:pPr>
            <w:r>
              <w:rPr>
                <w:rFonts w:ascii="Times New Roman" w:cs="Times New Roman" w:eastAsia="Times New Roman" w:hAnsi="Times New Roman"/>
                <w:sz w:val="16"/>
                <w:szCs w:val="16"/>
                <w:color w:val="auto"/>
                <w:w w:val="95"/>
              </w:rPr>
              <w:t>17,753</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Pr>
          <w:p>
            <w:pPr>
              <w:spacing w:after="0"/>
              <w:rPr>
                <w:sz w:val="18"/>
                <w:szCs w:val="18"/>
                <w:color w:val="auto"/>
              </w:rPr>
            </w:pPr>
          </w:p>
        </w:tc>
        <w:tc>
          <w:tcPr>
            <w:tcW w:w="720" w:type="dxa"/>
            <w:vAlign w:val="bottom"/>
            <w:gridSpan w:val="2"/>
          </w:tcPr>
          <w:p>
            <w:pPr>
              <w:jc w:val="right"/>
              <w:ind w:right="121"/>
              <w:spacing w:after="0"/>
              <w:rPr>
                <w:sz w:val="20"/>
                <w:szCs w:val="20"/>
                <w:color w:val="auto"/>
              </w:rPr>
            </w:pPr>
            <w:r>
              <w:rPr>
                <w:rFonts w:ascii="Times New Roman" w:cs="Times New Roman" w:eastAsia="Times New Roman" w:hAnsi="Times New Roman"/>
                <w:sz w:val="16"/>
                <w:szCs w:val="16"/>
                <w:color w:val="auto"/>
              </w:rPr>
              <w:t>13,477</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00" w:type="dxa"/>
            <w:vAlign w:val="bottom"/>
          </w:tcPr>
          <w:p>
            <w:pPr>
              <w:spacing w:after="0"/>
              <w:rPr>
                <w:sz w:val="18"/>
                <w:szCs w:val="18"/>
                <w:color w:val="auto"/>
              </w:rPr>
            </w:pPr>
          </w:p>
        </w:tc>
        <w:tc>
          <w:tcPr>
            <w:tcW w:w="4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ROU assets obtained in exchange for new finance lease liabilities</w:t>
            </w:r>
          </w:p>
        </w:tc>
        <w:tc>
          <w:tcPr>
            <w:tcW w:w="8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643"/>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6"/>
                <w:szCs w:val="16"/>
                <w:color w:val="auto"/>
              </w:rPr>
              <w:t>972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285</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00" w:type="dxa"/>
            <w:vAlign w:val="bottom"/>
          </w:tcPr>
          <w:p>
            <w:pPr>
              <w:spacing w:after="0"/>
              <w:rPr>
                <w:sz w:val="18"/>
                <w:szCs w:val="18"/>
                <w:color w:val="auto"/>
              </w:rPr>
            </w:pPr>
          </w:p>
        </w:tc>
        <w:tc>
          <w:tcPr>
            <w:tcW w:w="47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Weighted average remaining lease term (in years)</w:t>
            </w:r>
          </w:p>
        </w:tc>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00" w:type="dxa"/>
            <w:vAlign w:val="bottom"/>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Finance lease</w:t>
            </w:r>
          </w:p>
        </w:tc>
        <w:tc>
          <w:tcPr>
            <w:tcW w:w="8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3.2 years</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 years</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Operating lease</w:t>
            </w:r>
          </w:p>
        </w:tc>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4.9 years</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 years</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00" w:type="dxa"/>
            <w:vAlign w:val="bottom"/>
          </w:tcPr>
          <w:p>
            <w:pPr>
              <w:spacing w:after="0"/>
              <w:rPr>
                <w:sz w:val="18"/>
                <w:szCs w:val="18"/>
                <w:color w:val="auto"/>
              </w:rPr>
            </w:pPr>
          </w:p>
        </w:tc>
        <w:tc>
          <w:tcPr>
            <w:tcW w:w="4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discount rate</w:t>
            </w:r>
          </w:p>
        </w:tc>
        <w:tc>
          <w:tcPr>
            <w:tcW w:w="8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Finance lease</w:t>
            </w:r>
          </w:p>
        </w:tc>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14.9 %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14.2 %</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00" w:type="dxa"/>
            <w:vAlign w:val="bottom"/>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Operating lease</w:t>
            </w:r>
          </w:p>
        </w:tc>
        <w:tc>
          <w:tcPr>
            <w:tcW w:w="8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7.9 %</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7.4 %</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75" w:lineRule="exact"/>
        <w:rPr>
          <w:sz w:val="20"/>
          <w:szCs w:val="20"/>
          <w:color w:val="auto"/>
        </w:rPr>
      </w:pPr>
    </w:p>
    <w:p>
      <w:pPr>
        <w:jc w:val="both"/>
        <w:ind w:right="100" w:firstLine="393"/>
        <w:spacing w:after="0" w:line="254" w:lineRule="auto"/>
        <w:rPr>
          <w:sz w:val="20"/>
          <w:szCs w:val="20"/>
          <w:color w:val="auto"/>
        </w:rPr>
      </w:pPr>
      <w:r>
        <w:rPr>
          <w:rFonts w:ascii="Times New Roman" w:cs="Times New Roman" w:eastAsia="Times New Roman" w:hAnsi="Times New Roman"/>
          <w:sz w:val="17"/>
          <w:szCs w:val="17"/>
          <w:color w:val="auto"/>
        </w:rPr>
        <w:t>As part of the Company’s efforts to optimize its existing network of operations centers, the Company continued to evaluate its office facilities to determine where it can exit or consolidate its use of office space. The Company modified certain of its operating leases, resulting in an increase of its lease liabilities by $3,383 and a decrease of its lease liabilities by $1,876, during the nine months ended September 30, 2024 and 2023, respectively, with a corresponding adjustment to ROU assets.</w:t>
      </w:r>
    </w:p>
    <w:p>
      <w:pPr>
        <w:spacing w:after="0" w:line="195" w:lineRule="exact"/>
        <w:rPr>
          <w:sz w:val="20"/>
          <w:szCs w:val="20"/>
          <w:color w:val="auto"/>
        </w:rPr>
      </w:pPr>
    </w:p>
    <w:p>
      <w:pPr>
        <w:jc w:val="both"/>
        <w:ind w:right="100" w:firstLine="393"/>
        <w:spacing w:after="0" w:line="265" w:lineRule="auto"/>
        <w:rPr>
          <w:sz w:val="20"/>
          <w:szCs w:val="20"/>
          <w:color w:val="auto"/>
        </w:rPr>
      </w:pPr>
      <w:r>
        <w:rPr>
          <w:rFonts w:ascii="Times New Roman" w:cs="Times New Roman" w:eastAsia="Times New Roman" w:hAnsi="Times New Roman"/>
          <w:sz w:val="17"/>
          <w:szCs w:val="17"/>
          <w:color w:val="auto"/>
        </w:rPr>
        <w:t>As of September 30, 2024 and December 31, 2023, the Company did not have any significant leases that have not yet commenced but that create significant rights and obligations for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340"/>
          </w:cols>
          <w:pgMar w:left="320" w:top="119" w:right="23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EXLSERVICE HOLDINGS, INC.</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UNAUDITED CONSOLIDATED FINANCIAL STATEMENTS—(continued)</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September 30, 2024</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per share amount and share count)</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Maturities of lease liabilities as of September 30, 2024 were as follows:</w:t>
      </w:r>
    </w:p>
    <w:p>
      <w:pPr>
        <w:spacing w:after="0" w:line="163" w:lineRule="exact"/>
        <w:rPr>
          <w:sz w:val="20"/>
          <w:szCs w:val="20"/>
          <w:color w:val="auto"/>
        </w:rPr>
      </w:pPr>
    </w:p>
    <w:tbl>
      <w:tblPr>
        <w:tblLayout w:type="fixed"/>
        <w:tblInd w:w="400" w:type="dxa"/>
        <w:tblCellMar>
          <w:top w:w="0" w:type="dxa"/>
          <w:left w:w="0" w:type="dxa"/>
          <w:bottom w:w="0" w:type="dxa"/>
          <w:right w:w="0" w:type="dxa"/>
        </w:tblCellMar>
      </w:tblPr>
      <w:tr>
        <w:trPr>
          <w:trHeight w:val="210"/>
        </w:trPr>
        <w:tc>
          <w:tcPr>
            <w:tcW w:w="6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Operating Leases</w:t>
            </w:r>
          </w:p>
        </w:tc>
        <w:tc>
          <w:tcPr>
            <w:tcW w:w="220" w:type="dxa"/>
            <w:vAlign w:val="bottom"/>
          </w:tcPr>
          <w:p>
            <w:pPr>
              <w:spacing w:after="0"/>
              <w:rPr>
                <w:sz w:val="18"/>
                <w:szCs w:val="18"/>
                <w:color w:val="auto"/>
              </w:rPr>
            </w:pPr>
          </w:p>
        </w:tc>
        <w:tc>
          <w:tcPr>
            <w:tcW w:w="1520" w:type="dxa"/>
            <w:vAlign w:val="bottom"/>
          </w:tcPr>
          <w:p>
            <w:pPr>
              <w:jc w:val="right"/>
              <w:ind w:right="281"/>
              <w:spacing w:after="0"/>
              <w:rPr>
                <w:sz w:val="20"/>
                <w:szCs w:val="20"/>
                <w:color w:val="auto"/>
              </w:rPr>
            </w:pPr>
            <w:r>
              <w:rPr>
                <w:rFonts w:ascii="Times New Roman" w:cs="Times New Roman" w:eastAsia="Times New Roman" w:hAnsi="Times New Roman"/>
                <w:sz w:val="16"/>
                <w:szCs w:val="16"/>
                <w:b w:val="1"/>
                <w:bCs w:val="1"/>
                <w:color w:val="auto"/>
              </w:rPr>
              <w:t>Finance Leases</w:t>
            </w:r>
          </w:p>
        </w:tc>
      </w:tr>
      <w:tr>
        <w:trPr>
          <w:trHeight w:val="205"/>
        </w:trPr>
        <w:tc>
          <w:tcPr>
            <w:tcW w:w="6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2024 (October 1 - December 31)</w:t>
            </w:r>
          </w:p>
        </w:tc>
        <w:tc>
          <w:tcPr>
            <w:tcW w:w="200" w:type="dxa"/>
            <w:vAlign w:val="bottom"/>
            <w:tcBorders>
              <w:top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5,621</w:t>
            </w: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w:t>
            </w:r>
          </w:p>
        </w:tc>
      </w:tr>
      <w:tr>
        <w:trPr>
          <w:trHeight w:val="208"/>
        </w:trPr>
        <w:tc>
          <w:tcPr>
            <w:tcW w:w="6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2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22,142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565</w:t>
            </w:r>
          </w:p>
        </w:tc>
      </w:tr>
      <w:tr>
        <w:trPr>
          <w:trHeight w:val="212"/>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2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20,710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522</w:t>
            </w:r>
          </w:p>
        </w:tc>
      </w:tr>
      <w:tr>
        <w:trPr>
          <w:trHeight w:val="208"/>
        </w:trPr>
        <w:tc>
          <w:tcPr>
            <w:tcW w:w="6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2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18,190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433</w:t>
            </w:r>
          </w:p>
        </w:tc>
      </w:tr>
      <w:tr>
        <w:trPr>
          <w:trHeight w:val="212"/>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2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14,738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w:t>
            </w:r>
          </w:p>
        </w:tc>
      </w:tr>
      <w:tr>
        <w:trPr>
          <w:trHeight w:val="208"/>
        </w:trPr>
        <w:tc>
          <w:tcPr>
            <w:tcW w:w="6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2029 and thereafter</w:t>
            </w:r>
          </w:p>
        </w:tc>
        <w:tc>
          <w:tcPr>
            <w:tcW w:w="2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15,502</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w:t>
            </w:r>
          </w:p>
        </w:tc>
      </w:tr>
      <w:tr>
        <w:trPr>
          <w:trHeight w:val="205"/>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lease payments</w:t>
            </w:r>
          </w:p>
        </w:tc>
        <w:tc>
          <w:tcPr>
            <w:tcW w:w="20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96,903</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2,044</w:t>
            </w:r>
          </w:p>
        </w:tc>
      </w:tr>
      <w:tr>
        <w:trPr>
          <w:trHeight w:val="208"/>
        </w:trPr>
        <w:tc>
          <w:tcPr>
            <w:tcW w:w="6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Less: Imputed interest</w:t>
            </w:r>
          </w:p>
        </w:tc>
        <w:tc>
          <w:tcPr>
            <w:tcW w:w="2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17,663</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496</w:t>
            </w:r>
          </w:p>
        </w:tc>
      </w:tr>
      <w:tr>
        <w:trPr>
          <w:trHeight w:val="228"/>
        </w:trPr>
        <w:tc>
          <w:tcPr>
            <w:tcW w:w="6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Present value of lease liabilities</w:t>
            </w: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79,240</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1,548</w:t>
            </w: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22. Income Taxes</w:t>
      </w:r>
    </w:p>
    <w:p>
      <w:pPr>
        <w:spacing w:after="0" w:line="239" w:lineRule="exact"/>
        <w:rPr>
          <w:sz w:val="20"/>
          <w:szCs w:val="20"/>
          <w:color w:val="auto"/>
        </w:rPr>
      </w:pPr>
    </w:p>
    <w:p>
      <w:pPr>
        <w:jc w:val="both"/>
        <w:ind w:firstLine="393"/>
        <w:spacing w:after="0" w:line="281" w:lineRule="auto"/>
        <w:rPr>
          <w:sz w:val="20"/>
          <w:szCs w:val="20"/>
          <w:color w:val="auto"/>
        </w:rPr>
      </w:pPr>
      <w:r>
        <w:rPr>
          <w:rFonts w:ascii="Times New Roman" w:cs="Times New Roman" w:eastAsia="Times New Roman" w:hAnsi="Times New Roman"/>
          <w:sz w:val="17"/>
          <w:szCs w:val="17"/>
          <w:color w:val="auto"/>
        </w:rPr>
        <w:t>The Company determines the tax provision for interim periods using an estimate of its annual effective tax rate. Each quarter, the Company updates its estimate of annual effective tax rate, and if its estimated tax rate changes, the Company makes a cumulative adjustment.</w:t>
      </w:r>
    </w:p>
    <w:p>
      <w:pPr>
        <w:spacing w:after="0" w:line="159" w:lineRule="exact"/>
        <w:rPr>
          <w:sz w:val="20"/>
          <w:szCs w:val="20"/>
          <w:color w:val="auto"/>
        </w:rPr>
      </w:pPr>
    </w:p>
    <w:p>
      <w:pPr>
        <w:jc w:val="both"/>
        <w:ind w:firstLine="393"/>
        <w:spacing w:after="0" w:line="251" w:lineRule="auto"/>
        <w:rPr>
          <w:sz w:val="20"/>
          <w:szCs w:val="20"/>
          <w:color w:val="auto"/>
        </w:rPr>
      </w:pPr>
      <w:r>
        <w:rPr>
          <w:rFonts w:ascii="Times New Roman" w:cs="Times New Roman" w:eastAsia="Times New Roman" w:hAnsi="Times New Roman"/>
          <w:sz w:val="17"/>
          <w:szCs w:val="17"/>
          <w:color w:val="auto"/>
        </w:rPr>
        <w:t>The effective tax rate decreased from 24.4% during the three months ended September 30, 2023 to 22.6% during the three months ended September 30, 2024. The Company recorded income tax expense of $15,460 and $14,161 for the three months ended September 30, 2024 and 2023, respectively. The increase in income tax expense was primarily as a result of higher profit during the three months ended September 30, 2024, compared to the three months ended September 30, 2023, partially offset by higher excess tax benefits related to stock-based compensation during the three months ended September 30, 2024, compared to the three months ended September 30, 2023.</w:t>
      </w:r>
    </w:p>
    <w:p>
      <w:pPr>
        <w:spacing w:after="0" w:line="197" w:lineRule="exact"/>
        <w:rPr>
          <w:sz w:val="20"/>
          <w:szCs w:val="20"/>
          <w:color w:val="auto"/>
        </w:rPr>
      </w:pPr>
    </w:p>
    <w:p>
      <w:pPr>
        <w:jc w:val="both"/>
        <w:ind w:firstLine="433"/>
        <w:spacing w:after="0" w:line="251" w:lineRule="auto"/>
        <w:rPr>
          <w:sz w:val="20"/>
          <w:szCs w:val="20"/>
          <w:color w:val="auto"/>
        </w:rPr>
      </w:pPr>
      <w:r>
        <w:rPr>
          <w:rFonts w:ascii="Times New Roman" w:cs="Times New Roman" w:eastAsia="Times New Roman" w:hAnsi="Times New Roman"/>
          <w:sz w:val="17"/>
          <w:szCs w:val="17"/>
          <w:color w:val="auto"/>
        </w:rPr>
        <w:t>The effective tax rate increased from 20.8% during the nine months ended September 30, 2023 to 22.6% during the nine months ended September 30, 2024. The Company recorded income tax expense of $43,086 and $37,773 for the nine months ended September 30, 2024 and 2023, respectively. The increase in income tax expense was primarily as a result of higher profit during the nine months ended September 30, 2024, compared to the nine months ended September 30, 2023 and lower excess tax benefits related to stock-based compensation during the nine months ended September 30, 2024, compared to the nine months ended September 30, 2023.</w:t>
      </w:r>
    </w:p>
    <w:p>
      <w:pPr>
        <w:spacing w:after="0" w:line="197" w:lineRule="exact"/>
        <w:rPr>
          <w:sz w:val="20"/>
          <w:szCs w:val="20"/>
          <w:color w:val="auto"/>
        </w:rPr>
      </w:pPr>
    </w:p>
    <w:p>
      <w:pPr>
        <w:jc w:val="both"/>
        <w:ind w:firstLine="433"/>
        <w:spacing w:after="0" w:line="281" w:lineRule="auto"/>
        <w:rPr>
          <w:sz w:val="20"/>
          <w:szCs w:val="20"/>
          <w:color w:val="auto"/>
        </w:rPr>
      </w:pPr>
      <w:r>
        <w:rPr>
          <w:rFonts w:ascii="Times New Roman" w:cs="Times New Roman" w:eastAsia="Times New Roman" w:hAnsi="Times New Roman"/>
          <w:sz w:val="17"/>
          <w:szCs w:val="17"/>
          <w:color w:val="auto"/>
        </w:rPr>
        <w:t>During the nine months ended September 30, 2024, the Company’s subsidiaries in India repatriated $18,255 (net of $996 withholding taxes) to the United States.</w:t>
      </w:r>
    </w:p>
    <w:p>
      <w:pPr>
        <w:spacing w:after="0" w:line="15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Deferred income taxes recognized in OCI were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640" w:type="dxa"/>
            <w:vAlign w:val="bottom"/>
            <w:shd w:val="clear" w:color="auto" w:fill="CCEEFF"/>
          </w:tcPr>
          <w:p>
            <w:pPr>
              <w:spacing w:after="0"/>
              <w:rPr>
                <w:sz w:val="18"/>
                <w:szCs w:val="18"/>
                <w:color w:val="auto"/>
              </w:rPr>
            </w:pPr>
          </w:p>
        </w:tc>
        <w:tc>
          <w:tcPr>
            <w:tcW w:w="3240" w:type="dxa"/>
            <w:vAlign w:val="bottom"/>
            <w:gridSpan w:val="6"/>
            <w:shd w:val="clear" w:color="auto" w:fill="CCEEFF"/>
          </w:tcPr>
          <w:p>
            <w:pPr>
              <w:ind w:left="38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320" w:type="dxa"/>
            <w:vAlign w:val="bottom"/>
            <w:shd w:val="clear" w:color="auto" w:fill="CCEEFF"/>
          </w:tcPr>
          <w:p>
            <w:pPr>
              <w:spacing w:after="0"/>
              <w:rPr>
                <w:sz w:val="18"/>
                <w:szCs w:val="18"/>
                <w:color w:val="auto"/>
              </w:rPr>
            </w:pPr>
          </w:p>
        </w:tc>
        <w:tc>
          <w:tcPr>
            <w:tcW w:w="3040" w:type="dxa"/>
            <w:vAlign w:val="bottom"/>
            <w:gridSpan w:val="4"/>
            <w:shd w:val="clear" w:color="auto" w:fill="CCEEFF"/>
          </w:tcPr>
          <w:p>
            <w:pPr>
              <w:jc w:val="right"/>
              <w:ind w:right="454"/>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02"/>
        </w:trPr>
        <w:tc>
          <w:tcPr>
            <w:tcW w:w="4640" w:type="dxa"/>
            <w:vAlign w:val="bottom"/>
            <w:tcBorders>
              <w:bottom w:val="single" w:sz="8" w:color="CCEEFF"/>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6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534"/>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tcPr>
          <w:p>
            <w:pPr>
              <w:jc w:val="right"/>
              <w:ind w:right="595"/>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top w:val="single" w:sz="8" w:color="auto"/>
              <w:bottom w:val="single" w:sz="8" w:color="CCEEFF"/>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574"/>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04"/>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Deferred taxes benefit / (expense) recognized on:</w:t>
            </w:r>
          </w:p>
        </w:tc>
        <w:tc>
          <w:tcPr>
            <w:tcW w:w="9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23"/>
        </w:trPr>
        <w:tc>
          <w:tcPr>
            <w:tcW w:w="4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Unrealized gain/(loss) on cash flow hedges</w:t>
            </w:r>
          </w:p>
        </w:tc>
        <w:tc>
          <w:tcPr>
            <w:tcW w:w="900" w:type="dxa"/>
            <w:vAlign w:val="bottom"/>
          </w:tcPr>
          <w:p>
            <w:pPr>
              <w:jc w:val="right"/>
              <w:ind w:right="717"/>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(342)</w:t>
            </w:r>
          </w:p>
        </w:tc>
        <w:tc>
          <w:tcPr>
            <w:tcW w:w="100" w:type="dxa"/>
            <w:vAlign w:val="bottom"/>
          </w:tcPr>
          <w:p>
            <w:pPr>
              <w:spacing w:after="0"/>
              <w:rPr>
                <w:sz w:val="19"/>
                <w:szCs w:val="19"/>
                <w:color w:val="auto"/>
              </w:rPr>
            </w:pPr>
          </w:p>
        </w:tc>
        <w:tc>
          <w:tcPr>
            <w:tcW w:w="38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1,370</w:t>
            </w:r>
          </w:p>
        </w:tc>
        <w:tc>
          <w:tcPr>
            <w:tcW w:w="100" w:type="dxa"/>
            <w:vAlign w:val="bottom"/>
          </w:tcPr>
          <w:p>
            <w:pPr>
              <w:spacing w:after="0"/>
              <w:rPr>
                <w:sz w:val="19"/>
                <w:szCs w:val="19"/>
                <w:color w:val="auto"/>
              </w:rPr>
            </w:pPr>
          </w:p>
        </w:tc>
        <w:tc>
          <w:tcPr>
            <w:tcW w:w="32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(1,581)</w:t>
            </w:r>
          </w:p>
        </w:tc>
        <w:tc>
          <w:tcPr>
            <w:tcW w:w="80" w:type="dxa"/>
            <w:vAlign w:val="bottom"/>
          </w:tcPr>
          <w:p>
            <w:pPr>
              <w:spacing w:after="0"/>
              <w:rPr>
                <w:sz w:val="19"/>
                <w:szCs w:val="19"/>
                <w:color w:val="auto"/>
              </w:rPr>
            </w:pPr>
          </w:p>
        </w:tc>
        <w:tc>
          <w:tcPr>
            <w:tcW w:w="380" w:type="dxa"/>
            <w:vAlign w:val="bottom"/>
          </w:tcPr>
          <w:p>
            <w:pPr>
              <w:jc w:val="right"/>
              <w:ind w:right="193"/>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(2,199)</w:t>
            </w:r>
          </w:p>
        </w:tc>
      </w:tr>
      <w:tr>
        <w:trPr>
          <w:trHeight w:val="223"/>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Reclassification adjustment for cash flow hedges</w:t>
            </w:r>
          </w:p>
        </w:tc>
        <w:tc>
          <w:tcPr>
            <w:tcW w:w="9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416</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(701)</w:t>
            </w:r>
          </w:p>
        </w:tc>
      </w:tr>
      <w:tr>
        <w:trPr>
          <w:trHeight w:val="223"/>
        </w:trPr>
        <w:tc>
          <w:tcPr>
            <w:tcW w:w="4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Reclassification adjustment for retirement benefits</w:t>
            </w:r>
          </w:p>
        </w:tc>
        <w:tc>
          <w:tcPr>
            <w:tcW w:w="9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w:t>
            </w:r>
          </w:p>
        </w:tc>
      </w:tr>
      <w:tr>
        <w:trPr>
          <w:trHeight w:val="223"/>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Currency translation adjustments</w:t>
            </w:r>
          </w:p>
        </w:tc>
        <w:tc>
          <w:tcPr>
            <w:tcW w:w="9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(1,081)</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466</w:t>
            </w:r>
          </w:p>
        </w:tc>
      </w:tr>
      <w:tr>
        <w:trPr>
          <w:trHeight w:val="216"/>
        </w:trPr>
        <w:tc>
          <w:tcPr>
            <w:tcW w:w="46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900" w:type="dxa"/>
            <w:vAlign w:val="bottom"/>
            <w:tcBorders>
              <w:bottom w:val="single" w:sz="8" w:color="auto"/>
            </w:tcBorders>
          </w:tcPr>
          <w:p>
            <w:pPr>
              <w:jc w:val="right"/>
              <w:ind w:right="717"/>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(1,317)</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7"/>
                <w:szCs w:val="17"/>
                <w:b w:val="1"/>
                <w:bCs w:val="1"/>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3,017</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(1,022)</w:t>
            </w:r>
          </w:p>
        </w:tc>
        <w:tc>
          <w:tcPr>
            <w:tcW w:w="80" w:type="dxa"/>
            <w:vAlign w:val="bottom"/>
          </w:tcPr>
          <w:p>
            <w:pPr>
              <w:spacing w:after="0"/>
              <w:rPr>
                <w:sz w:val="18"/>
                <w:szCs w:val="18"/>
                <w:color w:val="auto"/>
              </w:rPr>
            </w:pPr>
          </w:p>
        </w:tc>
        <w:tc>
          <w:tcPr>
            <w:tcW w:w="38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(2,490)</w:t>
            </w:r>
          </w:p>
        </w:tc>
      </w:tr>
      <w:tr>
        <w:trPr>
          <w:trHeight w:val="20"/>
        </w:trPr>
        <w:tc>
          <w:tcPr>
            <w:tcW w:w="46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EXLSERVICE HOLDINGS, INC.</w:t>
      </w:r>
    </w:p>
    <w:p>
      <w:pPr>
        <w:spacing w:after="0" w:line="200" w:lineRule="exact"/>
        <w:rPr>
          <w:sz w:val="20"/>
          <w:szCs w:val="20"/>
          <w:color w:val="auto"/>
        </w:rPr>
      </w:pPr>
    </w:p>
    <w:p>
      <w:pPr>
        <w:spacing w:after="0" w:line="24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NOTES TO UNAUDITED CONSOLIDATED FINANCIAL STATEMENTS—(continued)</w:t>
      </w:r>
    </w:p>
    <w:p>
      <w:pPr>
        <w:spacing w:after="0" w:line="3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September 30, 2024</w:t>
      </w:r>
    </w:p>
    <w:p>
      <w:pPr>
        <w:spacing w:after="0" w:line="1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(In thousands, except per share amount and share count)</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23. Stock-Based Compensation</w:t>
      </w:r>
    </w:p>
    <w:p>
      <w:pPr>
        <w:spacing w:after="0" w:line="23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Stock-based compensation expense by nature of function, as below, are included in the unaudited consolidated statements of income:</w:t>
      </w:r>
    </w:p>
    <w:p>
      <w:pPr>
        <w:spacing w:after="0" w:line="139" w:lineRule="exact"/>
        <w:rPr>
          <w:sz w:val="20"/>
          <w:szCs w:val="20"/>
          <w:color w:val="auto"/>
        </w:rPr>
      </w:pPr>
    </w:p>
    <w:tbl>
      <w:tblPr>
        <w:tblLayout w:type="fixed"/>
        <w:tblInd w:w="400" w:type="dxa"/>
        <w:tblCellMar>
          <w:top w:w="0" w:type="dxa"/>
          <w:left w:w="0" w:type="dxa"/>
          <w:bottom w:w="0" w:type="dxa"/>
          <w:right w:w="0" w:type="dxa"/>
        </w:tblCellMar>
      </w:tblPr>
      <w:tr>
        <w:trPr>
          <w:trHeight w:val="185"/>
        </w:trPr>
        <w:tc>
          <w:tcPr>
            <w:tcW w:w="5420" w:type="dxa"/>
            <w:vAlign w:val="bottom"/>
          </w:tcPr>
          <w:p>
            <w:pPr>
              <w:spacing w:after="0"/>
              <w:rPr>
                <w:sz w:val="16"/>
                <w:szCs w:val="16"/>
                <w:color w:val="auto"/>
              </w:rPr>
            </w:pPr>
          </w:p>
        </w:tc>
        <w:tc>
          <w:tcPr>
            <w:tcW w:w="2900" w:type="dxa"/>
            <w:vAlign w:val="bottom"/>
            <w:gridSpan w:val="6"/>
          </w:tcPr>
          <w:p>
            <w:pPr>
              <w:ind w:left="3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20" w:type="dxa"/>
            <w:vAlign w:val="bottom"/>
          </w:tcPr>
          <w:p>
            <w:pPr>
              <w:spacing w:after="0"/>
              <w:rPr>
                <w:sz w:val="16"/>
                <w:szCs w:val="16"/>
                <w:color w:val="auto"/>
              </w:rPr>
            </w:pPr>
          </w:p>
        </w:tc>
        <w:tc>
          <w:tcPr>
            <w:tcW w:w="2400" w:type="dxa"/>
            <w:vAlign w:val="bottom"/>
            <w:gridSpan w:val="4"/>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4"/>
        </w:trPr>
        <w:tc>
          <w:tcPr>
            <w:tcW w:w="542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84"/>
        </w:trPr>
        <w:tc>
          <w:tcPr>
            <w:tcW w:w="542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3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2"/>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Cost of revenues</w:t>
            </w:r>
          </w:p>
        </w:tc>
        <w:tc>
          <w:tcPr>
            <w:tcW w:w="840" w:type="dxa"/>
            <w:vAlign w:val="bottom"/>
            <w:shd w:val="clear" w:color="auto" w:fill="CCEEFF"/>
          </w:tcPr>
          <w:p>
            <w:pPr>
              <w:jc w:val="right"/>
              <w:ind w:right="640"/>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4,182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4,038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11,989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10,945</w:t>
            </w:r>
          </w:p>
        </w:tc>
      </w:tr>
      <w:tr>
        <w:trPr>
          <w:trHeight w:val="223"/>
        </w:trPr>
        <w:tc>
          <w:tcPr>
            <w:tcW w:w="5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General and administrative expenses</w:t>
            </w:r>
          </w:p>
        </w:tc>
        <w:tc>
          <w:tcPr>
            <w:tcW w:w="8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8,514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6,544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22,635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15,579</w:t>
            </w:r>
          </w:p>
        </w:tc>
      </w:tr>
      <w:tr>
        <w:trPr>
          <w:trHeight w:val="223"/>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Selling and marketing expenses</w:t>
            </w:r>
          </w:p>
        </w:tc>
        <w:tc>
          <w:tcPr>
            <w:tcW w:w="84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8,536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6,485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22,555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16,461</w:t>
            </w:r>
          </w:p>
        </w:tc>
      </w:tr>
      <w:tr>
        <w:trPr>
          <w:trHeight w:val="216"/>
        </w:trPr>
        <w:tc>
          <w:tcPr>
            <w:tcW w:w="5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840" w:type="dxa"/>
            <w:vAlign w:val="bottom"/>
            <w:tcBorders>
              <w:bottom w:val="single" w:sz="8" w:color="auto"/>
            </w:tcBorders>
          </w:tcPr>
          <w:p>
            <w:pPr>
              <w:jc w:val="right"/>
              <w:ind w:right="640"/>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8"/>
              </w:rPr>
              <w:t>21,232</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17,067</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57,179</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42,985</w:t>
            </w:r>
          </w:p>
        </w:tc>
      </w:tr>
      <w:tr>
        <w:trPr>
          <w:trHeight w:val="20"/>
        </w:trPr>
        <w:tc>
          <w:tcPr>
            <w:tcW w:w="54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71"/>
        </w:trPr>
        <w:tc>
          <w:tcPr>
            <w:tcW w:w="542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5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0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r>
      <w:tr>
        <w:trPr>
          <w:trHeight w:val="299"/>
        </w:trPr>
        <w:tc>
          <w:tcPr>
            <w:tcW w:w="5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 xml:space="preserve">Income tax benefit related to share-based compensation </w:t>
            </w:r>
            <w:r>
              <w:rPr>
                <w:rFonts w:ascii="Times New Roman" w:cs="Times New Roman" w:eastAsia="Times New Roman" w:hAnsi="Times New Roman"/>
                <w:sz w:val="22"/>
                <w:szCs w:val="22"/>
                <w:color w:val="auto"/>
                <w:vertAlign w:val="superscript"/>
              </w:rPr>
              <w:t>(1)</w:t>
            </w:r>
          </w:p>
        </w:tc>
        <w:tc>
          <w:tcPr>
            <w:tcW w:w="840" w:type="dxa"/>
            <w:vAlign w:val="bottom"/>
          </w:tcPr>
          <w:p>
            <w:pPr>
              <w:jc w:val="right"/>
              <w:ind w:right="640"/>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5,830</w:t>
            </w:r>
          </w:p>
        </w:tc>
        <w:tc>
          <w:tcPr>
            <w:tcW w:w="100" w:type="dxa"/>
            <w:vAlign w:val="bottom"/>
          </w:tcPr>
          <w:p>
            <w:pPr>
              <w:spacing w:after="0"/>
              <w:rPr>
                <w:sz w:val="24"/>
                <w:szCs w:val="24"/>
                <w:color w:val="auto"/>
              </w:rPr>
            </w:pPr>
          </w:p>
        </w:tc>
        <w:tc>
          <w:tcPr>
            <w:tcW w:w="32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4,340</w:t>
            </w:r>
          </w:p>
        </w:tc>
        <w:tc>
          <w:tcPr>
            <w:tcW w:w="100" w:type="dxa"/>
            <w:vAlign w:val="bottom"/>
          </w:tcPr>
          <w:p>
            <w:pPr>
              <w:spacing w:after="0"/>
              <w:rPr>
                <w:sz w:val="24"/>
                <w:szCs w:val="24"/>
                <w:color w:val="auto"/>
              </w:rPr>
            </w:pPr>
          </w:p>
        </w:tc>
        <w:tc>
          <w:tcPr>
            <w:tcW w:w="22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15,807</w:t>
            </w:r>
          </w:p>
        </w:tc>
        <w:tc>
          <w:tcPr>
            <w:tcW w:w="100" w:type="dxa"/>
            <w:vAlign w:val="bottom"/>
          </w:tcPr>
          <w:p>
            <w:pPr>
              <w:spacing w:after="0"/>
              <w:rPr>
                <w:sz w:val="24"/>
                <w:szCs w:val="24"/>
                <w:color w:val="auto"/>
              </w:rPr>
            </w:pPr>
          </w:p>
        </w:tc>
        <w:tc>
          <w:tcPr>
            <w:tcW w:w="30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16,959</w:t>
            </w:r>
          </w:p>
        </w:tc>
      </w:tr>
    </w:tbl>
    <w:p>
      <w:pPr>
        <w:spacing w:after="0" w:line="76" w:lineRule="exact"/>
        <w:rPr>
          <w:sz w:val="20"/>
          <w:szCs w:val="20"/>
          <w:color w:val="auto"/>
        </w:rPr>
      </w:pPr>
    </w:p>
    <w:p>
      <w:pPr>
        <w:jc w:val="both"/>
        <w:ind w:right="100" w:firstLine="398"/>
        <w:spacing w:after="0" w:line="277" w:lineRule="auto"/>
        <w:tabs>
          <w:tab w:leader="none" w:pos="646"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$1,673 and $462 during the three months ended September 30, 2024 and 2023, respectively, and $9,214 and $13,172 during the nine months ended September 30, 2024 and 2023, respectively, related to discrete benefits recognized in income tax expense in accordance with ASU No. 2016-09, Compensation - Stock Compensation.</w:t>
      </w:r>
    </w:p>
    <w:p>
      <w:pPr>
        <w:spacing w:after="0" w:line="176" w:lineRule="exact"/>
        <w:rPr>
          <w:sz w:val="20"/>
          <w:szCs w:val="20"/>
          <w:color w:val="auto"/>
        </w:rPr>
      </w:pPr>
    </w:p>
    <w:p>
      <w:pPr>
        <w:jc w:val="both"/>
        <w:ind w:right="100" w:firstLine="433"/>
        <w:spacing w:after="0" w:line="281" w:lineRule="auto"/>
        <w:rPr>
          <w:sz w:val="20"/>
          <w:szCs w:val="20"/>
          <w:color w:val="auto"/>
        </w:rPr>
      </w:pPr>
      <w:r>
        <w:rPr>
          <w:rFonts w:ascii="Times New Roman" w:cs="Times New Roman" w:eastAsia="Times New Roman" w:hAnsi="Times New Roman"/>
          <w:sz w:val="17"/>
          <w:szCs w:val="17"/>
          <w:color w:val="auto"/>
        </w:rPr>
        <w:t>As of September 30, 2024 and December 31, 2023, the Company had 1,774,815 and 4,096,102 shares, respectively, available for grant under the 2018 Omnibus Incentive Plan.</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Stock Options</w:t>
      </w:r>
    </w:p>
    <w:p>
      <w:pPr>
        <w:spacing w:after="0" w:line="25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Stock option activity under the Company’s stock-based compensation plans is shown below:</w:t>
      </w:r>
    </w:p>
    <w:p>
      <w:pPr>
        <w:spacing w:after="0" w:line="48" w:lineRule="exact"/>
        <w:rPr>
          <w:sz w:val="20"/>
          <w:szCs w:val="20"/>
          <w:color w:val="auto"/>
        </w:rPr>
      </w:pPr>
    </w:p>
    <w:tbl>
      <w:tblPr>
        <w:tblLayout w:type="fixed"/>
        <w:tblInd w:w="400" w:type="dxa"/>
        <w:tblCellMar>
          <w:top w:w="0" w:type="dxa"/>
          <w:left w:w="0" w:type="dxa"/>
          <w:bottom w:w="0" w:type="dxa"/>
          <w:right w:w="0" w:type="dxa"/>
        </w:tblCellMar>
      </w:tblPr>
      <w:tr>
        <w:trPr>
          <w:trHeight w:val="185"/>
        </w:trPr>
        <w:tc>
          <w:tcPr>
            <w:tcW w:w="3940" w:type="dxa"/>
            <w:vAlign w:val="bottom"/>
          </w:tcPr>
          <w:p>
            <w:pPr>
              <w:spacing w:after="0"/>
              <w:rPr>
                <w:sz w:val="16"/>
                <w:szCs w:val="16"/>
                <w:color w:val="auto"/>
              </w:rPr>
            </w:pPr>
          </w:p>
        </w:tc>
        <w:tc>
          <w:tcPr>
            <w:tcW w:w="24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Stock Options</w:t>
            </w: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940" w:type="dxa"/>
            <w:vAlign w:val="bottom"/>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4"/>
        </w:trPr>
        <w:tc>
          <w:tcPr>
            <w:tcW w:w="3940" w:type="dxa"/>
            <w:vAlign w:val="bottom"/>
          </w:tcPr>
          <w:p>
            <w:pPr>
              <w:spacing w:after="0"/>
              <w:rPr>
                <w:sz w:val="10"/>
                <w:szCs w:val="10"/>
                <w:color w:val="auto"/>
              </w:rPr>
            </w:pPr>
          </w:p>
        </w:tc>
        <w:tc>
          <w:tcPr>
            <w:tcW w:w="2280" w:type="dxa"/>
            <w:vAlign w:val="bottom"/>
            <w:gridSpan w:val="2"/>
            <w:vMerge w:val="restart"/>
          </w:tcPr>
          <w:p>
            <w:pPr>
              <w:ind w:left="8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0" w:type="dxa"/>
            <w:vAlign w:val="bottom"/>
          </w:tcPr>
          <w:p>
            <w:pPr>
              <w:spacing w:after="0"/>
              <w:rPr>
                <w:sz w:val="10"/>
                <w:szCs w:val="10"/>
                <w:color w:val="auto"/>
              </w:rPr>
            </w:pPr>
          </w:p>
        </w:tc>
        <w:tc>
          <w:tcPr>
            <w:tcW w:w="1480" w:type="dxa"/>
            <w:vAlign w:val="bottom"/>
          </w:tcPr>
          <w:p>
            <w:pPr>
              <w:jc w:val="right"/>
              <w:ind w:right="218"/>
              <w:spacing w:after="0" w:line="125" w:lineRule="exact"/>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08"/>
        </w:trPr>
        <w:tc>
          <w:tcPr>
            <w:tcW w:w="3940" w:type="dxa"/>
            <w:vAlign w:val="bottom"/>
          </w:tcPr>
          <w:p>
            <w:pPr>
              <w:spacing w:after="0"/>
              <w:rPr>
                <w:sz w:val="9"/>
                <w:szCs w:val="9"/>
                <w:color w:val="auto"/>
              </w:rPr>
            </w:pPr>
          </w:p>
        </w:tc>
        <w:tc>
          <w:tcPr>
            <w:tcW w:w="228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1480" w:type="dxa"/>
            <w:vAlign w:val="bottom"/>
            <w:vMerge w:val="restart"/>
          </w:tcPr>
          <w:p>
            <w:pPr>
              <w:jc w:val="right"/>
              <w:ind w:right="43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83"/>
        </w:trPr>
        <w:tc>
          <w:tcPr>
            <w:tcW w:w="3940" w:type="dxa"/>
            <w:vAlign w:val="bottom"/>
            <w:tcBorders>
              <w:bottom w:val="single" w:sz="8" w:color="CCEEFF"/>
            </w:tcBorders>
          </w:tcPr>
          <w:p>
            <w:pPr>
              <w:spacing w:after="0"/>
              <w:rPr>
                <w:sz w:val="7"/>
                <w:szCs w:val="7"/>
                <w:color w:val="auto"/>
              </w:rPr>
            </w:pPr>
          </w:p>
        </w:tc>
        <w:tc>
          <w:tcPr>
            <w:tcW w:w="2140" w:type="dxa"/>
            <w:vAlign w:val="bottom"/>
            <w:tcBorders>
              <w:bottom w:val="single" w:sz="8" w:color="auto"/>
            </w:tcBorders>
          </w:tcPr>
          <w:p>
            <w:pPr>
              <w:spacing w:after="0"/>
              <w:rPr>
                <w:sz w:val="7"/>
                <w:szCs w:val="7"/>
                <w:color w:val="auto"/>
              </w:rPr>
            </w:pPr>
          </w:p>
        </w:tc>
        <w:tc>
          <w:tcPr>
            <w:tcW w:w="140" w:type="dxa"/>
            <w:vAlign w:val="bottom"/>
            <w:tcBorders>
              <w:bottom w:val="single" w:sz="8" w:color="CCEEFF"/>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4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Outstanding as of December 31, 2023</w:t>
            </w: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1,790,695</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30.14</w:t>
            </w:r>
          </w:p>
        </w:tc>
        <w:tc>
          <w:tcPr>
            <w:tcW w:w="0" w:type="dxa"/>
            <w:vAlign w:val="bottom"/>
          </w:tcPr>
          <w:p>
            <w:pPr>
              <w:spacing w:after="0"/>
              <w:rPr>
                <w:sz w:val="1"/>
                <w:szCs w:val="1"/>
                <w:color w:val="auto"/>
              </w:rPr>
            </w:pPr>
          </w:p>
        </w:tc>
      </w:tr>
      <w:tr>
        <w:trPr>
          <w:trHeight w:val="223"/>
        </w:trPr>
        <w:tc>
          <w:tcPr>
            <w:tcW w:w="39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Granted</w:t>
            </w:r>
          </w:p>
        </w:tc>
        <w:tc>
          <w:tcPr>
            <w:tcW w:w="22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3"/>
        </w:trPr>
        <w:tc>
          <w:tcPr>
            <w:tcW w:w="3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Vested</w:t>
            </w: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447,655</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30.14</w:t>
            </w:r>
          </w:p>
        </w:tc>
        <w:tc>
          <w:tcPr>
            <w:tcW w:w="0" w:type="dxa"/>
            <w:vAlign w:val="bottom"/>
          </w:tcPr>
          <w:p>
            <w:pPr>
              <w:spacing w:after="0"/>
              <w:rPr>
                <w:sz w:val="1"/>
                <w:szCs w:val="1"/>
                <w:color w:val="auto"/>
              </w:rPr>
            </w:pPr>
          </w:p>
        </w:tc>
      </w:tr>
      <w:tr>
        <w:trPr>
          <w:trHeight w:val="223"/>
        </w:trPr>
        <w:tc>
          <w:tcPr>
            <w:tcW w:w="39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Forfeited</w:t>
            </w:r>
          </w:p>
        </w:tc>
        <w:tc>
          <w:tcPr>
            <w:tcW w:w="22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41"/>
        </w:trPr>
        <w:tc>
          <w:tcPr>
            <w:tcW w:w="3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Outstanding as of September 30, 2024*</w:t>
            </w:r>
          </w:p>
        </w:tc>
        <w:tc>
          <w:tcPr>
            <w:tcW w:w="2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1,343,040</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30.14</w:t>
            </w: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21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*As of September 30, 2024 and December 31, 2023 the number of stock options vested and not yet exercised are 447,655 and nil, respectively.</w:t>
      </w:r>
    </w:p>
    <w:p>
      <w:pPr>
        <w:spacing w:after="0" w:line="224" w:lineRule="exact"/>
        <w:rPr>
          <w:sz w:val="20"/>
          <w:szCs w:val="20"/>
          <w:color w:val="auto"/>
        </w:rPr>
      </w:pPr>
    </w:p>
    <w:p>
      <w:pPr>
        <w:ind w:right="860" w:firstLine="433"/>
        <w:spacing w:after="0" w:line="402" w:lineRule="auto"/>
        <w:rPr>
          <w:sz w:val="20"/>
          <w:szCs w:val="20"/>
          <w:color w:val="auto"/>
        </w:rPr>
      </w:pPr>
      <w:r>
        <w:rPr>
          <w:rFonts w:ascii="Times New Roman" w:cs="Times New Roman" w:eastAsia="Times New Roman" w:hAnsi="Times New Roman"/>
          <w:sz w:val="17"/>
          <w:szCs w:val="17"/>
          <w:color w:val="auto"/>
        </w:rPr>
        <w:t xml:space="preserve">As of September 30, 2024, unrecognized compensation cost of $14,683 is expected to be expensed over a weighted average period of 2.8 years. </w:t>
      </w:r>
      <w:r>
        <w:rPr>
          <w:rFonts w:ascii="Times New Roman" w:cs="Times New Roman" w:eastAsia="Times New Roman" w:hAnsi="Times New Roman"/>
          <w:sz w:val="17"/>
          <w:szCs w:val="17"/>
          <w:b w:val="1"/>
          <w:bCs w:val="1"/>
          <w:color w:val="auto"/>
        </w:rPr>
        <w:t>Share Matching Program</w:t>
      </w:r>
    </w:p>
    <w:p>
      <w:pPr>
        <w:spacing w:after="0" w:line="1" w:lineRule="exact"/>
        <w:rPr>
          <w:sz w:val="20"/>
          <w:szCs w:val="20"/>
          <w:color w:val="auto"/>
        </w:rPr>
      </w:pPr>
    </w:p>
    <w:p>
      <w:pPr>
        <w:jc w:val="both"/>
        <w:ind w:right="100" w:firstLine="433"/>
        <w:spacing w:after="0" w:line="261" w:lineRule="auto"/>
        <w:rPr>
          <w:sz w:val="20"/>
          <w:szCs w:val="20"/>
          <w:color w:val="auto"/>
        </w:rPr>
      </w:pPr>
      <w:r>
        <w:rPr>
          <w:rFonts w:ascii="Times New Roman" w:cs="Times New Roman" w:eastAsia="Times New Roman" w:hAnsi="Times New Roman"/>
          <w:sz w:val="17"/>
          <w:szCs w:val="17"/>
          <w:color w:val="auto"/>
        </w:rPr>
        <w:t>Under the Company’s 2018 Omnibus Incentive Plan (the “2018 Plan”), the Company established a share matching program (“SMP”) for executive officers and other specified employees. Under the SMP, the Company agreed to issue a number of restricted stock units equal to the number of newly acquired shares of the Company's common stock.</w:t>
      </w:r>
    </w:p>
    <w:p>
      <w:pPr>
        <w:spacing w:after="0" w:line="7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Restricted stock unit activity under the SMP is shown below:</w:t>
      </w:r>
    </w:p>
    <w:p>
      <w:pPr>
        <w:spacing w:after="0" w:line="200" w:lineRule="exact"/>
        <w:rPr>
          <w:sz w:val="20"/>
          <w:szCs w:val="20"/>
          <w:color w:val="auto"/>
        </w:rPr>
      </w:pPr>
    </w:p>
    <w:p>
      <w:pPr>
        <w:spacing w:after="0" w:line="39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340"/>
          </w:cols>
          <w:pgMar w:left="320" w:top="119" w:right="2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EXLSERVICE HOLDINGS, INC.</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UNAUDITED CONSOLIDATED FINANCIAL STATEMENTS—(continued)</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September 30, 2024</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per share amount and share count)</w:t>
      </w:r>
    </w:p>
    <w:p>
      <w:pPr>
        <w:spacing w:after="0" w:line="384" w:lineRule="exact"/>
        <w:rPr>
          <w:sz w:val="20"/>
          <w:szCs w:val="20"/>
          <w:color w:val="auto"/>
        </w:rPr>
      </w:pPr>
    </w:p>
    <w:tbl>
      <w:tblPr>
        <w:tblLayout w:type="fixed"/>
        <w:tblInd w:w="440" w:type="dxa"/>
        <w:tblCellMar>
          <w:top w:w="0" w:type="dxa"/>
          <w:left w:w="0" w:type="dxa"/>
          <w:bottom w:w="0" w:type="dxa"/>
          <w:right w:w="0" w:type="dxa"/>
        </w:tblCellMar>
      </w:tblPr>
      <w:tr>
        <w:trPr>
          <w:trHeight w:val="185"/>
        </w:trPr>
        <w:tc>
          <w:tcPr>
            <w:tcW w:w="5920" w:type="dxa"/>
            <w:vAlign w:val="bottom"/>
          </w:tcPr>
          <w:p>
            <w:pPr>
              <w:spacing w:after="0"/>
              <w:rPr>
                <w:sz w:val="16"/>
                <w:szCs w:val="16"/>
                <w:color w:val="auto"/>
              </w:rPr>
            </w:pPr>
          </w:p>
        </w:tc>
        <w:tc>
          <w:tcPr>
            <w:tcW w:w="3640" w:type="dxa"/>
            <w:vAlign w:val="bottom"/>
            <w:gridSpan w:val="4"/>
          </w:tcPr>
          <w:p>
            <w:pPr>
              <w:jc w:val="right"/>
              <w:ind w:right="858"/>
              <w:spacing w:after="0"/>
              <w:rPr>
                <w:sz w:val="20"/>
                <w:szCs w:val="20"/>
                <w:color w:val="auto"/>
              </w:rPr>
            </w:pPr>
            <w:r>
              <w:rPr>
                <w:rFonts w:ascii="Times New Roman" w:cs="Times New Roman" w:eastAsia="Times New Roman" w:hAnsi="Times New Roman"/>
                <w:sz w:val="14"/>
                <w:szCs w:val="14"/>
                <w:b w:val="1"/>
                <w:bCs w:val="1"/>
                <w:color w:val="auto"/>
              </w:rPr>
              <w:t>Restricted Stock Units (SMP)</w:t>
            </w:r>
          </w:p>
        </w:tc>
        <w:tc>
          <w:tcPr>
            <w:tcW w:w="0" w:type="dxa"/>
            <w:vAlign w:val="bottom"/>
          </w:tcPr>
          <w:p>
            <w:pPr>
              <w:spacing w:after="0"/>
              <w:rPr>
                <w:sz w:val="1"/>
                <w:szCs w:val="1"/>
                <w:color w:val="auto"/>
              </w:rPr>
            </w:pPr>
          </w:p>
        </w:tc>
      </w:tr>
      <w:tr>
        <w:trPr>
          <w:trHeight w:val="24"/>
        </w:trPr>
        <w:tc>
          <w:tcPr>
            <w:tcW w:w="5920" w:type="dxa"/>
            <w:vAlign w:val="bottom"/>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5920" w:type="dxa"/>
            <w:vAlign w:val="bottom"/>
          </w:tcPr>
          <w:p>
            <w:pPr>
              <w:spacing w:after="0"/>
              <w:rPr>
                <w:sz w:val="10"/>
                <w:szCs w:val="10"/>
                <w:color w:val="auto"/>
              </w:rPr>
            </w:pPr>
          </w:p>
        </w:tc>
        <w:tc>
          <w:tcPr>
            <w:tcW w:w="1860" w:type="dxa"/>
            <w:vAlign w:val="bottom"/>
            <w:gridSpan w:val="2"/>
            <w:vMerge w:val="restart"/>
          </w:tcPr>
          <w:p>
            <w:pPr>
              <w:ind w:left="6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20" w:type="dxa"/>
            <w:vAlign w:val="bottom"/>
          </w:tcPr>
          <w:p>
            <w:pPr>
              <w:spacing w:after="0"/>
              <w:rPr>
                <w:sz w:val="10"/>
                <w:szCs w:val="10"/>
                <w:color w:val="auto"/>
              </w:rPr>
            </w:pPr>
          </w:p>
        </w:tc>
        <w:tc>
          <w:tcPr>
            <w:tcW w:w="1560" w:type="dxa"/>
            <w:vAlign w:val="bottom"/>
          </w:tcPr>
          <w:p>
            <w:pPr>
              <w:jc w:val="right"/>
              <w:ind w:right="278"/>
              <w:spacing w:after="0" w:line="126" w:lineRule="exact"/>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06"/>
        </w:trPr>
        <w:tc>
          <w:tcPr>
            <w:tcW w:w="5920" w:type="dxa"/>
            <w:vAlign w:val="bottom"/>
          </w:tcPr>
          <w:p>
            <w:pPr>
              <w:spacing w:after="0"/>
              <w:rPr>
                <w:sz w:val="9"/>
                <w:szCs w:val="9"/>
                <w:color w:val="auto"/>
              </w:rPr>
            </w:pPr>
          </w:p>
        </w:tc>
        <w:tc>
          <w:tcPr>
            <w:tcW w:w="186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1560" w:type="dxa"/>
            <w:vAlign w:val="bottom"/>
            <w:vMerge w:val="restart"/>
          </w:tcPr>
          <w:p>
            <w:pPr>
              <w:jc w:val="right"/>
              <w:ind w:right="49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84"/>
        </w:trPr>
        <w:tc>
          <w:tcPr>
            <w:tcW w:w="5920" w:type="dxa"/>
            <w:vAlign w:val="bottom"/>
            <w:tcBorders>
              <w:bottom w:val="single" w:sz="8" w:color="CCEEFF"/>
            </w:tcBorders>
          </w:tcPr>
          <w:p>
            <w:pPr>
              <w:spacing w:after="0"/>
              <w:rPr>
                <w:sz w:val="7"/>
                <w:szCs w:val="7"/>
                <w:color w:val="auto"/>
              </w:rPr>
            </w:pPr>
          </w:p>
        </w:tc>
        <w:tc>
          <w:tcPr>
            <w:tcW w:w="176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5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Outstanding as of December 31, 2023</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217,230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24.95</w:t>
            </w:r>
          </w:p>
        </w:tc>
        <w:tc>
          <w:tcPr>
            <w:tcW w:w="0" w:type="dxa"/>
            <w:vAlign w:val="bottom"/>
          </w:tcPr>
          <w:p>
            <w:pPr>
              <w:spacing w:after="0"/>
              <w:rPr>
                <w:sz w:val="1"/>
                <w:szCs w:val="1"/>
                <w:color w:val="auto"/>
              </w:rPr>
            </w:pPr>
          </w:p>
        </w:tc>
      </w:tr>
      <w:tr>
        <w:trPr>
          <w:trHeight w:val="223"/>
        </w:trPr>
        <w:tc>
          <w:tcPr>
            <w:tcW w:w="592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Granted</w:t>
            </w:r>
          </w:p>
        </w:tc>
        <w:tc>
          <w:tcPr>
            <w:tcW w:w="18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3"/>
        </w:trPr>
        <w:tc>
          <w:tcPr>
            <w:tcW w:w="59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rPr>
              <w:t>Vested</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(72,385)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24.95</w:t>
            </w:r>
          </w:p>
        </w:tc>
        <w:tc>
          <w:tcPr>
            <w:tcW w:w="0" w:type="dxa"/>
            <w:vAlign w:val="bottom"/>
          </w:tcPr>
          <w:p>
            <w:pPr>
              <w:spacing w:after="0"/>
              <w:rPr>
                <w:sz w:val="1"/>
                <w:szCs w:val="1"/>
                <w:color w:val="auto"/>
              </w:rPr>
            </w:pPr>
          </w:p>
        </w:tc>
      </w:tr>
      <w:tr>
        <w:trPr>
          <w:trHeight w:val="223"/>
        </w:trPr>
        <w:tc>
          <w:tcPr>
            <w:tcW w:w="592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Forfeited</w:t>
            </w:r>
          </w:p>
        </w:tc>
        <w:tc>
          <w:tcPr>
            <w:tcW w:w="18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41"/>
        </w:trPr>
        <w:tc>
          <w:tcPr>
            <w:tcW w:w="59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Outstanding as of September 30, 2024*</w:t>
            </w: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144,845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24.95</w:t>
            </w:r>
          </w:p>
        </w:tc>
        <w:tc>
          <w:tcPr>
            <w:tcW w:w="0" w:type="dxa"/>
            <w:vAlign w:val="bottom"/>
          </w:tcPr>
          <w:p>
            <w:pPr>
              <w:spacing w:after="0"/>
              <w:rPr>
                <w:sz w:val="1"/>
                <w:szCs w:val="1"/>
                <w:color w:val="auto"/>
              </w:rPr>
            </w:pPr>
          </w:p>
        </w:tc>
      </w:tr>
      <w:tr>
        <w:trPr>
          <w:trHeight w:val="20"/>
        </w:trPr>
        <w:tc>
          <w:tcPr>
            <w:tcW w:w="592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0" w:lineRule="exact"/>
        <w:rPr>
          <w:sz w:val="20"/>
          <w:szCs w:val="20"/>
          <w:color w:val="auto"/>
        </w:rPr>
      </w:pPr>
    </w:p>
    <w:p>
      <w:pPr>
        <w:ind w:firstLine="438"/>
        <w:spacing w:after="0" w:line="281" w:lineRule="auto"/>
        <w:tabs>
          <w:tab w:leader="none" w:pos="573"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of September 30, 2024 and December 31, 2023 restricted stock units vested for which the underlying common stock is yet to be issued are 72,385 and nil, respectively.</w:t>
      </w:r>
    </w:p>
    <w:p>
      <w:pPr>
        <w:spacing w:after="0" w:line="14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As of September 30, 2024, unrecognized compensation cost of $900 is expected to be expensed over a weighted average period of 0.5 years.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Restricted Stock Units</w:t>
      </w:r>
    </w:p>
    <w:p>
      <w:pPr>
        <w:spacing w:after="0" w:line="13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Restricted stock unit activity under the Company’s stock-based compensation plans is shown below:</w:t>
      </w:r>
    </w:p>
    <w:p>
      <w:pPr>
        <w:spacing w:after="0" w:line="139" w:lineRule="exact"/>
        <w:rPr>
          <w:sz w:val="20"/>
          <w:szCs w:val="20"/>
          <w:color w:val="auto"/>
        </w:rPr>
      </w:pPr>
    </w:p>
    <w:tbl>
      <w:tblPr>
        <w:tblLayout w:type="fixed"/>
        <w:tblInd w:w="400" w:type="dxa"/>
        <w:tblCellMar>
          <w:top w:w="0" w:type="dxa"/>
          <w:left w:w="0" w:type="dxa"/>
          <w:bottom w:w="0" w:type="dxa"/>
          <w:right w:w="0" w:type="dxa"/>
        </w:tblCellMar>
      </w:tblPr>
      <w:tr>
        <w:trPr>
          <w:trHeight w:val="185"/>
        </w:trPr>
        <w:tc>
          <w:tcPr>
            <w:tcW w:w="5920" w:type="dxa"/>
            <w:vAlign w:val="bottom"/>
          </w:tcPr>
          <w:p>
            <w:pPr>
              <w:spacing w:after="0"/>
              <w:rPr>
                <w:sz w:val="16"/>
                <w:szCs w:val="16"/>
                <w:color w:val="auto"/>
              </w:rPr>
            </w:pPr>
          </w:p>
        </w:tc>
        <w:tc>
          <w:tcPr>
            <w:tcW w:w="3640" w:type="dxa"/>
            <w:vAlign w:val="bottom"/>
            <w:gridSpan w:val="4"/>
          </w:tcPr>
          <w:p>
            <w:pPr>
              <w:jc w:val="right"/>
              <w:ind w:right="1078"/>
              <w:spacing w:after="0"/>
              <w:rPr>
                <w:sz w:val="20"/>
                <w:szCs w:val="20"/>
                <w:color w:val="auto"/>
              </w:rPr>
            </w:pPr>
            <w:r>
              <w:rPr>
                <w:rFonts w:ascii="Times New Roman" w:cs="Times New Roman" w:eastAsia="Times New Roman" w:hAnsi="Times New Roman"/>
                <w:sz w:val="14"/>
                <w:szCs w:val="14"/>
                <w:b w:val="1"/>
                <w:bCs w:val="1"/>
                <w:color w:val="auto"/>
              </w:rPr>
              <w:t>Restricted Stock Units</w:t>
            </w:r>
          </w:p>
        </w:tc>
        <w:tc>
          <w:tcPr>
            <w:tcW w:w="0" w:type="dxa"/>
            <w:vAlign w:val="bottom"/>
          </w:tcPr>
          <w:p>
            <w:pPr>
              <w:spacing w:after="0"/>
              <w:rPr>
                <w:sz w:val="1"/>
                <w:szCs w:val="1"/>
                <w:color w:val="auto"/>
              </w:rPr>
            </w:pPr>
          </w:p>
        </w:tc>
      </w:tr>
      <w:tr>
        <w:trPr>
          <w:trHeight w:val="24"/>
        </w:trPr>
        <w:tc>
          <w:tcPr>
            <w:tcW w:w="5920" w:type="dxa"/>
            <w:vAlign w:val="bottom"/>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4"/>
        </w:trPr>
        <w:tc>
          <w:tcPr>
            <w:tcW w:w="5920" w:type="dxa"/>
            <w:vAlign w:val="bottom"/>
          </w:tcPr>
          <w:p>
            <w:pPr>
              <w:spacing w:after="0"/>
              <w:rPr>
                <w:sz w:val="10"/>
                <w:szCs w:val="10"/>
                <w:color w:val="auto"/>
              </w:rPr>
            </w:pPr>
          </w:p>
        </w:tc>
        <w:tc>
          <w:tcPr>
            <w:tcW w:w="1860" w:type="dxa"/>
            <w:vAlign w:val="bottom"/>
            <w:gridSpan w:val="2"/>
            <w:vMerge w:val="restart"/>
          </w:tcPr>
          <w:p>
            <w:pPr>
              <w:ind w:left="6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20" w:type="dxa"/>
            <w:vAlign w:val="bottom"/>
          </w:tcPr>
          <w:p>
            <w:pPr>
              <w:spacing w:after="0"/>
              <w:rPr>
                <w:sz w:val="10"/>
                <w:szCs w:val="10"/>
                <w:color w:val="auto"/>
              </w:rPr>
            </w:pPr>
          </w:p>
        </w:tc>
        <w:tc>
          <w:tcPr>
            <w:tcW w:w="1560" w:type="dxa"/>
            <w:vAlign w:val="bottom"/>
          </w:tcPr>
          <w:p>
            <w:pPr>
              <w:jc w:val="right"/>
              <w:ind w:right="258"/>
              <w:spacing w:after="0" w:line="125" w:lineRule="exact"/>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08"/>
        </w:trPr>
        <w:tc>
          <w:tcPr>
            <w:tcW w:w="5920" w:type="dxa"/>
            <w:vAlign w:val="bottom"/>
          </w:tcPr>
          <w:p>
            <w:pPr>
              <w:spacing w:after="0"/>
              <w:rPr>
                <w:sz w:val="9"/>
                <w:szCs w:val="9"/>
                <w:color w:val="auto"/>
              </w:rPr>
            </w:pPr>
          </w:p>
        </w:tc>
        <w:tc>
          <w:tcPr>
            <w:tcW w:w="186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1560" w:type="dxa"/>
            <w:vAlign w:val="bottom"/>
            <w:vMerge w:val="restart"/>
          </w:tcPr>
          <w:p>
            <w:pPr>
              <w:jc w:val="right"/>
              <w:ind w:right="49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83"/>
        </w:trPr>
        <w:tc>
          <w:tcPr>
            <w:tcW w:w="5920" w:type="dxa"/>
            <w:vAlign w:val="bottom"/>
            <w:tcBorders>
              <w:bottom w:val="single" w:sz="8" w:color="CCEEFF"/>
            </w:tcBorders>
          </w:tcPr>
          <w:p>
            <w:pPr>
              <w:spacing w:after="0"/>
              <w:rPr>
                <w:sz w:val="7"/>
                <w:szCs w:val="7"/>
                <w:color w:val="auto"/>
              </w:rPr>
            </w:pPr>
          </w:p>
        </w:tc>
        <w:tc>
          <w:tcPr>
            <w:tcW w:w="176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5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Outstanding as of December 31, 2023*</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3,731,512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24.96</w:t>
            </w:r>
          </w:p>
        </w:tc>
        <w:tc>
          <w:tcPr>
            <w:tcW w:w="0" w:type="dxa"/>
            <w:vAlign w:val="bottom"/>
          </w:tcPr>
          <w:p>
            <w:pPr>
              <w:spacing w:after="0"/>
              <w:rPr>
                <w:sz w:val="1"/>
                <w:szCs w:val="1"/>
                <w:color w:val="auto"/>
              </w:rPr>
            </w:pPr>
          </w:p>
        </w:tc>
      </w:tr>
      <w:tr>
        <w:trPr>
          <w:trHeight w:val="223"/>
        </w:trPr>
        <w:tc>
          <w:tcPr>
            <w:tcW w:w="592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Granted</w:t>
            </w:r>
          </w:p>
        </w:tc>
        <w:tc>
          <w:tcPr>
            <w:tcW w:w="1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1,592,573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30.60</w:t>
            </w:r>
          </w:p>
        </w:tc>
        <w:tc>
          <w:tcPr>
            <w:tcW w:w="0" w:type="dxa"/>
            <w:vAlign w:val="bottom"/>
          </w:tcPr>
          <w:p>
            <w:pPr>
              <w:spacing w:after="0"/>
              <w:rPr>
                <w:sz w:val="1"/>
                <w:szCs w:val="1"/>
                <w:color w:val="auto"/>
              </w:rPr>
            </w:pPr>
          </w:p>
        </w:tc>
      </w:tr>
      <w:tr>
        <w:trPr>
          <w:trHeight w:val="223"/>
        </w:trPr>
        <w:tc>
          <w:tcPr>
            <w:tcW w:w="59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rPr>
              <w:t>Vested</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(1,797,779)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22.18</w:t>
            </w:r>
          </w:p>
        </w:tc>
        <w:tc>
          <w:tcPr>
            <w:tcW w:w="0" w:type="dxa"/>
            <w:vAlign w:val="bottom"/>
          </w:tcPr>
          <w:p>
            <w:pPr>
              <w:spacing w:after="0"/>
              <w:rPr>
                <w:sz w:val="1"/>
                <w:szCs w:val="1"/>
                <w:color w:val="auto"/>
              </w:rPr>
            </w:pPr>
          </w:p>
        </w:tc>
      </w:tr>
      <w:tr>
        <w:trPr>
          <w:trHeight w:val="223"/>
        </w:trPr>
        <w:tc>
          <w:tcPr>
            <w:tcW w:w="5920" w:type="dxa"/>
            <w:vAlign w:val="bottom"/>
            <w:tcBorders>
              <w:bottom w:val="single" w:sz="8" w:color="CCEEFF"/>
            </w:tcBorders>
          </w:tcPr>
          <w:p>
            <w:pPr>
              <w:ind w:left="420"/>
              <w:spacing w:after="0"/>
              <w:rPr>
                <w:sz w:val="20"/>
                <w:szCs w:val="20"/>
                <w:color w:val="auto"/>
              </w:rPr>
            </w:pPr>
            <w:r>
              <w:rPr>
                <w:rFonts w:ascii="Times New Roman" w:cs="Times New Roman" w:eastAsia="Times New Roman" w:hAnsi="Times New Roman"/>
                <w:sz w:val="17"/>
                <w:szCs w:val="17"/>
                <w:color w:val="auto"/>
              </w:rPr>
              <w:t>Forfeited</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(250,827)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28.26</w:t>
            </w:r>
          </w:p>
        </w:tc>
        <w:tc>
          <w:tcPr>
            <w:tcW w:w="0" w:type="dxa"/>
            <w:vAlign w:val="bottom"/>
          </w:tcPr>
          <w:p>
            <w:pPr>
              <w:spacing w:after="0"/>
              <w:rPr>
                <w:sz w:val="1"/>
                <w:szCs w:val="1"/>
                <w:color w:val="auto"/>
              </w:rPr>
            </w:pPr>
          </w:p>
        </w:tc>
      </w:tr>
      <w:tr>
        <w:trPr>
          <w:trHeight w:val="241"/>
        </w:trPr>
        <w:tc>
          <w:tcPr>
            <w:tcW w:w="5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Outstanding as of September 30, 2024*</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3,275,479</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28.98</w:t>
            </w:r>
          </w:p>
        </w:tc>
        <w:tc>
          <w:tcPr>
            <w:tcW w:w="0" w:type="dxa"/>
            <w:vAlign w:val="bottom"/>
          </w:tcPr>
          <w:p>
            <w:pPr>
              <w:spacing w:after="0"/>
              <w:rPr>
                <w:sz w:val="1"/>
                <w:szCs w:val="1"/>
                <w:color w:val="auto"/>
              </w:rPr>
            </w:pPr>
          </w:p>
        </w:tc>
      </w:tr>
      <w:tr>
        <w:trPr>
          <w:trHeight w:val="20"/>
        </w:trPr>
        <w:tc>
          <w:tcPr>
            <w:tcW w:w="592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firstLine="398"/>
        <w:spacing w:after="0" w:line="281" w:lineRule="auto"/>
        <w:tabs>
          <w:tab w:leader="none" w:pos="524" w:val="left"/>
        </w:tabs>
        <w:numPr>
          <w:ilvl w:val="0"/>
          <w:numId w:val="15"/>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color w:val="auto"/>
        </w:rPr>
        <w:t>As of September 30, 2024 and December 31, 2023 restricted stock units vested for which the underlying common stock is yet to be issued are 373,521 and 324,125, respectively.</w:t>
      </w:r>
    </w:p>
    <w:p>
      <w:pPr>
        <w:spacing w:after="0" w:line="15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As of September 30, 2024, unrecognized compensation cost of $71,783 is expected to be expensed over a weighted average period of 2.7 years.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Performance Based Stock Awards</w:t>
      </w:r>
    </w:p>
    <w:p>
      <w:pPr>
        <w:spacing w:after="0" w:line="239" w:lineRule="exact"/>
        <w:rPr>
          <w:sz w:val="20"/>
          <w:szCs w:val="20"/>
          <w:color w:val="auto"/>
        </w:rPr>
      </w:pPr>
    </w:p>
    <w:p>
      <w:pPr>
        <w:jc w:val="both"/>
        <w:ind w:firstLine="393"/>
        <w:spacing w:after="0" w:line="251" w:lineRule="auto"/>
        <w:rPr>
          <w:sz w:val="20"/>
          <w:szCs w:val="20"/>
          <w:color w:val="auto"/>
        </w:rPr>
      </w:pPr>
      <w:r>
        <w:rPr>
          <w:rFonts w:ascii="Times New Roman" w:cs="Times New Roman" w:eastAsia="Times New Roman" w:hAnsi="Times New Roman"/>
          <w:sz w:val="17"/>
          <w:szCs w:val="17"/>
          <w:color w:val="auto"/>
        </w:rPr>
        <w:t>Under the 2018 Plan, the Company grants performance-based restricted stock units (“PRSUs”) to executive officers and other specified employees. During the nine months ended September 30, 2024, the Company granted 40% of each award recipient’s equity grants in the form of PRSUs that cliff vest at the end of a three-year period based on an aggregated revenue target for a three-year period. The remaining 60% of each award recipient’s equity grants are PRSUs that are based on market conditions, contingent on the Company’s meeting a total shareholder return relative to a group of peer companies specified under the 2018 Plan, and are measured over a three-year performance period.</w:t>
      </w:r>
    </w:p>
    <w:p>
      <w:pPr>
        <w:spacing w:after="0" w:line="19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PRSU activity under the Company’s stock plans is shown below:</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60" w:type="dxa"/>
            <w:vAlign w:val="bottom"/>
          </w:tcPr>
          <w:p>
            <w:pPr>
              <w:spacing w:after="0"/>
              <w:rPr>
                <w:sz w:val="16"/>
                <w:szCs w:val="16"/>
                <w:color w:val="auto"/>
              </w:rPr>
            </w:pPr>
          </w:p>
        </w:tc>
        <w:tc>
          <w:tcPr>
            <w:tcW w:w="3940" w:type="dxa"/>
            <w:vAlign w:val="bottom"/>
          </w:tcPr>
          <w:p>
            <w:pPr>
              <w:spacing w:after="0"/>
              <w:rPr>
                <w:sz w:val="16"/>
                <w:szCs w:val="16"/>
                <w:color w:val="auto"/>
              </w:rPr>
            </w:pPr>
          </w:p>
        </w:tc>
        <w:tc>
          <w:tcPr>
            <w:tcW w:w="3040" w:type="dxa"/>
            <w:vAlign w:val="bottom"/>
            <w:gridSpan w:val="5"/>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Revenue Based PRSUs</w:t>
            </w:r>
          </w:p>
        </w:tc>
        <w:tc>
          <w:tcPr>
            <w:tcW w:w="3400" w:type="dxa"/>
            <w:vAlign w:val="bottom"/>
            <w:gridSpan w:val="5"/>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Market Condition Based PRSUs</w:t>
            </w:r>
          </w:p>
        </w:tc>
        <w:tc>
          <w:tcPr>
            <w:tcW w:w="0" w:type="dxa"/>
            <w:vAlign w:val="bottom"/>
          </w:tcPr>
          <w:p>
            <w:pPr>
              <w:spacing w:after="0"/>
              <w:rPr>
                <w:sz w:val="1"/>
                <w:szCs w:val="1"/>
                <w:color w:val="auto"/>
              </w:rPr>
            </w:pPr>
          </w:p>
        </w:tc>
      </w:tr>
      <w:tr>
        <w:trPr>
          <w:trHeight w:val="24"/>
        </w:trPr>
        <w:tc>
          <w:tcPr>
            <w:tcW w:w="860" w:type="dxa"/>
            <w:vAlign w:val="bottom"/>
          </w:tcPr>
          <w:p>
            <w:pPr>
              <w:spacing w:after="0"/>
              <w:rPr>
                <w:sz w:val="2"/>
                <w:szCs w:val="2"/>
                <w:color w:val="auto"/>
              </w:rPr>
            </w:pPr>
          </w:p>
        </w:tc>
        <w:tc>
          <w:tcPr>
            <w:tcW w:w="39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860" w:type="dxa"/>
            <w:vAlign w:val="bottom"/>
          </w:tcPr>
          <w:p>
            <w:pPr>
              <w:spacing w:after="0"/>
              <w:rPr>
                <w:sz w:val="10"/>
                <w:szCs w:val="10"/>
                <w:color w:val="auto"/>
              </w:rPr>
            </w:pPr>
          </w:p>
        </w:tc>
        <w:tc>
          <w:tcPr>
            <w:tcW w:w="3940" w:type="dxa"/>
            <w:vAlign w:val="bottom"/>
          </w:tcPr>
          <w:p>
            <w:pPr>
              <w:spacing w:after="0"/>
              <w:rPr>
                <w:sz w:val="10"/>
                <w:szCs w:val="10"/>
                <w:color w:val="auto"/>
              </w:rPr>
            </w:pPr>
          </w:p>
        </w:tc>
        <w:tc>
          <w:tcPr>
            <w:tcW w:w="1400" w:type="dxa"/>
            <w:vAlign w:val="bottom"/>
            <w:tcBorders>
              <w:top w:val="single" w:sz="8" w:color="auto"/>
            </w:tcBorders>
            <w:gridSpan w:val="2"/>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60" w:type="dxa"/>
            <w:vAlign w:val="bottom"/>
            <w:tcBorders>
              <w:top w:val="single" w:sz="8" w:color="auto"/>
            </w:tcBorders>
          </w:tcPr>
          <w:p>
            <w:pPr>
              <w:spacing w:after="0"/>
              <w:rPr>
                <w:sz w:val="10"/>
                <w:szCs w:val="10"/>
                <w:color w:val="auto"/>
              </w:rPr>
            </w:pPr>
          </w:p>
        </w:tc>
        <w:tc>
          <w:tcPr>
            <w:tcW w:w="1360" w:type="dxa"/>
            <w:vAlign w:val="bottom"/>
            <w:tcBorders>
              <w:top w:val="single" w:sz="8" w:color="auto"/>
            </w:tcBorders>
          </w:tcPr>
          <w:p>
            <w:pPr>
              <w:jc w:val="center"/>
              <w:ind w:right="78"/>
              <w:spacing w:after="0" w:line="126" w:lineRule="exact"/>
              <w:rPr>
                <w:sz w:val="20"/>
                <w:szCs w:val="20"/>
                <w:color w:val="auto"/>
              </w:rPr>
            </w:pPr>
            <w:r>
              <w:rPr>
                <w:rFonts w:ascii="Times New Roman" w:cs="Times New Roman" w:eastAsia="Times New Roman" w:hAnsi="Times New Roman"/>
                <w:sz w:val="14"/>
                <w:szCs w:val="14"/>
                <w:b w:val="1"/>
                <w:bCs w:val="1"/>
                <w:color w:val="auto"/>
                <w:w w:val="97"/>
              </w:rPr>
              <w:t>Weighted Average</w:t>
            </w:r>
          </w:p>
        </w:tc>
        <w:tc>
          <w:tcPr>
            <w:tcW w:w="120" w:type="dxa"/>
            <w:vAlign w:val="bottom"/>
          </w:tcPr>
          <w:p>
            <w:pPr>
              <w:spacing w:after="0"/>
              <w:rPr>
                <w:sz w:val="10"/>
                <w:szCs w:val="10"/>
                <w:color w:val="auto"/>
              </w:rPr>
            </w:pPr>
          </w:p>
        </w:tc>
        <w:tc>
          <w:tcPr>
            <w:tcW w:w="1400" w:type="dxa"/>
            <w:vAlign w:val="bottom"/>
            <w:tcBorders>
              <w:top w:val="single" w:sz="8" w:color="auto"/>
            </w:tcBorders>
            <w:gridSpan w:val="2"/>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80" w:type="dxa"/>
            <w:vAlign w:val="bottom"/>
            <w:tcBorders>
              <w:top w:val="single" w:sz="8" w:color="auto"/>
            </w:tcBorders>
          </w:tcPr>
          <w:p>
            <w:pPr>
              <w:spacing w:after="0"/>
              <w:rPr>
                <w:sz w:val="10"/>
                <w:szCs w:val="10"/>
                <w:color w:val="auto"/>
              </w:rPr>
            </w:pPr>
          </w:p>
        </w:tc>
        <w:tc>
          <w:tcPr>
            <w:tcW w:w="1380" w:type="dxa"/>
            <w:vAlign w:val="bottom"/>
            <w:tcBorders>
              <w:top w:val="single" w:sz="8" w:color="auto"/>
            </w:tcBorders>
          </w:tcPr>
          <w:p>
            <w:pPr>
              <w:jc w:val="center"/>
              <w:ind w:right="98"/>
              <w:spacing w:after="0" w:line="126" w:lineRule="exact"/>
              <w:rPr>
                <w:sz w:val="20"/>
                <w:szCs w:val="20"/>
                <w:color w:val="auto"/>
              </w:rPr>
            </w:pPr>
            <w:r>
              <w:rPr>
                <w:rFonts w:ascii="Times New Roman" w:cs="Times New Roman" w:eastAsia="Times New Roman" w:hAnsi="Times New Roman"/>
                <w:sz w:val="14"/>
                <w:szCs w:val="14"/>
                <w:b w:val="1"/>
                <w:bCs w:val="1"/>
                <w:color w:val="auto"/>
                <w:w w:val="97"/>
              </w:rPr>
              <w:t>Weighted Average</w:t>
            </w: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6"/>
        </w:trPr>
        <w:tc>
          <w:tcPr>
            <w:tcW w:w="860" w:type="dxa"/>
            <w:vAlign w:val="bottom"/>
          </w:tcPr>
          <w:p>
            <w:pPr>
              <w:spacing w:after="0"/>
              <w:rPr>
                <w:sz w:val="9"/>
                <w:szCs w:val="9"/>
                <w:color w:val="auto"/>
              </w:rPr>
            </w:pPr>
          </w:p>
        </w:tc>
        <w:tc>
          <w:tcPr>
            <w:tcW w:w="3940" w:type="dxa"/>
            <w:vAlign w:val="bottom"/>
          </w:tcPr>
          <w:p>
            <w:pPr>
              <w:spacing w:after="0"/>
              <w:rPr>
                <w:sz w:val="9"/>
                <w:szCs w:val="9"/>
                <w:color w:val="auto"/>
              </w:rPr>
            </w:pPr>
          </w:p>
        </w:tc>
        <w:tc>
          <w:tcPr>
            <w:tcW w:w="140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4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6"/>
              </w:rPr>
              <w:t>Fair Value</w:t>
            </w:r>
          </w:p>
        </w:tc>
        <w:tc>
          <w:tcPr>
            <w:tcW w:w="140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1820" w:type="dxa"/>
            <w:vAlign w:val="bottom"/>
            <w:gridSpan w:val="2"/>
            <w:vMerge w:val="restart"/>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w w:val="96"/>
              </w:rPr>
              <w:t>Fair Value</w:t>
            </w:r>
          </w:p>
        </w:tc>
        <w:tc>
          <w:tcPr>
            <w:tcW w:w="0" w:type="dxa"/>
            <w:vAlign w:val="bottom"/>
          </w:tcPr>
          <w:p>
            <w:pPr>
              <w:spacing w:after="0"/>
              <w:rPr>
                <w:sz w:val="1"/>
                <w:szCs w:val="1"/>
                <w:color w:val="auto"/>
              </w:rPr>
            </w:pPr>
          </w:p>
        </w:tc>
      </w:tr>
      <w:tr>
        <w:trPr>
          <w:trHeight w:val="84"/>
        </w:trPr>
        <w:tc>
          <w:tcPr>
            <w:tcW w:w="860" w:type="dxa"/>
            <w:vAlign w:val="bottom"/>
          </w:tcPr>
          <w:p>
            <w:pPr>
              <w:spacing w:after="0"/>
              <w:rPr>
                <w:sz w:val="7"/>
                <w:szCs w:val="7"/>
                <w:color w:val="auto"/>
              </w:rPr>
            </w:pPr>
          </w:p>
        </w:tc>
        <w:tc>
          <w:tcPr>
            <w:tcW w:w="394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80" w:type="dxa"/>
            <w:vAlign w:val="bottom"/>
            <w:gridSpan w:val="2"/>
            <w:vMerge w:val="continue"/>
          </w:tcPr>
          <w:p>
            <w:pPr>
              <w:spacing w:after="0"/>
              <w:rPr>
                <w:sz w:val="7"/>
                <w:szCs w:val="7"/>
                <w:color w:val="auto"/>
              </w:rPr>
            </w:pPr>
          </w:p>
        </w:tc>
        <w:tc>
          <w:tcPr>
            <w:tcW w:w="1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8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860" w:type="dxa"/>
            <w:vAlign w:val="bottom"/>
          </w:tcPr>
          <w:p>
            <w:pPr>
              <w:spacing w:after="0"/>
              <w:rPr>
                <w:sz w:val="19"/>
                <w:szCs w:val="19"/>
                <w:color w:val="auto"/>
              </w:rPr>
            </w:pPr>
          </w:p>
        </w:tc>
        <w:tc>
          <w:tcPr>
            <w:tcW w:w="3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Outstanding as of December 31, 2023</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438,000</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29.16</w:t>
            </w:r>
          </w:p>
        </w:tc>
        <w:tc>
          <w:tcPr>
            <w:tcW w:w="12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656,450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37.78</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60" w:type="dxa"/>
            <w:vAlign w:val="bottom"/>
          </w:tcPr>
          <w:p>
            <w:pPr>
              <w:spacing w:after="0"/>
              <w:rPr>
                <w:sz w:val="19"/>
                <w:szCs w:val="19"/>
                <w:color w:val="auto"/>
              </w:rPr>
            </w:pPr>
          </w:p>
        </w:tc>
        <w:tc>
          <w:tcPr>
            <w:tcW w:w="39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Granted</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344,535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30.44</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516,692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44.33</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60" w:type="dxa"/>
            <w:vAlign w:val="bottom"/>
          </w:tcPr>
          <w:p>
            <w:pPr>
              <w:spacing w:after="0"/>
              <w:rPr>
                <w:sz w:val="19"/>
                <w:szCs w:val="19"/>
                <w:color w:val="auto"/>
              </w:rPr>
            </w:pPr>
          </w:p>
        </w:tc>
        <w:tc>
          <w:tcPr>
            <w:tcW w:w="39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Vested</w:t>
            </w: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60" w:type="dxa"/>
            <w:vAlign w:val="bottom"/>
          </w:tcPr>
          <w:p>
            <w:pPr>
              <w:spacing w:after="0"/>
              <w:rPr>
                <w:sz w:val="19"/>
                <w:szCs w:val="19"/>
                <w:color w:val="auto"/>
              </w:rPr>
            </w:pPr>
          </w:p>
        </w:tc>
        <w:tc>
          <w:tcPr>
            <w:tcW w:w="39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7"/>
                <w:szCs w:val="17"/>
                <w:color w:val="auto"/>
              </w:rPr>
              <w:t>Forfeited</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(26,338)</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29.72</w:t>
            </w:r>
          </w:p>
        </w:tc>
        <w:tc>
          <w:tcPr>
            <w:tcW w:w="12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(39,436)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39.89</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860" w:type="dxa"/>
            <w:vAlign w:val="bottom"/>
          </w:tcPr>
          <w:p>
            <w:pPr>
              <w:spacing w:after="0"/>
              <w:rPr>
                <w:sz w:val="20"/>
                <w:szCs w:val="20"/>
                <w:color w:val="auto"/>
              </w:rPr>
            </w:pPr>
          </w:p>
        </w:tc>
        <w:tc>
          <w:tcPr>
            <w:tcW w:w="3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Outstanding as of September 30, 2024</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756,197</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29.72</w:t>
            </w:r>
          </w:p>
        </w:tc>
        <w:tc>
          <w:tcPr>
            <w:tcW w:w="1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1,133,706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40.69</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39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1"/>
        </w:trPr>
        <w:tc>
          <w:tcPr>
            <w:tcW w:w="8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1280" w:type="dxa"/>
            <w:vAlign w:val="bottom"/>
          </w:tcPr>
          <w:p>
            <w:pPr>
              <w:jc w:val="right"/>
              <w:ind w:right="277"/>
              <w:spacing w:after="0"/>
              <w:rPr>
                <w:sz w:val="20"/>
                <w:szCs w:val="20"/>
                <w:color w:val="auto"/>
              </w:rPr>
            </w:pPr>
            <w:r>
              <w:rPr>
                <w:rFonts w:ascii="Times New Roman" w:cs="Times New Roman" w:eastAsia="Times New Roman" w:hAnsi="Times New Roman"/>
                <w:sz w:val="17"/>
                <w:szCs w:val="17"/>
                <w:color w:val="auto"/>
              </w:rPr>
              <w:t>34</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860" w:type="dxa"/>
            <w:vAlign w:val="bottom"/>
            <w:tcBorders>
              <w:bottom w:val="single" w:sz="8" w:color="9A9A9A"/>
            </w:tcBorders>
          </w:tcPr>
          <w:p>
            <w:pPr>
              <w:spacing w:after="0"/>
              <w:rPr>
                <w:sz w:val="9"/>
                <w:szCs w:val="9"/>
                <w:color w:val="auto"/>
              </w:rPr>
            </w:pPr>
          </w:p>
        </w:tc>
        <w:tc>
          <w:tcPr>
            <w:tcW w:w="3940" w:type="dxa"/>
            <w:vAlign w:val="bottom"/>
            <w:tcBorders>
              <w:bottom w:val="single" w:sz="8" w:color="9A9A9A"/>
            </w:tcBorders>
          </w:tcPr>
          <w:p>
            <w:pPr>
              <w:spacing w:after="0"/>
              <w:rPr>
                <w:sz w:val="9"/>
                <w:szCs w:val="9"/>
                <w:color w:val="auto"/>
              </w:rPr>
            </w:pPr>
          </w:p>
        </w:tc>
        <w:tc>
          <w:tcPr>
            <w:tcW w:w="12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38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EXLSERVICE HOLDINGS, INC.</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UNAUDITED CONSOLIDATED FINANCIAL STATEMENTS—(continued)</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September 30, 2024</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per share amount and share count)</w:t>
      </w:r>
    </w:p>
    <w:p>
      <w:pPr>
        <w:spacing w:after="0" w:line="350" w:lineRule="exact"/>
        <w:rPr>
          <w:sz w:val="20"/>
          <w:szCs w:val="20"/>
          <w:color w:val="auto"/>
        </w:rPr>
      </w:pPr>
    </w:p>
    <w:p>
      <w:pPr>
        <w:ind w:right="760" w:firstLine="433"/>
        <w:spacing w:after="0" w:line="442" w:lineRule="auto"/>
        <w:rPr>
          <w:sz w:val="20"/>
          <w:szCs w:val="20"/>
          <w:color w:val="auto"/>
        </w:rPr>
      </w:pPr>
      <w:r>
        <w:rPr>
          <w:rFonts w:ascii="Times New Roman" w:cs="Times New Roman" w:eastAsia="Times New Roman" w:hAnsi="Times New Roman"/>
          <w:sz w:val="17"/>
          <w:szCs w:val="17"/>
          <w:color w:val="auto"/>
        </w:rPr>
        <w:t xml:space="preserve">As of September 30, 2024, unrecognized compensation cost of $36,698 is expected to be expensed over a weighted average period of 1.9 years. </w:t>
      </w:r>
      <w:r>
        <w:rPr>
          <w:rFonts w:ascii="Times New Roman" w:cs="Times New Roman" w:eastAsia="Times New Roman" w:hAnsi="Times New Roman"/>
          <w:sz w:val="17"/>
          <w:szCs w:val="17"/>
          <w:b w:val="1"/>
          <w:bCs w:val="1"/>
          <w:color w:val="auto"/>
        </w:rPr>
        <w:t>Employee Stock Purchase Plan</w:t>
      </w:r>
    </w:p>
    <w:p>
      <w:pPr>
        <w:spacing w:after="0" w:line="41" w:lineRule="exact"/>
        <w:rPr>
          <w:sz w:val="20"/>
          <w:szCs w:val="20"/>
          <w:color w:val="auto"/>
        </w:rPr>
      </w:pPr>
    </w:p>
    <w:p>
      <w:pPr>
        <w:jc w:val="both"/>
        <w:ind w:firstLine="393"/>
        <w:spacing w:after="0" w:line="281" w:lineRule="auto"/>
        <w:rPr>
          <w:sz w:val="20"/>
          <w:szCs w:val="20"/>
          <w:color w:val="auto"/>
        </w:rPr>
      </w:pPr>
      <w:r>
        <w:rPr>
          <w:rFonts w:ascii="Times New Roman" w:cs="Times New Roman" w:eastAsia="Times New Roman" w:hAnsi="Times New Roman"/>
          <w:sz w:val="17"/>
          <w:szCs w:val="17"/>
          <w:color w:val="auto"/>
        </w:rPr>
        <w:t>On June 21, 2022, at the annual meeting of stockholders of the Company, the Company’s stockholders approved the ExlService Holdings, Inc. 2022 Employee Stock Purchase Plan (the “2022 ESPP”).</w:t>
      </w:r>
    </w:p>
    <w:p>
      <w:pPr>
        <w:spacing w:after="0" w:line="159" w:lineRule="exact"/>
        <w:rPr>
          <w:sz w:val="20"/>
          <w:szCs w:val="20"/>
          <w:color w:val="auto"/>
        </w:rPr>
      </w:pPr>
    </w:p>
    <w:p>
      <w:pPr>
        <w:jc w:val="both"/>
        <w:ind w:firstLine="393"/>
        <w:spacing w:after="0" w:line="252" w:lineRule="auto"/>
        <w:rPr>
          <w:sz w:val="20"/>
          <w:szCs w:val="20"/>
          <w:color w:val="auto"/>
        </w:rPr>
      </w:pPr>
      <w:r>
        <w:rPr>
          <w:rFonts w:ascii="Times New Roman" w:cs="Times New Roman" w:eastAsia="Times New Roman" w:hAnsi="Times New Roman"/>
          <w:sz w:val="17"/>
          <w:szCs w:val="17"/>
          <w:color w:val="auto"/>
        </w:rPr>
        <w:t>The 2022 ESPP allows eligible employees to purchase the Company’s shares of common stock through payroll deductions at a pre-specified discount to the lower of closing price of the Company’s common shares on the date of offering or the last business day of each purchase interval. The dollar amount of shares of common stock that can be purchased under the 2022 ESPP must not exceed 15% of the participating employee’s compensation during the offering period, subject to a cap of $25 per employee per calendar year. The Company has reserved 4,000,000 shares of common stock for issuance under the 2022 ESPP.</w:t>
      </w:r>
    </w:p>
    <w:p>
      <w:pPr>
        <w:spacing w:after="0" w:line="39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The fifth offering period under the 2022 ESPP commenced on July 1, 2024 with a term of six months.</w:t>
      </w:r>
    </w:p>
    <w:p>
      <w:pPr>
        <w:spacing w:after="0" w:line="25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Activity under the Company’s 2022 ESPP is shown below:</w:t>
      </w:r>
    </w:p>
    <w:p>
      <w:pPr>
        <w:spacing w:after="0" w:line="275" w:lineRule="exact"/>
        <w:rPr>
          <w:sz w:val="20"/>
          <w:szCs w:val="20"/>
          <w:color w:val="auto"/>
        </w:rPr>
      </w:pPr>
    </w:p>
    <w:tbl>
      <w:tblPr>
        <w:tblLayout w:type="fixed"/>
        <w:tblInd w:w="400" w:type="dxa"/>
        <w:tblCellMar>
          <w:top w:w="0" w:type="dxa"/>
          <w:left w:w="0" w:type="dxa"/>
          <w:bottom w:w="0" w:type="dxa"/>
          <w:right w:w="0" w:type="dxa"/>
        </w:tblCellMar>
      </w:tblPr>
      <w:tr>
        <w:trPr>
          <w:trHeight w:val="170"/>
        </w:trPr>
        <w:tc>
          <w:tcPr>
            <w:tcW w:w="5900" w:type="dxa"/>
            <w:vAlign w:val="bottom"/>
          </w:tcPr>
          <w:p>
            <w:pPr>
              <w:spacing w:after="0"/>
              <w:rPr>
                <w:sz w:val="14"/>
                <w:szCs w:val="14"/>
                <w:color w:val="auto"/>
              </w:rPr>
            </w:pPr>
          </w:p>
        </w:tc>
        <w:tc>
          <w:tcPr>
            <w:tcW w:w="1500" w:type="dxa"/>
            <w:vAlign w:val="bottom"/>
            <w:tcBorders>
              <w:top w:val="single" w:sz="8" w:color="auto"/>
            </w:tcBorders>
            <w:vMerge w:val="restart"/>
          </w:tcPr>
          <w:p>
            <w:pPr>
              <w:jc w:val="right"/>
              <w:ind w:right="394"/>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8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jc w:val="right"/>
              <w:ind w:right="176"/>
              <w:spacing w:after="0" w:line="171" w:lineRule="exact"/>
              <w:rPr>
                <w:sz w:val="20"/>
                <w:szCs w:val="20"/>
                <w:color w:val="auto"/>
              </w:rPr>
            </w:pPr>
            <w:r>
              <w:rPr>
                <w:rFonts w:ascii="Times New Roman" w:cs="Times New Roman" w:eastAsia="Times New Roman" w:hAnsi="Times New Roman"/>
                <w:sz w:val="16"/>
                <w:szCs w:val="16"/>
                <w:b w:val="1"/>
                <w:bCs w:val="1"/>
                <w:color w:val="auto"/>
              </w:rPr>
              <w:t>Total Proceeds</w:t>
            </w:r>
          </w:p>
        </w:tc>
        <w:tc>
          <w:tcPr>
            <w:tcW w:w="0" w:type="dxa"/>
            <w:vAlign w:val="bottom"/>
          </w:tcPr>
          <w:p>
            <w:pPr>
              <w:spacing w:after="0"/>
              <w:rPr>
                <w:sz w:val="1"/>
                <w:szCs w:val="1"/>
                <w:color w:val="auto"/>
              </w:rPr>
            </w:pPr>
          </w:p>
        </w:tc>
      </w:tr>
      <w:tr>
        <w:trPr>
          <w:trHeight w:val="209"/>
        </w:trPr>
        <w:tc>
          <w:tcPr>
            <w:tcW w:w="5900" w:type="dxa"/>
            <w:vAlign w:val="bottom"/>
            <w:tcBorders>
              <w:bottom w:val="single" w:sz="8" w:color="CCEEFF"/>
            </w:tcBorders>
          </w:tcPr>
          <w:p>
            <w:pPr>
              <w:spacing w:after="0"/>
              <w:rPr>
                <w:sz w:val="18"/>
                <w:szCs w:val="18"/>
                <w:color w:val="auto"/>
              </w:rPr>
            </w:pPr>
          </w:p>
        </w:tc>
        <w:tc>
          <w:tcPr>
            <w:tcW w:w="150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6"/>
                <w:szCs w:val="16"/>
                <w:b w:val="1"/>
                <w:bCs w:val="1"/>
                <w:color w:val="auto"/>
              </w:rPr>
              <w:t>Received</w:t>
            </w:r>
          </w:p>
        </w:tc>
        <w:tc>
          <w:tcPr>
            <w:tcW w:w="0" w:type="dxa"/>
            <w:vAlign w:val="bottom"/>
          </w:tcPr>
          <w:p>
            <w:pPr>
              <w:spacing w:after="0"/>
              <w:rPr>
                <w:sz w:val="1"/>
                <w:szCs w:val="1"/>
                <w:color w:val="auto"/>
              </w:rPr>
            </w:pPr>
          </w:p>
        </w:tc>
      </w:tr>
      <w:tr>
        <w:trPr>
          <w:trHeight w:val="217"/>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Shares available for issuance as of December 31, 2023</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3,831,325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Issuance of common stock related to the:</w:t>
            </w:r>
          </w:p>
        </w:tc>
        <w:tc>
          <w:tcPr>
            <w:tcW w:w="1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Third offering period</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71,645</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1,948</w:t>
            </w:r>
          </w:p>
        </w:tc>
        <w:tc>
          <w:tcPr>
            <w:tcW w:w="0" w:type="dxa"/>
            <w:vAlign w:val="bottom"/>
          </w:tcPr>
          <w:p>
            <w:pPr>
              <w:spacing w:after="0"/>
              <w:rPr>
                <w:sz w:val="1"/>
                <w:szCs w:val="1"/>
                <w:color w:val="auto"/>
              </w:rPr>
            </w:pPr>
          </w:p>
        </w:tc>
      </w:tr>
      <w:tr>
        <w:trPr>
          <w:trHeight w:val="223"/>
        </w:trPr>
        <w:tc>
          <w:tcPr>
            <w:tcW w:w="59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Fourth offering period</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86,936</w:t>
            </w:r>
          </w:p>
        </w:tc>
        <w:tc>
          <w:tcPr>
            <w:tcW w:w="280" w:type="dxa"/>
            <w:vAlign w:val="bottom"/>
            <w:tcBorders>
              <w:bottom w:val="single" w:sz="8" w:color="CCEEFF"/>
            </w:tcBorders>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2,414</w:t>
            </w:r>
          </w:p>
        </w:tc>
        <w:tc>
          <w:tcPr>
            <w:tcW w:w="0" w:type="dxa"/>
            <w:vAlign w:val="bottom"/>
          </w:tcPr>
          <w:p>
            <w:pPr>
              <w:spacing w:after="0"/>
              <w:rPr>
                <w:sz w:val="1"/>
                <w:szCs w:val="1"/>
                <w:color w:val="auto"/>
              </w:rPr>
            </w:pPr>
          </w:p>
        </w:tc>
      </w:tr>
      <w:tr>
        <w:trPr>
          <w:trHeight w:val="241"/>
        </w:trPr>
        <w:tc>
          <w:tcPr>
            <w:tcW w:w="5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Shares available for issuance as of September 30, 2024</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3,672,744</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9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Contributions received for the fifth offering period up to September 30, 2024</w:t>
            </w: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CCEEFF"/>
            </w:tcBorders>
            <w:gridSpan w:val="2"/>
            <w:vMerge w:val="restart"/>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1,146</w:t>
            </w:r>
          </w:p>
        </w:tc>
        <w:tc>
          <w:tcPr>
            <w:tcW w:w="0" w:type="dxa"/>
            <w:vAlign w:val="bottom"/>
          </w:tcPr>
          <w:p>
            <w:pPr>
              <w:spacing w:after="0" w:line="20" w:lineRule="exact"/>
              <w:rPr>
                <w:sz w:val="1"/>
                <w:szCs w:val="1"/>
                <w:color w:val="auto"/>
              </w:rPr>
            </w:pPr>
          </w:p>
        </w:tc>
      </w:tr>
      <w:tr>
        <w:trPr>
          <w:trHeight w:val="174"/>
        </w:trPr>
        <w:tc>
          <w:tcPr>
            <w:tcW w:w="5900" w:type="dxa"/>
            <w:vAlign w:val="bottom"/>
            <w:vMerge w:val="continue"/>
          </w:tcPr>
          <w:p>
            <w:pPr>
              <w:spacing w:after="0"/>
              <w:rPr>
                <w:sz w:val="15"/>
                <w:szCs w:val="15"/>
                <w:color w:val="auto"/>
              </w:rPr>
            </w:pPr>
          </w:p>
        </w:tc>
        <w:tc>
          <w:tcPr>
            <w:tcW w:w="1500" w:type="dxa"/>
            <w:vAlign w:val="bottom"/>
          </w:tcPr>
          <w:p>
            <w:pPr>
              <w:spacing w:after="0"/>
              <w:rPr>
                <w:sz w:val="15"/>
                <w:szCs w:val="15"/>
                <w:color w:val="auto"/>
              </w:rPr>
            </w:pPr>
          </w:p>
        </w:tc>
        <w:tc>
          <w:tcPr>
            <w:tcW w:w="280" w:type="dxa"/>
            <w:vAlign w:val="bottom"/>
            <w:gridSpan w:val="2"/>
            <w:vMerge w:val="continue"/>
          </w:tcPr>
          <w:p>
            <w:pPr>
              <w:spacing w:after="0"/>
              <w:rPr>
                <w:sz w:val="15"/>
                <w:szCs w:val="15"/>
                <w:color w:val="auto"/>
              </w:rPr>
            </w:pPr>
          </w:p>
        </w:tc>
        <w:tc>
          <w:tcPr>
            <w:tcW w:w="13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24. Related Party Disclosures</w:t>
      </w:r>
    </w:p>
    <w:p>
      <w:pPr>
        <w:spacing w:after="0" w:line="252" w:lineRule="exact"/>
        <w:rPr>
          <w:sz w:val="20"/>
          <w:szCs w:val="20"/>
          <w:color w:val="auto"/>
        </w:rPr>
      </w:pPr>
    </w:p>
    <w:p>
      <w:pPr>
        <w:jc w:val="both"/>
        <w:ind w:firstLine="433"/>
        <w:spacing w:after="0" w:line="255" w:lineRule="auto"/>
        <w:rPr>
          <w:sz w:val="20"/>
          <w:szCs w:val="20"/>
          <w:color w:val="auto"/>
        </w:rPr>
      </w:pPr>
      <w:r>
        <w:rPr>
          <w:rFonts w:ascii="Times New Roman" w:cs="Times New Roman" w:eastAsia="Times New Roman" w:hAnsi="Times New Roman"/>
          <w:sz w:val="17"/>
          <w:szCs w:val="17"/>
          <w:color w:val="auto"/>
        </w:rPr>
        <w:t>In April 2022, the Company entered into a service contract for providing analytics services to The Vanguard Group Inc., which reported that it beneficially owns approximately 10% of the Company’s common stock as of December 31, 2023. During the three months ended September 30, 2024 and 2023, the Company recognized revenues, net of $140 and $354, respectively, related to this service contract. During the nine months ended September 30, 2024 and 2023, the Company recognized revenues, net of $516 and $1,684, respectively, related to this service contract. The Company had outstanding accounts receivable, net of $84 and $209, related to this service contract as of September 30, 2024 and December 31, 2023, respectively.</w:t>
      </w:r>
    </w:p>
    <w:p>
      <w:pPr>
        <w:spacing w:after="0" w:line="194" w:lineRule="exact"/>
        <w:rPr>
          <w:sz w:val="20"/>
          <w:szCs w:val="20"/>
          <w:color w:val="auto"/>
        </w:rPr>
      </w:pPr>
    </w:p>
    <w:p>
      <w:pPr>
        <w:jc w:val="both"/>
        <w:ind w:firstLine="433"/>
        <w:spacing w:after="0" w:line="269" w:lineRule="auto"/>
        <w:rPr>
          <w:sz w:val="20"/>
          <w:szCs w:val="20"/>
          <w:color w:val="auto"/>
        </w:rPr>
      </w:pPr>
      <w:r>
        <w:rPr>
          <w:rFonts w:ascii="Times New Roman" w:cs="Times New Roman" w:eastAsia="Times New Roman" w:hAnsi="Times New Roman"/>
          <w:sz w:val="17"/>
          <w:szCs w:val="17"/>
          <w:color w:val="auto"/>
        </w:rPr>
        <w:t>In February 2024, the Company entered into a service contract for providing analytics services to Corridor Platforms, Inc., which is an equity affiliate of the Company. During the three and nine months ended September 30, 2024, the Company recognized revenues, net of $80 and $382, respectively, related to this service contract. The Company had outstanding accounts receivable, net of $65 related to this service contract as of September 30, 2024.</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25. Commitments and Contingencies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Capital Commitments</w:t>
      </w:r>
    </w:p>
    <w:p>
      <w:pPr>
        <w:spacing w:after="0" w:line="241" w:lineRule="exact"/>
        <w:rPr>
          <w:sz w:val="20"/>
          <w:szCs w:val="20"/>
          <w:color w:val="auto"/>
        </w:rPr>
      </w:pPr>
    </w:p>
    <w:p>
      <w:pPr>
        <w:jc w:val="both"/>
        <w:ind w:firstLine="433"/>
        <w:spacing w:after="0" w:line="268" w:lineRule="auto"/>
        <w:rPr>
          <w:sz w:val="20"/>
          <w:szCs w:val="20"/>
          <w:color w:val="auto"/>
        </w:rPr>
      </w:pPr>
      <w:r>
        <w:rPr>
          <w:rFonts w:ascii="Times New Roman" w:cs="Times New Roman" w:eastAsia="Times New Roman" w:hAnsi="Times New Roman"/>
          <w:sz w:val="17"/>
          <w:szCs w:val="17"/>
          <w:color w:val="auto"/>
        </w:rPr>
        <w:t>As of September 30, 2024, the Company had committed to spend approximately $6,300 under agreements to purchase property and equipment. This amount is net of capital advances paid which are recognized in unaudited consolidated balance sheets as “Capital work in progress” under “Property and equipment.”</w:t>
      </w:r>
    </w:p>
    <w:p>
      <w:pPr>
        <w:spacing w:after="0" w:line="390" w:lineRule="exact"/>
        <w:rPr>
          <w:sz w:val="20"/>
          <w:szCs w:val="20"/>
          <w:color w:val="auto"/>
        </w:rPr>
      </w:pPr>
    </w:p>
    <w:p>
      <w:pPr>
        <w:jc w:val="both"/>
        <w:ind w:firstLine="433"/>
        <w:spacing w:after="0" w:line="261" w:lineRule="auto"/>
        <w:rPr>
          <w:sz w:val="20"/>
          <w:szCs w:val="20"/>
          <w:color w:val="auto"/>
        </w:rPr>
      </w:pPr>
      <w:r>
        <w:rPr>
          <w:rFonts w:ascii="Times New Roman" w:cs="Times New Roman" w:eastAsia="Times New Roman" w:hAnsi="Times New Roman"/>
          <w:sz w:val="17"/>
          <w:szCs w:val="17"/>
          <w:color w:val="auto"/>
        </w:rPr>
        <w:t>On June 15, 2023, the Company, along with other limited partners, entered into a limited partnership agreement with the general partner, PNP Financial Services Fund GP I, LLC and initial limited partner and outgoing partner, to form a partnership with the name Plug and Play Financial Services Fund I, L.P. (the “Partnership”) for the primary purpose of making investments</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EXLSERVICE HOLDINGS, INC.</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UNAUDITED CONSOLIDATED FINANCIAL STATEMENTS—(continued)</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September 30, 2024</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per share amount and share count)</w:t>
      </w:r>
    </w:p>
    <w:p>
      <w:pPr>
        <w:spacing w:after="0" w:line="21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in growth-stage technology companies. During the nine months ended September 30, 2024, the Company further invested $600 in the Partnership and is committed under the Partnership to make further investments up to an amount of $2,800.</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Other Commitments</w:t>
      </w:r>
    </w:p>
    <w:p>
      <w:pPr>
        <w:spacing w:after="0" w:line="241" w:lineRule="exact"/>
        <w:rPr>
          <w:sz w:val="20"/>
          <w:szCs w:val="20"/>
          <w:color w:val="auto"/>
        </w:rPr>
      </w:pPr>
    </w:p>
    <w:p>
      <w:pPr>
        <w:jc w:val="both"/>
        <w:ind w:firstLine="393"/>
        <w:spacing w:after="0" w:line="251" w:lineRule="auto"/>
        <w:rPr>
          <w:sz w:val="20"/>
          <w:szCs w:val="20"/>
          <w:color w:val="auto"/>
        </w:rPr>
      </w:pPr>
      <w:r>
        <w:rPr>
          <w:rFonts w:ascii="Times New Roman" w:cs="Times New Roman" w:eastAsia="Times New Roman" w:hAnsi="Times New Roman"/>
          <w:sz w:val="17"/>
          <w:szCs w:val="17"/>
          <w:color w:val="auto"/>
        </w:rPr>
        <w:t>Certain units of the Company’s Indian subsidiaries were established as 100% Export-Oriented units or under the Software Technology Parks of India or Special Economic Zone scheme promulgated by the Government of India. These units are exempt from customs, central excise duties, and levies on imported and indigenous capital goods, stores, and spares. The Company has undertaken to pay custom duties, service taxes, levies, and liquidated damages payable, if any, in respect of imported and indigenous capital goods, stores and spares consumed duty free, in the event that certain terms and conditions are not fulfilled. The Company believes, however, that these units have in the past satisfied, and will continue to satisfy, the required conditions.</w:t>
      </w:r>
    </w:p>
    <w:p>
      <w:pPr>
        <w:spacing w:after="0" w:line="184" w:lineRule="exact"/>
        <w:rPr>
          <w:sz w:val="20"/>
          <w:szCs w:val="20"/>
          <w:color w:val="auto"/>
        </w:rPr>
      </w:pPr>
    </w:p>
    <w:p>
      <w:pPr>
        <w:jc w:val="both"/>
        <w:ind w:firstLine="393"/>
        <w:spacing w:after="0" w:line="261" w:lineRule="auto"/>
        <w:rPr>
          <w:sz w:val="20"/>
          <w:szCs w:val="20"/>
          <w:color w:val="auto"/>
        </w:rPr>
      </w:pPr>
      <w:r>
        <w:rPr>
          <w:rFonts w:ascii="Times New Roman" w:cs="Times New Roman" w:eastAsia="Times New Roman" w:hAnsi="Times New Roman"/>
          <w:sz w:val="17"/>
          <w:szCs w:val="17"/>
          <w:color w:val="auto"/>
        </w:rPr>
        <w:t>The Company’s operations centers in the Philippines are registered as qualified Philippines Economic Zone Authority units, which provides the Company fiscal incentives on the import of capital goods and local purchase of services and materials. The Company is required to meet certain requirements to retain the incentives. The Company has complied, and intends to continue compliance, with the requirements to avail itself of the incentives.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Contingencies</w:t>
      </w:r>
    </w:p>
    <w:p>
      <w:pPr>
        <w:spacing w:after="0" w:line="254" w:lineRule="exact"/>
        <w:rPr>
          <w:sz w:val="20"/>
          <w:szCs w:val="20"/>
          <w:color w:val="auto"/>
        </w:rPr>
      </w:pPr>
    </w:p>
    <w:p>
      <w:pPr>
        <w:jc w:val="both"/>
        <w:ind w:firstLine="393"/>
        <w:spacing w:after="0" w:line="260" w:lineRule="auto"/>
        <w:rPr>
          <w:sz w:val="20"/>
          <w:szCs w:val="20"/>
          <w:color w:val="auto"/>
        </w:rPr>
      </w:pPr>
      <w:r>
        <w:rPr>
          <w:rFonts w:ascii="Times New Roman" w:cs="Times New Roman" w:eastAsia="Times New Roman" w:hAnsi="Times New Roman"/>
          <w:sz w:val="17"/>
          <w:szCs w:val="17"/>
          <w:color w:val="auto"/>
        </w:rPr>
        <w:t>The transfer pricing regulations in the countries where the Company operates require that controlled intercompany transactions be at arm’s-length. Accordingly, the Company determines and documents pricing for controlled intercompany transactions based on an economic analysis as prescribed in the respective regulations. The tax authorities have jurisdiction to review the Company’s transfer pricing. If the Company’s transfer pricing is challenged by the authorities, they could assess additional tax, interest and penalties, thereby impacting the Company’s profitability and cash flows.</w:t>
      </w:r>
    </w:p>
    <w:p>
      <w:pPr>
        <w:spacing w:after="0" w:line="189" w:lineRule="exact"/>
        <w:rPr>
          <w:sz w:val="20"/>
          <w:szCs w:val="20"/>
          <w:color w:val="auto"/>
        </w:rPr>
      </w:pPr>
    </w:p>
    <w:p>
      <w:pPr>
        <w:jc w:val="both"/>
        <w:ind w:firstLine="393"/>
        <w:spacing w:after="0" w:line="247" w:lineRule="auto"/>
        <w:rPr>
          <w:sz w:val="20"/>
          <w:szCs w:val="20"/>
          <w:color w:val="auto"/>
        </w:rPr>
      </w:pPr>
      <w:r>
        <w:rPr>
          <w:rFonts w:ascii="Times New Roman" w:cs="Times New Roman" w:eastAsia="Times New Roman" w:hAnsi="Times New Roman"/>
          <w:sz w:val="17"/>
          <w:szCs w:val="17"/>
          <w:color w:val="auto"/>
        </w:rPr>
        <w:t>The Company is currently involved in transfer pricing and related income tax disputes with Indian tax authorities. The aggregate amount demanded by Indian tax authorities (net of advance payments) as of September 30, 2024 and December 31, 2023 is $37,144 and $36,694, respectively. The Company has made payments and/or provided bank guarantees against these demands in the amounts of $7,669 and $7,227, as of September 30, 2024 and December 31, 2023, respectively. The Company believes that its positions will more likely than not be sustained upon final examination by the tax authorities, and accordingly has not accrued any liabilities with respect to these matters in its consolidated financial statements.</w:t>
      </w:r>
    </w:p>
    <w:p>
      <w:pPr>
        <w:spacing w:after="0" w:line="214" w:lineRule="exact"/>
        <w:rPr>
          <w:sz w:val="20"/>
          <w:szCs w:val="20"/>
          <w:color w:val="auto"/>
        </w:rPr>
      </w:pPr>
    </w:p>
    <w:p>
      <w:pPr>
        <w:jc w:val="both"/>
        <w:ind w:firstLine="393"/>
        <w:spacing w:after="0" w:line="264" w:lineRule="auto"/>
        <w:rPr>
          <w:sz w:val="20"/>
          <w:szCs w:val="20"/>
          <w:color w:val="auto"/>
        </w:rPr>
      </w:pPr>
      <w:r>
        <w:rPr>
          <w:rFonts w:ascii="Times New Roman" w:cs="Times New Roman" w:eastAsia="Times New Roman" w:hAnsi="Times New Roman"/>
          <w:sz w:val="17"/>
          <w:szCs w:val="17"/>
          <w:color w:val="auto"/>
        </w:rPr>
        <w:t>India’s VAT regime ended in June 2017 and was replaced by the current Goods and Service Tax (“GST”) regime. Pursuant to reviewing the Company’s annual VAT filings, the Indian tax authorities raised aggregate VAT demands for tax years 2015 and 2017, in the amounts of $5,455 and $5,493, as of September 30, 2024 and December 31, 2023, respectively. The Company has provided bank guarantees against these demands in the amounts of $5,455 and $4,570, as of September 30, 2024 and December 31, 2023, respectively. The GST authorities rejected the Company’s refunds claims in the amounts of $5,023 and $4,748 as of September 30, 2024 and December 31, 2023, respectively. The Company has filed appeals against these matters and believes that it is more likely than not that upon final examination its position will be sustained based on its technical merits. Accordingly, no provision was recognized as of September 30, 2024 and December 31, 2023, respectively.</w:t>
      </w:r>
    </w:p>
    <w:p>
      <w:pPr>
        <w:spacing w:after="0" w:line="200" w:lineRule="exact"/>
        <w:rPr>
          <w:sz w:val="20"/>
          <w:szCs w:val="20"/>
          <w:color w:val="auto"/>
        </w:rPr>
      </w:pPr>
    </w:p>
    <w:p>
      <w:pPr>
        <w:jc w:val="both"/>
        <w:ind w:firstLine="393"/>
        <w:spacing w:after="0" w:line="264" w:lineRule="auto"/>
        <w:rPr>
          <w:sz w:val="20"/>
          <w:szCs w:val="20"/>
          <w:color w:val="auto"/>
        </w:rPr>
      </w:pPr>
      <w:r>
        <w:rPr>
          <w:rFonts w:ascii="Times New Roman" w:cs="Times New Roman" w:eastAsia="Times New Roman" w:hAnsi="Times New Roman"/>
          <w:sz w:val="17"/>
          <w:szCs w:val="17"/>
          <w:color w:val="auto"/>
        </w:rPr>
        <w:t>Some of the Company’s subsidiaries in India have undergone assessments with the statutory authority with respect to defined contribution plan. Except for some components of the assessments for which the Company has recognized a provision in the financial statements, the Company believes that the amount demanded by such authority is not a meaningful indicator of the potential liabilities of the Company, and that these matters are without merit. The Company is defending against the assessment orders and in one case, has instituted an appeal against the order before the relevant tribunal while also making a payment under protest of the amount demanded. As of the reporting date, the Company’s management does not believe that the ultimate assessments in any of these matters will have a material adverse effect on the Company’s consolidated financial condition, results of operations or cash flows. The Company will continue to monitor and evaluate its position based on future events and developments on these matters.</w:t>
      </w:r>
    </w:p>
    <w:p>
      <w:pPr>
        <w:spacing w:after="0" w:line="186" w:lineRule="exact"/>
        <w:rPr>
          <w:sz w:val="20"/>
          <w:szCs w:val="20"/>
          <w:color w:val="auto"/>
        </w:rPr>
      </w:pPr>
    </w:p>
    <w:p>
      <w:pPr>
        <w:jc w:val="both"/>
        <w:ind w:firstLine="393"/>
        <w:spacing w:after="0" w:line="254" w:lineRule="auto"/>
        <w:rPr>
          <w:sz w:val="20"/>
          <w:szCs w:val="20"/>
          <w:color w:val="auto"/>
        </w:rPr>
      </w:pPr>
      <w:r>
        <w:rPr>
          <w:rFonts w:ascii="Times New Roman" w:cs="Times New Roman" w:eastAsia="Times New Roman" w:hAnsi="Times New Roman"/>
          <w:sz w:val="17"/>
          <w:szCs w:val="17"/>
          <w:color w:val="auto"/>
        </w:rPr>
        <w:t>From time to time, the Company, its subsidiaries, and/or their present officers or directors, may be or have been, named as a defendant in litigation matters, including employment-related claims. The plaintiffs in those cases seek damages, including, where applicable, compensatory damages, punitive damages and attorney’s fees. With respect to pending litigation matters as of the reporting date, the Company believes that the damages claimed are without merit, and the Company intends to vigorously</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EXLSERVICE HOLDINGS, INC.</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UNAUDITED CONSOLIDATED FINANCIAL STATEMENTS—(continued)</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September 30, 2024</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per share amount and share count)</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defend them. The Company will continuously monitor developments on these matters to assess potential impacts to the financial statements.</w:t>
      </w:r>
    </w:p>
    <w:p>
      <w:pPr>
        <w:spacing w:after="0" w:line="237" w:lineRule="exact"/>
        <w:rPr>
          <w:sz w:val="20"/>
          <w:szCs w:val="20"/>
          <w:color w:val="auto"/>
        </w:rPr>
      </w:pPr>
    </w:p>
    <w:p>
      <w:pPr>
        <w:jc w:val="both"/>
        <w:ind w:firstLine="393"/>
        <w:spacing w:after="0" w:line="245" w:lineRule="auto"/>
        <w:rPr>
          <w:sz w:val="20"/>
          <w:szCs w:val="20"/>
          <w:color w:val="auto"/>
        </w:rPr>
      </w:pPr>
      <w:r>
        <w:rPr>
          <w:rFonts w:ascii="Times New Roman" w:cs="Times New Roman" w:eastAsia="Times New Roman" w:hAnsi="Times New Roman"/>
          <w:sz w:val="17"/>
          <w:szCs w:val="17"/>
          <w:color w:val="auto"/>
        </w:rPr>
        <w:t>The outcomes of legal actions are unpredictable and subject to significant uncertainties, and thus it is inherently difficult to determine the likelihood of the Company incurring a material loss or quantification of any such loss. With respect to certain pending litigation matters as of the reporting date, the Company has made provisions based on information currently available, including its evaluation of the facts underlying each matter and legal counsel’s advice on the estimated losses or range of reasonably possible losses. Based on the Company’s assessment, including the availability of insurance recoveries, the Company’s management does not believe that currently pending litigation, individually or in aggregate, will have a material adverse effect on the Company’s consolidated financial condition, results of operations or cash flows. The Company will continuously monitor these matters to assess potential impacts to the financial statements.</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26. Restructuring Costs</w:t>
      </w:r>
    </w:p>
    <w:p>
      <w:pPr>
        <w:spacing w:after="0" w:line="239" w:lineRule="exact"/>
        <w:rPr>
          <w:sz w:val="20"/>
          <w:szCs w:val="20"/>
          <w:color w:val="auto"/>
        </w:rPr>
      </w:pPr>
    </w:p>
    <w:p>
      <w:pPr>
        <w:jc w:val="both"/>
        <w:ind w:firstLine="393"/>
        <w:spacing w:after="0" w:line="281" w:lineRule="auto"/>
        <w:rPr>
          <w:sz w:val="20"/>
          <w:szCs w:val="20"/>
          <w:color w:val="auto"/>
        </w:rPr>
      </w:pPr>
      <w:r>
        <w:rPr>
          <w:rFonts w:ascii="Times New Roman" w:cs="Times New Roman" w:eastAsia="Times New Roman" w:hAnsi="Times New Roman"/>
          <w:sz w:val="17"/>
          <w:szCs w:val="17"/>
          <w:color w:val="auto"/>
        </w:rPr>
        <w:t>In second quarter of 2024, the Company initiated a strategic restructuring plan to align its workforce with market opportunities, business strategies and evolving customer needs. This plan was executed in the second quarter of 2024, which affected less than 1% of the Company’s global workforce.</w:t>
      </w:r>
    </w:p>
    <w:p>
      <w:pPr>
        <w:spacing w:after="0" w:line="172" w:lineRule="exact"/>
        <w:rPr>
          <w:sz w:val="20"/>
          <w:szCs w:val="20"/>
          <w:color w:val="auto"/>
        </w:rPr>
      </w:pPr>
    </w:p>
    <w:p>
      <w:pPr>
        <w:jc w:val="both"/>
        <w:ind w:firstLine="393"/>
        <w:spacing w:after="0" w:line="261" w:lineRule="auto"/>
        <w:rPr>
          <w:sz w:val="20"/>
          <w:szCs w:val="20"/>
          <w:color w:val="auto"/>
        </w:rPr>
      </w:pPr>
      <w:r>
        <w:rPr>
          <w:rFonts w:ascii="Times New Roman" w:cs="Times New Roman" w:eastAsia="Times New Roman" w:hAnsi="Times New Roman"/>
          <w:sz w:val="17"/>
          <w:szCs w:val="17"/>
          <w:color w:val="auto"/>
        </w:rPr>
        <w:t>The restructuring costs include costs in relation to employee severance and other associated costs including legal fees and outplacement support costs. These costs have been recognized under cost of revenues (across all reporting segments), general &amp; administrative and selling &amp; marketing expenses in the unaudited consolidated statements of income.</w:t>
      </w:r>
    </w:p>
    <w:p>
      <w:pPr>
        <w:spacing w:after="0" w:line="18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The following table summarizes the activity related to the restructuring costs incurred and paid:</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9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88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September 30, 2024</w:t>
            </w: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820" w:type="dxa"/>
            <w:vAlign w:val="bottom"/>
            <w:gridSpan w:val="4"/>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Nine months ended September 30, 2024</w:t>
            </w: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4"/>
        </w:trPr>
        <w:tc>
          <w:tcPr>
            <w:tcW w:w="292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c>
          <w:tcPr>
            <w:tcW w:w="154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1500" w:type="dxa"/>
            <w:vAlign w:val="bottom"/>
            <w:gridSpan w:val="2"/>
          </w:tcPr>
          <w:p>
            <w:pPr>
              <w:spacing w:after="0"/>
              <w:rPr>
                <w:sz w:val="2"/>
                <w:szCs w:val="2"/>
                <w:color w:val="auto"/>
              </w:rPr>
            </w:pPr>
          </w:p>
        </w:tc>
        <w:tc>
          <w:tcPr>
            <w:tcW w:w="150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gridSpan w:val="2"/>
          </w:tcPr>
          <w:p>
            <w:pPr>
              <w:spacing w:after="0"/>
              <w:rPr>
                <w:sz w:val="2"/>
                <w:szCs w:val="2"/>
                <w:color w:val="auto"/>
              </w:rPr>
            </w:pPr>
          </w:p>
        </w:tc>
      </w:tr>
      <w:tr>
        <w:trPr>
          <w:trHeight w:val="184"/>
        </w:trPr>
        <w:tc>
          <w:tcPr>
            <w:tcW w:w="2920" w:type="dxa"/>
            <w:vAlign w:val="bottom"/>
            <w:tcBorders>
              <w:bottom w:val="single" w:sz="8" w:color="CCEEFF"/>
            </w:tcBorders>
          </w:tcPr>
          <w:p>
            <w:pPr>
              <w:spacing w:after="0"/>
              <w:rPr>
                <w:sz w:val="15"/>
                <w:szCs w:val="15"/>
                <w:color w:val="auto"/>
              </w:rPr>
            </w:pPr>
          </w:p>
        </w:tc>
        <w:tc>
          <w:tcPr>
            <w:tcW w:w="1480" w:type="dxa"/>
            <w:vAlign w:val="bottom"/>
            <w:tcBorders>
              <w:top w:val="single" w:sz="8" w:color="auto"/>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w w:val="98"/>
              </w:rPr>
              <w:t>Employee-Related Costs</w:t>
            </w:r>
          </w:p>
        </w:tc>
        <w:tc>
          <w:tcPr>
            <w:tcW w:w="15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Other Associated Costs</w:t>
            </w:r>
          </w:p>
        </w:tc>
        <w:tc>
          <w:tcPr>
            <w:tcW w:w="32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Borders>
              <w:bottom w:val="single" w:sz="8" w:color="CCEEFF"/>
            </w:tcBorders>
          </w:tcPr>
          <w:p>
            <w:pPr>
              <w:spacing w:after="0"/>
              <w:rPr>
                <w:sz w:val="15"/>
                <w:szCs w:val="15"/>
                <w:color w:val="auto"/>
              </w:rPr>
            </w:pPr>
          </w:p>
        </w:tc>
        <w:tc>
          <w:tcPr>
            <w:tcW w:w="1500" w:type="dxa"/>
            <w:vAlign w:val="bottom"/>
            <w:tcBorders>
              <w:top w:val="single" w:sz="8" w:color="auto"/>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Employee-Related Costs</w:t>
            </w:r>
          </w:p>
        </w:tc>
        <w:tc>
          <w:tcPr>
            <w:tcW w:w="15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Other Associated Costs</w:t>
            </w:r>
          </w:p>
        </w:tc>
        <w:tc>
          <w:tcPr>
            <w:tcW w:w="30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0" w:type="dxa"/>
            <w:vAlign w:val="bottom"/>
          </w:tcPr>
          <w:p>
            <w:pPr>
              <w:spacing w:after="0"/>
              <w:rPr>
                <w:sz w:val="15"/>
                <w:szCs w:val="15"/>
                <w:color w:val="auto"/>
              </w:rPr>
            </w:pPr>
          </w:p>
        </w:tc>
      </w:tr>
      <w:tr>
        <w:trPr>
          <w:trHeight w:val="222"/>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Opening balance</w:t>
            </w:r>
          </w:p>
        </w:tc>
        <w:tc>
          <w:tcPr>
            <w:tcW w:w="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637</w:t>
            </w:r>
          </w:p>
        </w:tc>
        <w:tc>
          <w:tcPr>
            <w:tcW w:w="620" w:type="dxa"/>
            <w:vAlign w:val="bottom"/>
            <w:shd w:val="clear" w:color="auto" w:fill="CCEEFF"/>
          </w:tcPr>
          <w:p>
            <w:pPr>
              <w:jc w:val="right"/>
              <w:ind w:right="418"/>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355</w:t>
            </w:r>
          </w:p>
        </w:tc>
        <w:tc>
          <w:tcPr>
            <w:tcW w:w="32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660" w:type="dxa"/>
            <w:vAlign w:val="bottom"/>
            <w:gridSpan w:val="2"/>
            <w:shd w:val="clear" w:color="auto" w:fill="CCEEFF"/>
          </w:tcPr>
          <w:p>
            <w:pPr>
              <w:jc w:val="right"/>
              <w:ind w:right="461"/>
              <w:spacing w:after="0"/>
              <w:rPr>
                <w:sz w:val="20"/>
                <w:szCs w:val="20"/>
                <w:color w:val="auto"/>
              </w:rPr>
            </w:pPr>
            <w:r>
              <w:rPr>
                <w:rFonts w:ascii="Times New Roman" w:cs="Times New Roman" w:eastAsia="Times New Roman" w:hAnsi="Times New Roman"/>
                <w:sz w:val="17"/>
                <w:szCs w:val="17"/>
                <w:color w:val="auto"/>
              </w:rPr>
              <w:t>— $</w:t>
            </w:r>
          </w:p>
        </w:tc>
        <w:tc>
          <w:tcPr>
            <w:tcW w:w="1160" w:type="dxa"/>
            <w:vAlign w:val="bottom"/>
            <w:gridSpan w:val="2"/>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rPr>
              <w:t>— $</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r>
      <w:tr>
        <w:trPr>
          <w:trHeight w:val="223"/>
        </w:trPr>
        <w:tc>
          <w:tcPr>
            <w:tcW w:w="2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Costs incurred during the period</w:t>
            </w: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4,397</w:t>
            </w:r>
          </w:p>
        </w:tc>
        <w:tc>
          <w:tcPr>
            <w:tcW w:w="6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365</w:t>
            </w: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4,762</w:t>
            </w:r>
          </w:p>
        </w:tc>
        <w:tc>
          <w:tcPr>
            <w:tcW w:w="80" w:type="dxa"/>
            <w:vAlign w:val="bottom"/>
          </w:tcPr>
          <w:p>
            <w:pPr>
              <w:spacing w:after="0"/>
              <w:rPr>
                <w:sz w:val="19"/>
                <w:szCs w:val="19"/>
                <w:color w:val="auto"/>
              </w:rPr>
            </w:pPr>
          </w:p>
        </w:tc>
      </w:tr>
      <w:tr>
        <w:trPr>
          <w:trHeight w:val="223"/>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Payments during the period</w:t>
            </w:r>
          </w:p>
        </w:tc>
        <w:tc>
          <w:tcPr>
            <w:tcW w:w="4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547</w:t>
            </w:r>
          </w:p>
        </w:tc>
        <w:tc>
          <w:tcPr>
            <w:tcW w:w="6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226</w:t>
            </w:r>
          </w:p>
        </w:tc>
        <w:tc>
          <w:tcPr>
            <w:tcW w:w="3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773</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4,307</w:t>
            </w:r>
          </w:p>
        </w:tc>
        <w:tc>
          <w:tcPr>
            <w:tcW w:w="6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236</w:t>
            </w:r>
          </w:p>
        </w:tc>
        <w:tc>
          <w:tcPr>
            <w:tcW w:w="3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4,543</w:t>
            </w:r>
          </w:p>
        </w:tc>
        <w:tc>
          <w:tcPr>
            <w:tcW w:w="80" w:type="dxa"/>
            <w:vAlign w:val="bottom"/>
          </w:tcPr>
          <w:p>
            <w:pPr>
              <w:spacing w:after="0"/>
              <w:rPr>
                <w:sz w:val="19"/>
                <w:szCs w:val="19"/>
                <w:color w:val="auto"/>
              </w:rPr>
            </w:pPr>
          </w:p>
        </w:tc>
      </w:tr>
      <w:tr>
        <w:trPr>
          <w:trHeight w:val="216"/>
        </w:trPr>
        <w:tc>
          <w:tcPr>
            <w:tcW w:w="2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Closing balance</w:t>
            </w:r>
          </w:p>
        </w:tc>
        <w:tc>
          <w:tcPr>
            <w:tcW w:w="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90</w:t>
            </w:r>
          </w:p>
        </w:tc>
        <w:tc>
          <w:tcPr>
            <w:tcW w:w="620" w:type="dxa"/>
            <w:vAlign w:val="bottom"/>
            <w:tcBorders>
              <w:bottom w:val="single" w:sz="8" w:color="auto"/>
            </w:tcBorders>
          </w:tcPr>
          <w:p>
            <w:pPr>
              <w:jc w:val="right"/>
              <w:ind w:right="418"/>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129</w:t>
            </w:r>
          </w:p>
        </w:tc>
        <w:tc>
          <w:tcPr>
            <w:tcW w:w="32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219</w:t>
            </w:r>
          </w:p>
        </w:tc>
        <w:tc>
          <w:tcPr>
            <w:tcW w:w="100" w:type="dxa"/>
            <w:vAlign w:val="bottom"/>
          </w:tcPr>
          <w:p>
            <w:pPr>
              <w:spacing w:after="0"/>
              <w:rPr>
                <w:sz w:val="18"/>
                <w:szCs w:val="18"/>
                <w:color w:val="auto"/>
              </w:rPr>
            </w:pPr>
          </w:p>
        </w:tc>
        <w:tc>
          <w:tcPr>
            <w:tcW w:w="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90</w:t>
            </w:r>
          </w:p>
        </w:tc>
        <w:tc>
          <w:tcPr>
            <w:tcW w:w="640" w:type="dxa"/>
            <w:vAlign w:val="bottom"/>
            <w:tcBorders>
              <w:bottom w:val="single" w:sz="8" w:color="auto"/>
            </w:tcBorders>
          </w:tcPr>
          <w:p>
            <w:pPr>
              <w:jc w:val="right"/>
              <w:ind w:right="461"/>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129</w:t>
            </w:r>
          </w:p>
        </w:tc>
        <w:tc>
          <w:tcPr>
            <w:tcW w:w="30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219</w:t>
            </w:r>
          </w:p>
        </w:tc>
        <w:tc>
          <w:tcPr>
            <w:tcW w:w="80" w:type="dxa"/>
            <w:vAlign w:val="bottom"/>
          </w:tcPr>
          <w:p>
            <w:pPr>
              <w:spacing w:after="0"/>
              <w:rPr>
                <w:sz w:val="18"/>
                <w:szCs w:val="18"/>
                <w:color w:val="auto"/>
              </w:rPr>
            </w:pPr>
          </w:p>
        </w:tc>
      </w:tr>
      <w:tr>
        <w:trPr>
          <w:trHeight w:val="20"/>
        </w:trPr>
        <w:tc>
          <w:tcPr>
            <w:tcW w:w="29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871"/>
        </w:trPr>
        <w:tc>
          <w:tcPr>
            <w:tcW w:w="2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37</w:t>
            </w: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12"/>
        </w:trPr>
        <w:tc>
          <w:tcPr>
            <w:tcW w:w="292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2. Management’s Discussion and Analysis of Financial Condition and Results of Operations</w:t>
      </w:r>
    </w:p>
    <w:p>
      <w:pPr>
        <w:spacing w:after="0" w:line="250" w:lineRule="exact"/>
        <w:rPr>
          <w:sz w:val="20"/>
          <w:szCs w:val="20"/>
          <w:color w:val="auto"/>
        </w:rPr>
      </w:pPr>
    </w:p>
    <w:p>
      <w:pPr>
        <w:jc w:val="both"/>
        <w:ind w:firstLine="393"/>
        <w:spacing w:after="0" w:line="278" w:lineRule="auto"/>
        <w:rPr>
          <w:sz w:val="20"/>
          <w:szCs w:val="20"/>
          <w:color w:val="auto"/>
        </w:rPr>
      </w:pPr>
      <w:r>
        <w:rPr>
          <w:rFonts w:ascii="Times New Roman" w:cs="Times New Roman" w:eastAsia="Times New Roman" w:hAnsi="Times New Roman"/>
          <w:sz w:val="17"/>
          <w:szCs w:val="17"/>
          <w:i w:val="1"/>
          <w:iCs w:val="1"/>
          <w:color w:val="auto"/>
        </w:rPr>
        <w:t>You should read the following discussion in connection with our unaudited consolidated financial statements and the related notes included elsewhere in this Quarterly Report on Form 10-Q and our audited consolidated financial statements and the related notes included in our Annual Report on Form 10-K for the fiscal year ended December 31, 2023. Some of the statements in the following discussion are forward looking statements.</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Cautionary Note Regarding Forward-Looking Statements</w:t>
      </w:r>
    </w:p>
    <w:p>
      <w:pPr>
        <w:spacing w:after="0" w:line="252" w:lineRule="exact"/>
        <w:rPr>
          <w:sz w:val="20"/>
          <w:szCs w:val="20"/>
          <w:color w:val="auto"/>
        </w:rPr>
      </w:pPr>
    </w:p>
    <w:p>
      <w:pPr>
        <w:jc w:val="both"/>
        <w:ind w:firstLine="393"/>
        <w:spacing w:after="0" w:line="252" w:lineRule="auto"/>
        <w:rPr>
          <w:sz w:val="20"/>
          <w:szCs w:val="20"/>
          <w:color w:val="auto"/>
        </w:rPr>
      </w:pPr>
      <w:r>
        <w:rPr>
          <w:rFonts w:ascii="Times New Roman" w:cs="Times New Roman" w:eastAsia="Times New Roman" w:hAnsi="Times New Roman"/>
          <w:sz w:val="17"/>
          <w:szCs w:val="17"/>
          <w:color w:val="auto"/>
        </w:rPr>
        <w:t>This Quarterly Report on Form 10-Q contains forward-looking statements within the meaning of the United States Private Securities Litigation Reform Act of 1995. You should not place undue reliance on these statements because they are subject to numerous uncertainties and factors relating to our operations and business environment, all of which are difficult to predict and many of which are beyond our control. These statements often include words such as “may,” “will,” “should,” “believe,” “expect,” “anticipate,” “intend,” “plan,” “estimate” or similar expressions. These statements are based on assumptions that we have made in light of our experience in the industry as well as our perceptions of historical trends, current conditions, expected future developments and other factors we believe are appropriate under the circumstances. As you read and consider this Quarterly Report on Form 10-Q, you should understand that these statements are not guarantees of performance or results. They involve known and unknown risks, uncertainties and assumptions. Although we believe that these forward-looking statements are based on reasonable assumptions, you should be aware that many factors could affect our actual financial results or results of operations and could cause actual results to differ materially from those in the forward-looking statements. These factors include but are not limited to:</w:t>
      </w:r>
    </w:p>
    <w:p>
      <w:pPr>
        <w:spacing w:after="0" w:line="251" w:lineRule="exact"/>
        <w:rPr>
          <w:sz w:val="20"/>
          <w:szCs w:val="20"/>
          <w:color w:val="auto"/>
        </w:rPr>
      </w:pPr>
    </w:p>
    <w:p>
      <w:pPr>
        <w:ind w:left="640" w:hanging="320"/>
        <w:spacing w:after="0" w:line="289" w:lineRule="auto"/>
        <w:tabs>
          <w:tab w:leader="none" w:pos="635"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maintain and grow client demand for our services and solutions, including anticipating and incorporating the latest technologies, for instance, artificial intelligence (“AI”), including generative AI into our offerings;</w:t>
      </w:r>
    </w:p>
    <w:p>
      <w:pPr>
        <w:spacing w:after="0" w:line="1" w:lineRule="exact"/>
        <w:rPr>
          <w:rFonts w:ascii="Times New Roman" w:cs="Times New Roman" w:eastAsia="Times New Roman" w:hAnsi="Times New Roman"/>
          <w:sz w:val="17"/>
          <w:szCs w:val="17"/>
          <w:color w:val="auto"/>
        </w:rPr>
      </w:pPr>
    </w:p>
    <w:p>
      <w:pPr>
        <w:ind w:left="620" w:hanging="300"/>
        <w:spacing w:after="0"/>
        <w:tabs>
          <w:tab w:leader="none" w:pos="6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impact on client demand by the selling cycle and terms of our client contracts;</w:t>
      </w:r>
    </w:p>
    <w:p>
      <w:pPr>
        <w:spacing w:after="0" w:line="66" w:lineRule="exact"/>
        <w:rPr>
          <w:rFonts w:ascii="Times New Roman" w:cs="Times New Roman" w:eastAsia="Times New Roman" w:hAnsi="Times New Roman"/>
          <w:sz w:val="17"/>
          <w:szCs w:val="17"/>
          <w:color w:val="auto"/>
        </w:rPr>
      </w:pPr>
    </w:p>
    <w:p>
      <w:pPr>
        <w:ind w:left="620" w:hanging="300"/>
        <w:spacing w:after="0"/>
        <w:tabs>
          <w:tab w:leader="none" w:pos="6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fluctuations in our earnings;</w:t>
      </w:r>
    </w:p>
    <w:p>
      <w:pPr>
        <w:spacing w:after="0" w:line="66" w:lineRule="exact"/>
        <w:rPr>
          <w:rFonts w:ascii="Times New Roman" w:cs="Times New Roman" w:eastAsia="Times New Roman" w:hAnsi="Times New Roman"/>
          <w:sz w:val="17"/>
          <w:szCs w:val="17"/>
          <w:color w:val="auto"/>
        </w:rPr>
      </w:pPr>
    </w:p>
    <w:p>
      <w:pPr>
        <w:ind w:left="620" w:hanging="300"/>
        <w:spacing w:after="0"/>
        <w:tabs>
          <w:tab w:leader="none" w:pos="6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hire and retain enough sufficiently trained employees to support our operations or any changes in the senior management team;</w:t>
      </w:r>
    </w:p>
    <w:p>
      <w:pPr>
        <w:spacing w:after="0" w:line="66" w:lineRule="exact"/>
        <w:rPr>
          <w:rFonts w:ascii="Times New Roman" w:cs="Times New Roman" w:eastAsia="Times New Roman" w:hAnsi="Times New Roman"/>
          <w:sz w:val="17"/>
          <w:szCs w:val="17"/>
          <w:color w:val="auto"/>
        </w:rPr>
      </w:pPr>
    </w:p>
    <w:p>
      <w:pPr>
        <w:ind w:left="620" w:hanging="300"/>
        <w:spacing w:after="0"/>
        <w:tabs>
          <w:tab w:leader="none" w:pos="6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accurately estimate and/or manage costs;</w:t>
      </w:r>
    </w:p>
    <w:p>
      <w:pPr>
        <w:spacing w:after="0" w:line="66" w:lineRule="exact"/>
        <w:rPr>
          <w:rFonts w:ascii="Times New Roman" w:cs="Times New Roman" w:eastAsia="Times New Roman" w:hAnsi="Times New Roman"/>
          <w:sz w:val="17"/>
          <w:szCs w:val="17"/>
          <w:color w:val="auto"/>
        </w:rPr>
      </w:pPr>
    </w:p>
    <w:p>
      <w:pPr>
        <w:ind w:left="640" w:hanging="320"/>
        <w:spacing w:after="0" w:line="268" w:lineRule="auto"/>
        <w:tabs>
          <w:tab w:leader="none" w:pos="635"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adjust our pricing terms or effectively manage our asset utilization levels to meet the changing demands of our clients and potential clients;</w:t>
      </w:r>
    </w:p>
    <w:p>
      <w:pPr>
        <w:spacing w:after="0" w:line="253" w:lineRule="exact"/>
        <w:rPr>
          <w:rFonts w:ascii="Times New Roman" w:cs="Times New Roman" w:eastAsia="Times New Roman" w:hAnsi="Times New Roman"/>
          <w:sz w:val="17"/>
          <w:szCs w:val="17"/>
          <w:color w:val="auto"/>
        </w:rPr>
      </w:pPr>
    </w:p>
    <w:p>
      <w:pPr>
        <w:ind w:left="620" w:hanging="300"/>
        <w:spacing w:after="0"/>
        <w:tabs>
          <w:tab w:leader="none" w:pos="6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cyber security incidents, data breaches, or other unauthorized disclosure of sensitive or confidential client and employee data;</w:t>
      </w:r>
    </w:p>
    <w:p>
      <w:pPr>
        <w:spacing w:after="0" w:line="66" w:lineRule="exact"/>
        <w:rPr>
          <w:rFonts w:ascii="Times New Roman" w:cs="Times New Roman" w:eastAsia="Times New Roman" w:hAnsi="Times New Roman"/>
          <w:sz w:val="17"/>
          <w:szCs w:val="17"/>
          <w:color w:val="auto"/>
        </w:rPr>
      </w:pPr>
    </w:p>
    <w:p>
      <w:pPr>
        <w:ind w:left="620" w:hanging="300"/>
        <w:spacing w:after="0"/>
        <w:tabs>
          <w:tab w:leader="none" w:pos="6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reliance on third parties to deliver services and infrastructure for client critical services;</w:t>
      </w:r>
    </w:p>
    <w:p>
      <w:pPr>
        <w:spacing w:after="0" w:line="66" w:lineRule="exact"/>
        <w:rPr>
          <w:rFonts w:ascii="Times New Roman" w:cs="Times New Roman" w:eastAsia="Times New Roman" w:hAnsi="Times New Roman"/>
          <w:sz w:val="17"/>
          <w:szCs w:val="17"/>
          <w:color w:val="auto"/>
        </w:rPr>
      </w:pPr>
    </w:p>
    <w:p>
      <w:pPr>
        <w:ind w:left="620" w:hanging="300"/>
        <w:spacing w:after="0"/>
        <w:tabs>
          <w:tab w:leader="none" w:pos="6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employee wage increases;</w:t>
      </w:r>
    </w:p>
    <w:p>
      <w:pPr>
        <w:spacing w:after="0" w:line="66" w:lineRule="exact"/>
        <w:rPr>
          <w:rFonts w:ascii="Times New Roman" w:cs="Times New Roman" w:eastAsia="Times New Roman" w:hAnsi="Times New Roman"/>
          <w:sz w:val="17"/>
          <w:szCs w:val="17"/>
          <w:color w:val="auto"/>
        </w:rPr>
      </w:pPr>
    </w:p>
    <w:p>
      <w:pPr>
        <w:ind w:left="620" w:hanging="300"/>
        <w:spacing w:after="0"/>
        <w:tabs>
          <w:tab w:leader="none" w:pos="6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to protect our intellectual property;</w:t>
      </w:r>
    </w:p>
    <w:p>
      <w:pPr>
        <w:spacing w:after="0" w:line="66" w:lineRule="exact"/>
        <w:rPr>
          <w:rFonts w:ascii="Times New Roman" w:cs="Times New Roman" w:eastAsia="Times New Roman" w:hAnsi="Times New Roman"/>
          <w:sz w:val="17"/>
          <w:szCs w:val="17"/>
          <w:color w:val="auto"/>
        </w:rPr>
      </w:pPr>
    </w:p>
    <w:p>
      <w:pPr>
        <w:ind w:left="620" w:hanging="300"/>
        <w:spacing w:after="0"/>
        <w:tabs>
          <w:tab w:leader="none" w:pos="6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dependence on a limited number of clients in a limited number of industries and our ability to withstand the loss of a significant client;</w:t>
      </w:r>
    </w:p>
    <w:p>
      <w:pPr>
        <w:spacing w:after="0" w:line="66" w:lineRule="exact"/>
        <w:rPr>
          <w:rFonts w:ascii="Times New Roman" w:cs="Times New Roman" w:eastAsia="Times New Roman" w:hAnsi="Times New Roman"/>
          <w:sz w:val="17"/>
          <w:szCs w:val="17"/>
          <w:color w:val="auto"/>
        </w:rPr>
      </w:pPr>
    </w:p>
    <w:p>
      <w:pPr>
        <w:ind w:left="620" w:hanging="300"/>
        <w:spacing w:after="0"/>
        <w:tabs>
          <w:tab w:leader="none" w:pos="6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grow our business or effectively manage growth and international operations;</w:t>
      </w:r>
    </w:p>
    <w:p>
      <w:pPr>
        <w:spacing w:after="0" w:line="66" w:lineRule="exact"/>
        <w:rPr>
          <w:rFonts w:ascii="Times New Roman" w:cs="Times New Roman" w:eastAsia="Times New Roman" w:hAnsi="Times New Roman"/>
          <w:sz w:val="17"/>
          <w:szCs w:val="17"/>
          <w:color w:val="auto"/>
        </w:rPr>
      </w:pPr>
    </w:p>
    <w:p>
      <w:pPr>
        <w:ind w:left="640" w:hanging="320"/>
        <w:spacing w:after="0" w:line="289" w:lineRule="auto"/>
        <w:tabs>
          <w:tab w:leader="none" w:pos="635"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successfully consummate or integrate strategic acquisitions including the impact from the impairment of goodwill and other intangible assets, if any;</w:t>
      </w:r>
    </w:p>
    <w:p>
      <w:pPr>
        <w:spacing w:after="0" w:line="1" w:lineRule="exact"/>
        <w:rPr>
          <w:rFonts w:ascii="Times New Roman" w:cs="Times New Roman" w:eastAsia="Times New Roman" w:hAnsi="Times New Roman"/>
          <w:sz w:val="17"/>
          <w:szCs w:val="17"/>
          <w:color w:val="auto"/>
        </w:rPr>
      </w:pPr>
    </w:p>
    <w:p>
      <w:pPr>
        <w:ind w:left="620" w:hanging="300"/>
        <w:spacing w:after="0"/>
        <w:tabs>
          <w:tab w:leader="none" w:pos="6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legal liability arising out of customer and third party contracts;</w:t>
      </w:r>
    </w:p>
    <w:p>
      <w:pPr>
        <w:spacing w:after="0" w:line="66" w:lineRule="exact"/>
        <w:rPr>
          <w:rFonts w:ascii="Times New Roman" w:cs="Times New Roman" w:eastAsia="Times New Roman" w:hAnsi="Times New Roman"/>
          <w:sz w:val="17"/>
          <w:szCs w:val="17"/>
          <w:color w:val="auto"/>
        </w:rPr>
      </w:pPr>
    </w:p>
    <w:p>
      <w:pPr>
        <w:ind w:left="620" w:hanging="300"/>
        <w:spacing w:after="0"/>
        <w:tabs>
          <w:tab w:leader="none" w:pos="6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increasing competition in our industry;</w:t>
      </w:r>
    </w:p>
    <w:p>
      <w:pPr>
        <w:spacing w:after="0" w:line="66" w:lineRule="exact"/>
        <w:rPr>
          <w:rFonts w:ascii="Times New Roman" w:cs="Times New Roman" w:eastAsia="Times New Roman" w:hAnsi="Times New Roman"/>
          <w:sz w:val="17"/>
          <w:szCs w:val="17"/>
          <w:color w:val="auto"/>
        </w:rPr>
      </w:pPr>
    </w:p>
    <w:p>
      <w:pPr>
        <w:ind w:left="640" w:hanging="320"/>
        <w:spacing w:after="0" w:line="289" w:lineRule="auto"/>
        <w:tabs>
          <w:tab w:leader="none" w:pos="635"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telecommunications or technology disruptions or breaches, natural or other disasters, medical epidemics or pandemics, such as COVID-19, or acts of violence or war;</w:t>
      </w:r>
    </w:p>
    <w:p>
      <w:pPr>
        <w:spacing w:after="0" w:line="1" w:lineRule="exact"/>
        <w:rPr>
          <w:rFonts w:ascii="Times New Roman" w:cs="Times New Roman" w:eastAsia="Times New Roman" w:hAnsi="Times New Roman"/>
          <w:sz w:val="17"/>
          <w:szCs w:val="17"/>
          <w:color w:val="auto"/>
        </w:rPr>
      </w:pPr>
    </w:p>
    <w:p>
      <w:pPr>
        <w:ind w:left="620" w:hanging="300"/>
        <w:spacing w:after="0"/>
        <w:tabs>
          <w:tab w:leader="none" w:pos="6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operational and information security failures arising as a result of remote work solutions adopted due to COVID-19;</w:t>
      </w:r>
    </w:p>
    <w:p>
      <w:pPr>
        <w:spacing w:after="0" w:line="66" w:lineRule="exact"/>
        <w:rPr>
          <w:rFonts w:ascii="Times New Roman" w:cs="Times New Roman" w:eastAsia="Times New Roman" w:hAnsi="Times New Roman"/>
          <w:sz w:val="17"/>
          <w:szCs w:val="17"/>
          <w:color w:val="auto"/>
        </w:rPr>
      </w:pPr>
    </w:p>
    <w:p>
      <w:pPr>
        <w:ind w:left="620" w:hanging="300"/>
        <w:spacing w:after="0"/>
        <w:tabs>
          <w:tab w:leader="none" w:pos="6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adverse outcome of our disputes with the tax authorities in the geographies where we operate;</w:t>
      </w:r>
    </w:p>
    <w:p>
      <w:pPr>
        <w:spacing w:after="0" w:line="66" w:lineRule="exact"/>
        <w:rPr>
          <w:rFonts w:ascii="Times New Roman" w:cs="Times New Roman" w:eastAsia="Times New Roman" w:hAnsi="Times New Roman"/>
          <w:sz w:val="17"/>
          <w:szCs w:val="17"/>
          <w:color w:val="auto"/>
        </w:rPr>
      </w:pPr>
    </w:p>
    <w:p>
      <w:pPr>
        <w:ind w:left="620" w:hanging="300"/>
        <w:spacing w:after="0"/>
        <w:tabs>
          <w:tab w:leader="none" w:pos="6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introduction of new or unfavorable tax legislation, including legal restrictions on repatriation of funds held abroad;</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640" w:hanging="320"/>
        <w:spacing w:after="0" w:line="289" w:lineRule="auto"/>
        <w:tabs>
          <w:tab w:leader="none" w:pos="635"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exposure to currency exchange rate fluctuations in the various currencies in which we do business including the potential effects of Russian-Ukraine and Israel-Hamas conflicts, rising inflation, high interest rates and economic recessionary trends on currency exchange rates;</w:t>
      </w:r>
    </w:p>
    <w:p>
      <w:pPr>
        <w:spacing w:after="0" w:line="1" w:lineRule="exact"/>
        <w:rPr>
          <w:rFonts w:ascii="Times New Roman" w:cs="Times New Roman" w:eastAsia="Times New Roman" w:hAnsi="Times New Roman"/>
          <w:sz w:val="17"/>
          <w:szCs w:val="17"/>
          <w:color w:val="auto"/>
        </w:rPr>
      </w:pPr>
    </w:p>
    <w:p>
      <w:pPr>
        <w:ind w:left="620" w:hanging="300"/>
        <w:spacing w:after="0"/>
        <w:tabs>
          <w:tab w:leader="none" w:pos="6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restrictions on immigration;</w:t>
      </w:r>
    </w:p>
    <w:p>
      <w:pPr>
        <w:spacing w:after="0" w:line="66" w:lineRule="exact"/>
        <w:rPr>
          <w:rFonts w:ascii="Times New Roman" w:cs="Times New Roman" w:eastAsia="Times New Roman" w:hAnsi="Times New Roman"/>
          <w:sz w:val="17"/>
          <w:szCs w:val="17"/>
          <w:color w:val="auto"/>
        </w:rPr>
      </w:pPr>
    </w:p>
    <w:p>
      <w:pPr>
        <w:ind w:left="640" w:hanging="320"/>
        <w:spacing w:after="0" w:line="289" w:lineRule="auto"/>
        <w:tabs>
          <w:tab w:leader="none" w:pos="635"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regulatory, legislative and judicial developments, including our ability to adhere to regulations or accreditation or licensing standards that govern our business;</w:t>
      </w:r>
    </w:p>
    <w:p>
      <w:pPr>
        <w:spacing w:after="0" w:line="1" w:lineRule="exact"/>
        <w:rPr>
          <w:rFonts w:ascii="Times New Roman" w:cs="Times New Roman" w:eastAsia="Times New Roman" w:hAnsi="Times New Roman"/>
          <w:sz w:val="17"/>
          <w:szCs w:val="17"/>
          <w:color w:val="auto"/>
        </w:rPr>
      </w:pPr>
    </w:p>
    <w:p>
      <w:pPr>
        <w:ind w:left="620" w:hanging="300"/>
        <w:spacing w:after="0"/>
        <w:tabs>
          <w:tab w:leader="none" w:pos="6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service debt or obtain additional financing on favorable terms. Inception of interest rate swaps to hedge interest rate risk;</w:t>
      </w:r>
    </w:p>
    <w:p>
      <w:pPr>
        <w:spacing w:after="0" w:line="66" w:lineRule="exact"/>
        <w:rPr>
          <w:rFonts w:ascii="Times New Roman" w:cs="Times New Roman" w:eastAsia="Times New Roman" w:hAnsi="Times New Roman"/>
          <w:sz w:val="17"/>
          <w:szCs w:val="17"/>
          <w:color w:val="auto"/>
        </w:rPr>
      </w:pPr>
    </w:p>
    <w:p>
      <w:pPr>
        <w:ind w:left="620" w:hanging="300"/>
        <w:spacing w:after="0"/>
        <w:tabs>
          <w:tab w:leader="none" w:pos="6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negative public reaction in the U.S. or elsewhere to offshore outsourcing;</w:t>
      </w:r>
    </w:p>
    <w:p>
      <w:pPr>
        <w:spacing w:after="0" w:line="66" w:lineRule="exact"/>
        <w:rPr>
          <w:rFonts w:ascii="Times New Roman" w:cs="Times New Roman" w:eastAsia="Times New Roman" w:hAnsi="Times New Roman"/>
          <w:sz w:val="17"/>
          <w:szCs w:val="17"/>
          <w:color w:val="auto"/>
        </w:rPr>
      </w:pPr>
    </w:p>
    <w:p>
      <w:pPr>
        <w:ind w:left="620" w:hanging="300"/>
        <w:spacing w:after="0"/>
        <w:tabs>
          <w:tab w:leader="none" w:pos="6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effects of political and economic conditions globally, particularly in the geographies where we operate;</w:t>
      </w:r>
    </w:p>
    <w:p>
      <w:pPr>
        <w:spacing w:after="0" w:line="66" w:lineRule="exact"/>
        <w:rPr>
          <w:rFonts w:ascii="Times New Roman" w:cs="Times New Roman" w:eastAsia="Times New Roman" w:hAnsi="Times New Roman"/>
          <w:sz w:val="17"/>
          <w:szCs w:val="17"/>
          <w:color w:val="auto"/>
        </w:rPr>
      </w:pPr>
    </w:p>
    <w:p>
      <w:pPr>
        <w:ind w:left="620" w:hanging="300"/>
        <w:spacing w:after="0"/>
        <w:tabs>
          <w:tab w:leader="none" w:pos="6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make accurate estimates and assumptions in connection with the preparation of our consolidated financial statements;</w:t>
      </w:r>
    </w:p>
    <w:p>
      <w:pPr>
        <w:spacing w:after="0" w:line="66" w:lineRule="exact"/>
        <w:rPr>
          <w:rFonts w:ascii="Times New Roman" w:cs="Times New Roman" w:eastAsia="Times New Roman" w:hAnsi="Times New Roman"/>
          <w:sz w:val="17"/>
          <w:szCs w:val="17"/>
          <w:color w:val="auto"/>
        </w:rPr>
      </w:pPr>
    </w:p>
    <w:p>
      <w:pPr>
        <w:ind w:left="620" w:hanging="300"/>
        <w:spacing w:after="0"/>
        <w:tabs>
          <w:tab w:leader="none" w:pos="6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credit risk fluctuations in the market values of our investment and derivatives portfolios; and</w:t>
      </w:r>
    </w:p>
    <w:p>
      <w:pPr>
        <w:spacing w:after="0" w:line="66" w:lineRule="exact"/>
        <w:rPr>
          <w:rFonts w:ascii="Times New Roman" w:cs="Times New Roman" w:eastAsia="Times New Roman" w:hAnsi="Times New Roman"/>
          <w:sz w:val="17"/>
          <w:szCs w:val="17"/>
          <w:color w:val="auto"/>
        </w:rPr>
      </w:pPr>
    </w:p>
    <w:p>
      <w:pPr>
        <w:ind w:left="620" w:hanging="300"/>
        <w:spacing w:after="0"/>
        <w:tabs>
          <w:tab w:leader="none" w:pos="6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meet our sustainability-related goals and targets.</w:t>
      </w:r>
    </w:p>
    <w:p>
      <w:pPr>
        <w:spacing w:after="0" w:line="303" w:lineRule="exact"/>
        <w:rPr>
          <w:sz w:val="20"/>
          <w:szCs w:val="20"/>
          <w:color w:val="auto"/>
        </w:rPr>
      </w:pPr>
    </w:p>
    <w:p>
      <w:pPr>
        <w:jc w:val="both"/>
        <w:ind w:firstLine="393"/>
        <w:spacing w:after="0" w:line="297" w:lineRule="auto"/>
        <w:rPr>
          <w:sz w:val="20"/>
          <w:szCs w:val="20"/>
          <w:color w:val="auto"/>
        </w:rPr>
      </w:pPr>
      <w:r>
        <w:rPr>
          <w:rFonts w:ascii="Times New Roman" w:cs="Times New Roman" w:eastAsia="Times New Roman" w:hAnsi="Times New Roman"/>
          <w:sz w:val="17"/>
          <w:szCs w:val="17"/>
          <w:color w:val="auto"/>
        </w:rPr>
        <w:t>These and other factors are more fully discussed in our Annual Report on Form 10-K for the fiscal year ended December 31, 2023. These and other risks could cause actual results to differ materially from those implied by forward-looking statements in this Quarterly Report on Form 10-Q.</w:t>
      </w:r>
    </w:p>
    <w:p>
      <w:pPr>
        <w:spacing w:after="0" w:line="172" w:lineRule="exact"/>
        <w:rPr>
          <w:sz w:val="20"/>
          <w:szCs w:val="20"/>
          <w:color w:val="auto"/>
        </w:rPr>
      </w:pPr>
    </w:p>
    <w:p>
      <w:pPr>
        <w:jc w:val="both"/>
        <w:ind w:firstLine="393"/>
        <w:spacing w:after="0" w:line="270" w:lineRule="auto"/>
        <w:rPr>
          <w:sz w:val="20"/>
          <w:szCs w:val="20"/>
          <w:color w:val="auto"/>
        </w:rPr>
      </w:pPr>
      <w:r>
        <w:rPr>
          <w:rFonts w:ascii="Times New Roman" w:cs="Times New Roman" w:eastAsia="Times New Roman" w:hAnsi="Times New Roman"/>
          <w:sz w:val="17"/>
          <w:szCs w:val="17"/>
          <w:color w:val="auto"/>
        </w:rPr>
        <w:t>The forward-looking statements made by us in this Quarterly Report on Form 10-Q, or elsewhere, speak only as of the date on which they were made. New risks and uncertainties may occur from time to time, and it is impossible for us to predict those events or how they may affect us. We have no obligation to update any forward-looking statements in this Quarterly Report on Form 10-Q after the date of this Quarterly Report on Form 10-Q, except as required by federal securities laws.</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Executive Overview</w:t>
      </w:r>
    </w:p>
    <w:p>
      <w:pPr>
        <w:spacing w:after="0" w:line="239" w:lineRule="exact"/>
        <w:rPr>
          <w:sz w:val="20"/>
          <w:szCs w:val="20"/>
          <w:color w:val="auto"/>
        </w:rPr>
      </w:pPr>
    </w:p>
    <w:p>
      <w:pPr>
        <w:jc w:val="both"/>
        <w:ind w:firstLine="393"/>
        <w:spacing w:after="0" w:line="256" w:lineRule="auto"/>
        <w:rPr>
          <w:sz w:val="20"/>
          <w:szCs w:val="20"/>
          <w:color w:val="auto"/>
        </w:rPr>
      </w:pPr>
      <w:r>
        <w:rPr>
          <w:rFonts w:ascii="Times New Roman" w:cs="Times New Roman" w:eastAsia="Times New Roman" w:hAnsi="Times New Roman"/>
          <w:sz w:val="17"/>
          <w:szCs w:val="17"/>
          <w:color w:val="auto"/>
        </w:rPr>
        <w:t>We are a leading data analytics and digital operations and solutions company. We partner with clients using a data and AI-led approach to reinvent business models, drive better business outcomes and unlock growth with speed. We harness the power of data, analytics, AI, and deep industry knowledge to transform operations for the world’s leading corporations in industries including insurance, healthcare, banking and financial services, media and retail, among others.</w:t>
      </w:r>
    </w:p>
    <w:p>
      <w:pPr>
        <w:spacing w:after="0" w:line="200" w:lineRule="exact"/>
        <w:rPr>
          <w:sz w:val="20"/>
          <w:szCs w:val="20"/>
          <w:color w:val="auto"/>
        </w:rPr>
      </w:pPr>
    </w:p>
    <w:p>
      <w:pPr>
        <w:spacing w:after="0" w:line="210" w:lineRule="exact"/>
        <w:rPr>
          <w:sz w:val="20"/>
          <w:szCs w:val="20"/>
          <w:color w:val="auto"/>
        </w:rPr>
      </w:pPr>
    </w:p>
    <w:p>
      <w:pPr>
        <w:jc w:val="both"/>
        <w:ind w:firstLine="393"/>
        <w:spacing w:after="0" w:line="277" w:lineRule="auto"/>
        <w:rPr>
          <w:sz w:val="20"/>
          <w:szCs w:val="20"/>
          <w:color w:val="auto"/>
        </w:rPr>
      </w:pPr>
      <w:r>
        <w:rPr>
          <w:rFonts w:ascii="Times New Roman" w:cs="Times New Roman" w:eastAsia="Times New Roman" w:hAnsi="Times New Roman"/>
          <w:sz w:val="17"/>
          <w:szCs w:val="17"/>
          <w:color w:val="auto"/>
        </w:rPr>
        <w:t>We deliver data analytics and digital operations and solutions to our clients, driving enterprise-scale business transformation initiatives that leverage our deep expertise in advanced analytics, AI, generative AI and cloud technology. We manage and report financial information through our four strategic business units: Insurance, Healthcare, Analytics and Emerging Business, which reflects how management reviews financial information and makes operating decisions.</w:t>
      </w:r>
    </w:p>
    <w:p>
      <w:pPr>
        <w:spacing w:after="0" w:line="18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Our reportable segments are as follows:</w:t>
      </w:r>
    </w:p>
    <w:p>
      <w:pPr>
        <w:spacing w:after="0" w:line="32" w:lineRule="exact"/>
        <w:rPr>
          <w:sz w:val="20"/>
          <w:szCs w:val="20"/>
          <w:color w:val="auto"/>
        </w:rPr>
      </w:pPr>
    </w:p>
    <w:p>
      <w:pPr>
        <w:ind w:left="620" w:hanging="143"/>
        <w:spacing w:after="0"/>
        <w:tabs>
          <w:tab w:leader="none" w:pos="6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Insurance,</w:t>
      </w:r>
    </w:p>
    <w:p>
      <w:pPr>
        <w:spacing w:after="0" w:line="14" w:lineRule="exact"/>
        <w:rPr>
          <w:rFonts w:ascii="Times New Roman" w:cs="Times New Roman" w:eastAsia="Times New Roman" w:hAnsi="Times New Roman"/>
          <w:sz w:val="17"/>
          <w:szCs w:val="17"/>
          <w:color w:val="auto"/>
        </w:rPr>
      </w:pPr>
    </w:p>
    <w:p>
      <w:pPr>
        <w:ind w:left="620" w:hanging="143"/>
        <w:spacing w:after="0"/>
        <w:tabs>
          <w:tab w:leader="none" w:pos="6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Healthcare,</w:t>
      </w:r>
    </w:p>
    <w:p>
      <w:pPr>
        <w:spacing w:after="0" w:line="14" w:lineRule="exact"/>
        <w:rPr>
          <w:rFonts w:ascii="Times New Roman" w:cs="Times New Roman" w:eastAsia="Times New Roman" w:hAnsi="Times New Roman"/>
          <w:sz w:val="17"/>
          <w:szCs w:val="17"/>
          <w:color w:val="auto"/>
        </w:rPr>
      </w:pPr>
    </w:p>
    <w:p>
      <w:pPr>
        <w:ind w:left="620" w:hanging="143"/>
        <w:spacing w:after="0"/>
        <w:tabs>
          <w:tab w:leader="none" w:pos="6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Analytics, and</w:t>
      </w:r>
    </w:p>
    <w:p>
      <w:pPr>
        <w:spacing w:after="0" w:line="14" w:lineRule="exact"/>
        <w:rPr>
          <w:rFonts w:ascii="Times New Roman" w:cs="Times New Roman" w:eastAsia="Times New Roman" w:hAnsi="Times New Roman"/>
          <w:sz w:val="17"/>
          <w:szCs w:val="17"/>
          <w:color w:val="auto"/>
        </w:rPr>
      </w:pPr>
    </w:p>
    <w:p>
      <w:pPr>
        <w:ind w:left="620" w:hanging="143"/>
        <w:spacing w:after="0"/>
        <w:tabs>
          <w:tab w:leader="none" w:pos="6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Emerging Business</w:t>
      </w:r>
    </w:p>
    <w:p>
      <w:pPr>
        <w:spacing w:after="0" w:line="232" w:lineRule="exact"/>
        <w:rPr>
          <w:sz w:val="20"/>
          <w:szCs w:val="20"/>
          <w:color w:val="auto"/>
        </w:rPr>
      </w:pPr>
    </w:p>
    <w:p>
      <w:pPr>
        <w:jc w:val="both"/>
        <w:ind w:firstLine="393"/>
        <w:spacing w:after="0" w:line="261" w:lineRule="auto"/>
        <w:rPr>
          <w:sz w:val="20"/>
          <w:szCs w:val="20"/>
          <w:color w:val="auto"/>
        </w:rPr>
      </w:pPr>
      <w:r>
        <w:rPr>
          <w:rFonts w:ascii="Times New Roman" w:cs="Times New Roman" w:eastAsia="Times New Roman" w:hAnsi="Times New Roman"/>
          <w:sz w:val="17"/>
          <w:szCs w:val="17"/>
          <w:color w:val="auto"/>
        </w:rPr>
        <w:t>Our global delivery network, which includes highly trained industry and process specialists across the United States, the United Kingdom, Latin America, South Africa, Europe and Asia (primarily India and the Philippines), is a key asset. We have operations centers in India, the United States, the Philippines, South Africa, Colombia, Bulgaria, Romania, the United Kingdom, the Czech Republic, Mexico and the Republic of Ireland.</w:t>
      </w:r>
    </w:p>
    <w:p>
      <w:pPr>
        <w:spacing w:after="0" w:line="201" w:lineRule="exact"/>
        <w:rPr>
          <w:sz w:val="20"/>
          <w:szCs w:val="20"/>
          <w:color w:val="auto"/>
        </w:rPr>
      </w:pPr>
    </w:p>
    <w:p>
      <w:pPr>
        <w:jc w:val="both"/>
        <w:ind w:firstLine="393"/>
        <w:spacing w:after="0" w:line="260" w:lineRule="auto"/>
        <w:rPr>
          <w:sz w:val="20"/>
          <w:szCs w:val="20"/>
          <w:color w:val="auto"/>
        </w:rPr>
      </w:pPr>
      <w:r>
        <w:rPr>
          <w:rFonts w:ascii="Times New Roman" w:cs="Times New Roman" w:eastAsia="Times New Roman" w:hAnsi="Times New Roman"/>
          <w:sz w:val="17"/>
          <w:szCs w:val="17"/>
          <w:color w:val="auto"/>
        </w:rPr>
        <w:t>On August 1, 2024, we completed the acquisition of Incandescent Technologies, Inc. (“ITI Data”), a data management solutions firm that works with the global banks, financial services and healthcare companies. It delivers enterprise business solutions for clients processing significant data volumes with complex data management requirements. The acquisition strengthens our ability to deliver reliable, data-driven insights to our clients and ultimately drive greater value and innovation across their operations.</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Revenues</w:t>
      </w:r>
    </w:p>
    <w:p>
      <w:pPr>
        <w:spacing w:after="0" w:line="252" w:lineRule="exact"/>
        <w:rPr>
          <w:sz w:val="20"/>
          <w:szCs w:val="20"/>
          <w:color w:val="auto"/>
        </w:rPr>
      </w:pPr>
    </w:p>
    <w:p>
      <w:pPr>
        <w:jc w:val="both"/>
        <w:ind w:firstLine="393"/>
        <w:spacing w:after="0" w:line="269" w:lineRule="auto"/>
        <w:rPr>
          <w:sz w:val="20"/>
          <w:szCs w:val="20"/>
          <w:color w:val="auto"/>
        </w:rPr>
      </w:pPr>
      <w:r>
        <w:rPr>
          <w:rFonts w:ascii="Times New Roman" w:cs="Times New Roman" w:eastAsia="Times New Roman" w:hAnsi="Times New Roman"/>
          <w:sz w:val="17"/>
          <w:szCs w:val="17"/>
          <w:color w:val="auto"/>
        </w:rPr>
        <w:t>For the three months ended September 30, 2024, we generated revenues of $472.1 million compared to revenues of $411.0 million for the three months ended September 30, 2023, an increase of $61.1 million, or 14.9%. For the nine months ended September 30, 2024, we generated revenues of $1,356.9 million compared to revenues of $1,216.6 million for the nine months ended September 30, 2023, an increase of $140.3 million, or 11.5%.</w:t>
      </w:r>
    </w:p>
    <w:p>
      <w:pPr>
        <w:spacing w:after="0" w:line="182" w:lineRule="exact"/>
        <w:rPr>
          <w:sz w:val="20"/>
          <w:szCs w:val="20"/>
          <w:color w:val="auto"/>
        </w:rPr>
      </w:pPr>
    </w:p>
    <w:p>
      <w:pPr>
        <w:jc w:val="both"/>
        <w:ind w:firstLine="393"/>
        <w:spacing w:after="0" w:line="260" w:lineRule="auto"/>
        <w:rPr>
          <w:sz w:val="20"/>
          <w:szCs w:val="20"/>
          <w:color w:val="auto"/>
        </w:rPr>
      </w:pPr>
      <w:r>
        <w:rPr>
          <w:rFonts w:ascii="Times New Roman" w:cs="Times New Roman" w:eastAsia="Times New Roman" w:hAnsi="Times New Roman"/>
          <w:sz w:val="17"/>
          <w:szCs w:val="17"/>
          <w:color w:val="auto"/>
        </w:rPr>
        <w:t>We serve clients mainly in the United States and the United Kingdom, with these two regions generating 82.2% and 12.0%, respectively, of our total revenues for the three months ended September 30, 2024, and 83.5% and 11.3%, respectively, of our total revenues for the three months ended September 30, 2023. For the nine months ended September 30, 2024, these two regions generated 82.6% and 11.8%, respectively, of our total revenues and 84.1% and 10.8%, respectively, of our total revenues for the nine months ended September 30, 2023.</w:t>
      </w:r>
    </w:p>
    <w:p>
      <w:pPr>
        <w:spacing w:after="0" w:line="189" w:lineRule="exact"/>
        <w:rPr>
          <w:sz w:val="20"/>
          <w:szCs w:val="20"/>
          <w:color w:val="auto"/>
        </w:rPr>
      </w:pPr>
    </w:p>
    <w:p>
      <w:pPr>
        <w:jc w:val="both"/>
        <w:ind w:firstLine="393"/>
        <w:spacing w:after="0" w:line="260" w:lineRule="auto"/>
        <w:rPr>
          <w:sz w:val="20"/>
          <w:szCs w:val="20"/>
          <w:color w:val="auto"/>
        </w:rPr>
      </w:pPr>
      <w:r>
        <w:rPr>
          <w:rFonts w:ascii="Times New Roman" w:cs="Times New Roman" w:eastAsia="Times New Roman" w:hAnsi="Times New Roman"/>
          <w:sz w:val="17"/>
          <w:szCs w:val="17"/>
          <w:color w:val="auto"/>
        </w:rPr>
        <w:t>For the three months ended September 30, 2024 and 2023, our total revenues from our top ten clients accounted for 34.2% and 34.6% of our total revenues, respectively. For the nine months ended September 30, 2024 and 2023, our total revenues from our top ten clients accounted for 33.2% and 34.2% of our total revenues, respectively. Although we continue to develop relationships with new clients to diversify our client base, we believe that the loss of any of our top ten clients could have a material adverse effect on our financial performance.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Business</w:t>
      </w:r>
    </w:p>
    <w:p>
      <w:pPr>
        <w:spacing w:after="0" w:line="252" w:lineRule="exact"/>
        <w:rPr>
          <w:sz w:val="20"/>
          <w:szCs w:val="20"/>
          <w:color w:val="auto"/>
        </w:rPr>
      </w:pPr>
    </w:p>
    <w:p>
      <w:pPr>
        <w:jc w:val="both"/>
        <w:ind w:firstLine="393"/>
        <w:spacing w:after="0" w:line="277" w:lineRule="auto"/>
        <w:rPr>
          <w:sz w:val="20"/>
          <w:szCs w:val="20"/>
          <w:color w:val="auto"/>
        </w:rPr>
      </w:pPr>
      <w:r>
        <w:rPr>
          <w:rFonts w:ascii="Times New Roman" w:cs="Times New Roman" w:eastAsia="Times New Roman" w:hAnsi="Times New Roman"/>
          <w:sz w:val="17"/>
          <w:szCs w:val="17"/>
          <w:color w:val="auto"/>
        </w:rPr>
        <w:t>We provide data analytics and digital operations and solutions to our clients. We market our services to our existing and prospective clients through our sales and client management teams, which are aligned by key industry verticals and cross-industry domains such as finance and accounting. Our sales and client management teams operate primarily from the United States, Europe and Australia.</w:t>
      </w:r>
    </w:p>
    <w:p>
      <w:pPr>
        <w:spacing w:after="0" w:line="187" w:lineRule="exact"/>
        <w:rPr>
          <w:sz w:val="20"/>
          <w:szCs w:val="20"/>
          <w:color w:val="auto"/>
        </w:rPr>
      </w:pPr>
    </w:p>
    <w:p>
      <w:pPr>
        <w:jc w:val="both"/>
        <w:ind w:firstLine="393"/>
        <w:spacing w:after="0" w:line="261" w:lineRule="auto"/>
        <w:rPr>
          <w:sz w:val="20"/>
          <w:szCs w:val="20"/>
          <w:color w:val="auto"/>
        </w:rPr>
      </w:pPr>
      <w:r>
        <w:rPr>
          <w:rFonts w:ascii="Times New Roman" w:cs="Times New Roman" w:eastAsia="Times New Roman" w:hAnsi="Times New Roman"/>
          <w:sz w:val="17"/>
          <w:szCs w:val="17"/>
          <w:i w:val="1"/>
          <w:iCs w:val="1"/>
          <w:color w:val="auto"/>
        </w:rPr>
        <w:t xml:space="preserve">Digital Operations and Solutions: </w:t>
      </w:r>
      <w:r>
        <w:rPr>
          <w:rFonts w:ascii="Times New Roman" w:cs="Times New Roman" w:eastAsia="Times New Roman" w:hAnsi="Times New Roman"/>
          <w:sz w:val="17"/>
          <w:szCs w:val="17"/>
          <w:color w:val="auto"/>
        </w:rPr>
        <w:t>We provide our clients with a range of data and AI-led digital operations and solutions from our Insurance, Healthcare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and Emerging Business strategic business units, which are focused on solving complex industry challenges, which include: a) multi-modal data ingestion using AI, and converting unstructured content into curated and usable data, b) real-time and comprehensive data insights including end-to-end data management and building a 360-degree view of our clients’ customers, c) omni-channel and frictionless customer experience including self-service, conversational AI and smart agent assist, d) intelligent and AI-powered redesign and automation of transaction processing and e) automated quality, compliance and audit. Some of our clients’ operations that we have transformed using the above solutions include underwriting operations, claims processing, accounts payables processing, utilization management, member and provider contact center services and collections and accounts receivable. We either manage and digitally transform these operations for our clients by deploying our solutions through a software-as-a-service model via our partners’ cloud network or a client’s on-cloud deployment model, to digitally transform their retained operations. For a portion of our digital operations and solutions, we hire and train employees to work at our operations centers on the relevant business operations, implement a process migration to these operations centers and then provide services either to the client or directly to the client’s customers. Each client contract has different terms based on the scope, deliverables and complexity of the engagement. We also provide consulting services related to digital operations and solutions that include industry-specific digital transformational services as well as cross-industry finance and accounting services as part of the Emerging Business strategic business unit.</w:t>
      </w:r>
    </w:p>
    <w:p>
      <w:pPr>
        <w:spacing w:after="0" w:line="202" w:lineRule="exact"/>
        <w:rPr>
          <w:sz w:val="20"/>
          <w:szCs w:val="20"/>
          <w:color w:val="auto"/>
        </w:rPr>
      </w:pPr>
    </w:p>
    <w:p>
      <w:pPr>
        <w:jc w:val="both"/>
        <w:ind w:firstLine="393"/>
        <w:spacing w:after="0" w:line="252" w:lineRule="auto"/>
        <w:rPr>
          <w:sz w:val="20"/>
          <w:szCs w:val="20"/>
          <w:color w:val="auto"/>
        </w:rPr>
      </w:pPr>
      <w:r>
        <w:rPr>
          <w:rFonts w:ascii="Times New Roman" w:cs="Times New Roman" w:eastAsia="Times New Roman" w:hAnsi="Times New Roman"/>
          <w:sz w:val="17"/>
          <w:szCs w:val="17"/>
          <w:color w:val="auto"/>
        </w:rPr>
        <w:t>We provide our services under contracts with our clients, which typically have terms of three or more years, with some being contracts with no end dates. These contracts provide us with a relatively predictable revenue base for a substantial portion of our digital operations and solutions business. However, our clients can typically terminate these contracts with or without cause and with short notice periods. We have a long selling cycle for our services and the budget and approval processes of prospective clients make it difficult to predict the timing of entering into definitive agreements with new clients. Similarly, new license sales and implementation projects for our technology service platforms and other software-based services have a long selling cycle, however ongoing annual maintenance and support contracts for existing arrangements provide us with a relatively predictable revenue base.</w:t>
      </w:r>
    </w:p>
    <w:p>
      <w:pPr>
        <w:spacing w:after="0" w:line="211" w:lineRule="exact"/>
        <w:rPr>
          <w:sz w:val="20"/>
          <w:szCs w:val="20"/>
          <w:color w:val="auto"/>
        </w:rPr>
      </w:pPr>
    </w:p>
    <w:p>
      <w:pPr>
        <w:jc w:val="both"/>
        <w:ind w:firstLine="393"/>
        <w:spacing w:after="0" w:line="281" w:lineRule="auto"/>
        <w:rPr>
          <w:sz w:val="20"/>
          <w:szCs w:val="20"/>
          <w:color w:val="auto"/>
        </w:rPr>
      </w:pPr>
      <w:r>
        <w:rPr>
          <w:rFonts w:ascii="Times New Roman" w:cs="Times New Roman" w:eastAsia="Times New Roman" w:hAnsi="Times New Roman"/>
          <w:sz w:val="17"/>
          <w:szCs w:val="17"/>
          <w:color w:val="auto"/>
        </w:rPr>
        <w:t>We charge for our services using various pricing models like time-and-material pricing, full-time-equivalent pricing, transaction-based pricing, outcome-based pricing, subscription-based pricing and other alternative pricing models. Outcome-</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based pricing arrangements are examples of non-linear pricing models where clients link revenues from platforms and solutions and the services we provide to usage or savings rather than the efforts deployed to provide these services. We continue to observe a shift in the industry pricing models toward transaction-based pricing, outcome-based pricing and other alternative pricing models. We believe this trend will continue and we use such alternative pricing models with some of our current clients and are seeking to move certain other clients from a full-time-equivalent pricing model to a transaction-based or other alternative pricing model. These alternative pricing models place the focus on operating efficiency in order to maintain or improve our gross margins.</w:t>
      </w:r>
    </w:p>
    <w:p>
      <w:pPr>
        <w:spacing w:after="0" w:line="194" w:lineRule="exact"/>
        <w:rPr>
          <w:sz w:val="20"/>
          <w:szCs w:val="20"/>
          <w:color w:val="auto"/>
        </w:rPr>
      </w:pPr>
    </w:p>
    <w:p>
      <w:pPr>
        <w:jc w:val="both"/>
        <w:ind w:firstLine="393"/>
        <w:spacing w:after="0" w:line="246" w:lineRule="auto"/>
        <w:rPr>
          <w:sz w:val="20"/>
          <w:szCs w:val="20"/>
          <w:color w:val="auto"/>
        </w:rPr>
      </w:pPr>
      <w:r>
        <w:rPr>
          <w:rFonts w:ascii="Times New Roman" w:cs="Times New Roman" w:eastAsia="Times New Roman" w:hAnsi="Times New Roman"/>
          <w:sz w:val="17"/>
          <w:szCs w:val="17"/>
          <w:color w:val="auto"/>
        </w:rPr>
        <w:t>We have also observed that prospective larger clients are entering into multi-vendor relationships with regard to their digital operations and solutions needs to seek more favorable contract terms and diversification of the risk of concentration on a few vendors. We believe that the trend toward multi-vendor relationships will continue. A multi-vendor relationship allows a client to seek more favorable pricing and other contract terms from each vendor, which can result in significantly reduced gross margins from the provision of services to such client for each vendor. To the extent our large clients expand their use of multi-vendor relationships and are able to extract more favorable contract terms from other vendors, our gross margins and revenues may be reduced with regard to such clients if we are required to modify the terms of our relationships with such clients to meet competition.</w:t>
      </w:r>
    </w:p>
    <w:p>
      <w:pPr>
        <w:spacing w:after="0" w:line="199" w:lineRule="exact"/>
        <w:rPr>
          <w:sz w:val="20"/>
          <w:szCs w:val="20"/>
          <w:color w:val="auto"/>
        </w:rPr>
      </w:pPr>
    </w:p>
    <w:p>
      <w:pPr>
        <w:jc w:val="both"/>
        <w:ind w:firstLine="393"/>
        <w:spacing w:after="0" w:line="243" w:lineRule="auto"/>
        <w:rPr>
          <w:sz w:val="20"/>
          <w:szCs w:val="20"/>
          <w:color w:val="auto"/>
        </w:rPr>
      </w:pPr>
      <w:r>
        <w:rPr>
          <w:rFonts w:ascii="Times New Roman" w:cs="Times New Roman" w:eastAsia="Times New Roman" w:hAnsi="Times New Roman"/>
          <w:sz w:val="17"/>
          <w:szCs w:val="17"/>
          <w:i w:val="1"/>
          <w:iCs w:val="1"/>
          <w:color w:val="auto"/>
        </w:rPr>
        <w:t xml:space="preserve">Analytics: </w:t>
      </w:r>
      <w:r>
        <w:rPr>
          <w:rFonts w:ascii="Times New Roman" w:cs="Times New Roman" w:eastAsia="Times New Roman" w:hAnsi="Times New Roman"/>
          <w:sz w:val="17"/>
          <w:szCs w:val="17"/>
          <w:color w:val="auto"/>
        </w:rPr>
        <w:t>Our analytics services aim to drive better business outcomes for our clients by unlocking deep insights from data and creating data and AI-led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solutions across all parts of our clients’ business. We provide care optimization and reimbursement optimization services for our clients through our healthcare analytics solutions and services. We also offer integrated solutions to help our clients in cost containment by leveraging technology platforms, customizable and configurable analytics and expertise in healthcare reimbursements to help clients enhance their claim payment accuracy. Our Analytics teams deliver predictive and prescriptive analytics in the areas of customer acquisition and life cycle management, risk underwriting and pricing, operational effectiveness, credit and operational risk monitoring and governance, regulatory reporting and data management. We enhance, modernize and enrich structured and unstructured data and use a spectrum of advanced analytical tools and techniques, including our in-house and third-party AI, generative AI, and ML capabilities and proprietary solutions to create insights, improve decision making for our clients and address a range of complex industry-wide priorities. We actively cross-sell and, where appropriate, integrate our analytics services with other digital operations and solutions as part of a comprehensive offering for our clients. Our project-based analytics services are cyclical and can be significantly affected by variations in business cycles. In addition, our project-based analytics services are documented in contracts with terms generally not exceeding one year and may not produce ongoing or recurring business for us once the project is completed. These contracts also usually contain provisions permitting termination of the contract after a short notice period. The short-term nature and specificity of these projects could lead to fluctuations and uncertainties in the revenues generated from providing analytics services.</w:t>
      </w:r>
    </w:p>
    <w:p>
      <w:pPr>
        <w:spacing w:after="0" w:line="222" w:lineRule="exact"/>
        <w:rPr>
          <w:sz w:val="20"/>
          <w:szCs w:val="20"/>
          <w:color w:val="auto"/>
        </w:rPr>
      </w:pPr>
    </w:p>
    <w:p>
      <w:pPr>
        <w:jc w:val="both"/>
        <w:ind w:firstLine="393"/>
        <w:spacing w:after="0" w:line="297" w:lineRule="auto"/>
        <w:rPr>
          <w:sz w:val="20"/>
          <w:szCs w:val="20"/>
          <w:color w:val="auto"/>
        </w:rPr>
      </w:pPr>
      <w:r>
        <w:rPr>
          <w:rFonts w:ascii="Times New Roman" w:cs="Times New Roman" w:eastAsia="Times New Roman" w:hAnsi="Times New Roman"/>
          <w:sz w:val="17"/>
          <w:szCs w:val="17"/>
          <w:color w:val="auto"/>
        </w:rPr>
        <w:t>We anticipate that revenues from our analytics services will grow as we expand our service offerings and client base, both organically and through acquisitions.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Income Taxes</w:t>
      </w:r>
    </w:p>
    <w:p>
      <w:pPr>
        <w:spacing w:after="0" w:line="239" w:lineRule="exact"/>
        <w:rPr>
          <w:sz w:val="20"/>
          <w:szCs w:val="20"/>
          <w:color w:val="auto"/>
        </w:rPr>
      </w:pPr>
    </w:p>
    <w:p>
      <w:pPr>
        <w:jc w:val="both"/>
        <w:ind w:firstLine="393"/>
        <w:spacing w:after="0" w:line="267" w:lineRule="auto"/>
        <w:rPr>
          <w:sz w:val="20"/>
          <w:szCs w:val="20"/>
          <w:color w:val="auto"/>
        </w:rPr>
      </w:pPr>
      <w:r>
        <w:rPr>
          <w:rFonts w:ascii="Times New Roman" w:cs="Times New Roman" w:eastAsia="Times New Roman" w:hAnsi="Times New Roman"/>
          <w:sz w:val="17"/>
          <w:szCs w:val="17"/>
          <w:color w:val="auto"/>
        </w:rPr>
        <w:t>The Organization for Economic Cooperation and Development, issued a Pillar II model for implementing a 15% global minimum tax effective January 1, 2024. The application of the rules relating to Pillar II continue to evolve, and there are countries that are still in the process of issuing attendant rules and regulations, including available transitional safe harbor rules. The two countries where we operate but do not meet the available safe harbor rules are the Republic of Ireland and the Philippines. The Pillar II impacts for the Republic of Ireland and the Philippines are not significant and have been properly reflected in our financial statements. We will continue to monitor Pillar II developments and assess any future impacts.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Accounting Policies and Estimates</w:t>
      </w:r>
    </w:p>
    <w:p>
      <w:pPr>
        <w:spacing w:after="0" w:line="252" w:lineRule="exact"/>
        <w:rPr>
          <w:sz w:val="20"/>
          <w:szCs w:val="20"/>
          <w:color w:val="auto"/>
        </w:rPr>
      </w:pPr>
    </w:p>
    <w:p>
      <w:pPr>
        <w:jc w:val="both"/>
        <w:ind w:firstLine="393"/>
        <w:spacing w:after="0" w:line="270" w:lineRule="auto"/>
        <w:rPr>
          <w:sz w:val="20"/>
          <w:szCs w:val="20"/>
          <w:color w:val="auto"/>
        </w:rPr>
      </w:pPr>
      <w:r>
        <w:rPr>
          <w:rFonts w:ascii="Times New Roman" w:cs="Times New Roman" w:eastAsia="Times New Roman" w:hAnsi="Times New Roman"/>
          <w:sz w:val="17"/>
          <w:szCs w:val="17"/>
          <w:color w:val="auto"/>
        </w:rPr>
        <w:t>There have been no significant changes in our critical accounting policies and estimates during the three and nine months ended September 30, 2024, as compared to the critical accounting policies and estimates referred in Part II, Item 7, “Management’s Discussion and Analysis of Financial Condition and Results of Operations” under “Critical Accounting Policies and Estimates” and Note 2 - Summary of Significant Accounting Policies to our consolidated financial statements included in our Annual Report on Form 10-K for the fiscal year ended December 31, 2023.</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Results of Operations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The following table summarizes our results of operations for the three months ended September 30, 2024 and 2023:</w:t>
      </w:r>
    </w:p>
    <w:p>
      <w:pPr>
        <w:spacing w:after="0" w:line="244" w:lineRule="exact"/>
        <w:rPr>
          <w:sz w:val="20"/>
          <w:szCs w:val="20"/>
          <w:color w:val="auto"/>
        </w:rPr>
      </w:pPr>
    </w:p>
    <w:tbl>
      <w:tblPr>
        <w:tblLayout w:type="fixed"/>
        <w:tblInd w:w="480" w:type="dxa"/>
        <w:tblCellMar>
          <w:top w:w="0" w:type="dxa"/>
          <w:left w:w="0" w:type="dxa"/>
          <w:bottom w:w="0" w:type="dxa"/>
          <w:right w:w="0" w:type="dxa"/>
        </w:tblCellMar>
      </w:tblPr>
      <w:tr>
        <w:trPr>
          <w:trHeight w:val="185"/>
        </w:trPr>
        <w:tc>
          <w:tcPr>
            <w:tcW w:w="3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0" w:type="dxa"/>
            <w:vAlign w:val="bottom"/>
          </w:tcPr>
          <w:p>
            <w:pPr>
              <w:spacing w:after="0"/>
              <w:rPr>
                <w:sz w:val="1"/>
                <w:szCs w:val="1"/>
                <w:color w:val="auto"/>
              </w:rPr>
            </w:pPr>
          </w:p>
        </w:tc>
      </w:tr>
      <w:tr>
        <w:trPr>
          <w:trHeight w:val="325"/>
        </w:trPr>
        <w:tc>
          <w:tcPr>
            <w:tcW w:w="3280" w:type="dxa"/>
            <w:vAlign w:val="bottom"/>
          </w:tcPr>
          <w:p>
            <w:pPr>
              <w:spacing w:after="0"/>
              <w:rPr>
                <w:sz w:val="24"/>
                <w:szCs w:val="24"/>
                <w:color w:val="auto"/>
              </w:rPr>
            </w:pPr>
          </w:p>
        </w:tc>
        <w:tc>
          <w:tcPr>
            <w:tcW w:w="10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Three months</w:t>
            </w: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3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gridSpan w:val="2"/>
          </w:tcPr>
          <w:p>
            <w:pPr>
              <w:jc w:val="center"/>
              <w:ind w:right="320"/>
              <w:spacing w:after="0" w:line="133" w:lineRule="exact"/>
              <w:rPr>
                <w:sz w:val="20"/>
                <w:szCs w:val="20"/>
                <w:color w:val="auto"/>
              </w:rPr>
            </w:pPr>
            <w:r>
              <w:rPr>
                <w:rFonts w:ascii="Times New Roman" w:cs="Times New Roman" w:eastAsia="Times New Roman" w:hAnsi="Times New Roman"/>
                <w:sz w:val="14"/>
                <w:szCs w:val="14"/>
                <w:b w:val="1"/>
                <w:bCs w:val="1"/>
                <w:color w:val="auto"/>
              </w:rPr>
              <w:t>ended</w:t>
            </w:r>
          </w:p>
        </w:tc>
        <w:tc>
          <w:tcPr>
            <w:tcW w:w="10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jc w:val="center"/>
              <w:ind w:right="300"/>
              <w:spacing w:after="0" w:line="133" w:lineRule="exact"/>
              <w:rPr>
                <w:sz w:val="20"/>
                <w:szCs w:val="20"/>
                <w:color w:val="auto"/>
              </w:rPr>
            </w:pPr>
            <w:r>
              <w:rPr>
                <w:rFonts w:ascii="Times New Roman" w:cs="Times New Roman" w:eastAsia="Times New Roman" w:hAnsi="Times New Roman"/>
                <w:sz w:val="14"/>
                <w:szCs w:val="14"/>
                <w:b w:val="1"/>
                <w:bCs w:val="1"/>
                <w:color w:val="auto"/>
              </w:rPr>
              <w:t>ended</w:t>
            </w:r>
          </w:p>
        </w:tc>
        <w:tc>
          <w:tcPr>
            <w:tcW w:w="10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3280" w:type="dxa"/>
            <w:vAlign w:val="bottom"/>
          </w:tcPr>
          <w:p>
            <w:pPr>
              <w:spacing w:after="0"/>
              <w:rPr>
                <w:sz w:val="12"/>
                <w:szCs w:val="12"/>
                <w:color w:val="auto"/>
              </w:rPr>
            </w:pPr>
          </w:p>
        </w:tc>
        <w:tc>
          <w:tcPr>
            <w:tcW w:w="1080" w:type="dxa"/>
            <w:vAlign w:val="bottom"/>
            <w:gridSpan w:val="3"/>
          </w:tcPr>
          <w:p>
            <w:pPr>
              <w:jc w:val="center"/>
              <w:ind w:right="100"/>
              <w:spacing w:after="0" w:line="145"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3"/>
          </w:tcPr>
          <w:p>
            <w:pPr>
              <w:jc w:val="center"/>
              <w:ind w:right="100"/>
              <w:spacing w:after="0" w:line="145" w:lineRule="exact"/>
              <w:rPr>
                <w:sz w:val="20"/>
                <w:szCs w:val="20"/>
                <w:color w:val="auto"/>
              </w:rPr>
            </w:pPr>
            <w:r>
              <w:rPr>
                <w:rFonts w:ascii="Times New Roman" w:cs="Times New Roman" w:eastAsia="Times New Roman" w:hAnsi="Times New Roman"/>
                <w:sz w:val="14"/>
                <w:szCs w:val="14"/>
                <w:b w:val="1"/>
                <w:bCs w:val="1"/>
                <w:color w:val="auto"/>
                <w:w w:val="98"/>
              </w:rPr>
              <w:t>September 30,</w:t>
            </w:r>
          </w:p>
        </w:tc>
        <w:tc>
          <w:tcPr>
            <w:tcW w:w="1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Dollar Change</w:t>
            </w: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center"/>
              <w:ind w:right="123"/>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20" w:type="dxa"/>
            <w:vAlign w:val="bottom"/>
          </w:tcPr>
          <w:p>
            <w:pPr>
              <w:spacing w:after="0"/>
              <w:rPr>
                <w:sz w:val="16"/>
                <w:szCs w:val="16"/>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Percentage of</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center"/>
              <w:ind w:right="123"/>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6"/>
                <w:szCs w:val="16"/>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Percentage of</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2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2"/>
              </w:rPr>
              <w:t>(A)</w:t>
            </w:r>
          </w:p>
        </w:tc>
        <w:tc>
          <w:tcPr>
            <w:tcW w:w="1080" w:type="dxa"/>
            <w:vAlign w:val="bottom"/>
            <w:vMerge w:val="continue"/>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(B)</w:t>
            </w:r>
          </w:p>
        </w:tc>
        <w:tc>
          <w:tcPr>
            <w:tcW w:w="1080" w:type="dxa"/>
            <w:vAlign w:val="bottom"/>
            <w:vMerge w:val="continue"/>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80" w:type="dxa"/>
            <w:vAlign w:val="bottom"/>
            <w:vMerge w:val="restart"/>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(C=A-B)</w:t>
            </w:r>
          </w:p>
        </w:tc>
        <w:tc>
          <w:tcPr>
            <w:tcW w:w="10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2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1"/>
        </w:trPr>
        <w:tc>
          <w:tcPr>
            <w:tcW w:w="3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Revenues, net</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Revenues, net</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ind w:right="6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 net</w:t>
            </w:r>
          </w:p>
        </w:tc>
        <w:tc>
          <w:tcPr>
            <w:tcW w:w="200" w:type="dxa"/>
            <w:vAlign w:val="bottom"/>
            <w:tcBorders>
              <w:top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472.1</w:t>
            </w:r>
          </w:p>
        </w:tc>
        <w:tc>
          <w:tcPr>
            <w:tcW w:w="12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411.0</w:t>
            </w:r>
          </w:p>
        </w:tc>
        <w:tc>
          <w:tcPr>
            <w:tcW w:w="10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61.1</w:t>
            </w:r>
          </w:p>
        </w:tc>
        <w:tc>
          <w:tcPr>
            <w:tcW w:w="1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3280" w:type="dxa"/>
            <w:vAlign w:val="bottom"/>
          </w:tcPr>
          <w:p>
            <w:pPr>
              <w:ind w:left="20"/>
              <w:spacing w:after="0" w:line="209" w:lineRule="exact"/>
              <w:rPr>
                <w:sz w:val="20"/>
                <w:szCs w:val="20"/>
                <w:color w:val="auto"/>
              </w:rPr>
            </w:pPr>
            <w:r>
              <w:rPr>
                <w:rFonts w:ascii="Times New Roman" w:cs="Times New Roman" w:eastAsia="Times New Roman" w:hAnsi="Times New Roman"/>
                <w:sz w:val="16"/>
                <w:szCs w:val="16"/>
                <w:color w:val="auto"/>
              </w:rPr>
              <w:t xml:space="preserve">Cost of revenues </w:t>
            </w:r>
            <w:r>
              <w:rPr>
                <w:rFonts w:ascii="Times New Roman" w:cs="Times New Roman" w:eastAsia="Times New Roman" w:hAnsi="Times New Roman"/>
                <w:sz w:val="20"/>
                <w:szCs w:val="20"/>
                <w:color w:val="auto"/>
                <w:vertAlign w:val="superscript"/>
              </w:rPr>
              <w:t>(1)</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293.8</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62.2</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256.0</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62.3</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37.8</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14.8</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3280" w:type="dxa"/>
            <w:vAlign w:val="bottom"/>
            <w:tcBorders>
              <w:top w:val="single" w:sz="8" w:color="CCEEFF"/>
            </w:tcBorders>
            <w:shd w:val="clear" w:color="auto" w:fill="CCEEFF"/>
          </w:tcPr>
          <w:p>
            <w:pPr>
              <w:ind w:left="20"/>
              <w:spacing w:after="0" w:line="203" w:lineRule="exact"/>
              <w:rPr>
                <w:sz w:val="20"/>
                <w:szCs w:val="20"/>
                <w:color w:val="auto"/>
              </w:rPr>
            </w:pPr>
            <w:r>
              <w:rPr>
                <w:rFonts w:ascii="Times New Roman" w:cs="Times New Roman" w:eastAsia="Times New Roman" w:hAnsi="Times New Roman"/>
                <w:sz w:val="16"/>
                <w:szCs w:val="16"/>
                <w:b w:val="1"/>
                <w:bCs w:val="1"/>
                <w:color w:val="auto"/>
              </w:rPr>
              <w:t xml:space="preserve">Gross profit </w:t>
            </w:r>
            <w:r>
              <w:rPr>
                <w:rFonts w:ascii="Times New Roman" w:cs="Times New Roman" w:eastAsia="Times New Roman" w:hAnsi="Times New Roman"/>
                <w:sz w:val="20"/>
                <w:szCs w:val="20"/>
                <w:b w:val="1"/>
                <w:bCs w:val="1"/>
                <w:color w:val="auto"/>
                <w:vertAlign w:val="superscript"/>
              </w:rPr>
              <w:t>(1)</w:t>
            </w: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178.3</w:t>
            </w:r>
          </w:p>
        </w:tc>
        <w:tc>
          <w:tcPr>
            <w:tcW w:w="12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37.8 %</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155.0</w:t>
            </w:r>
          </w:p>
        </w:tc>
        <w:tc>
          <w:tcPr>
            <w:tcW w:w="10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37.7 %</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23.3</w:t>
            </w:r>
          </w:p>
        </w:tc>
        <w:tc>
          <w:tcPr>
            <w:tcW w:w="10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15.0 %</w:t>
            </w:r>
          </w:p>
        </w:tc>
        <w:tc>
          <w:tcPr>
            <w:tcW w:w="0" w:type="dxa"/>
            <w:vAlign w:val="bottom"/>
          </w:tcPr>
          <w:p>
            <w:pPr>
              <w:spacing w:after="0"/>
              <w:rPr>
                <w:sz w:val="1"/>
                <w:szCs w:val="1"/>
                <w:color w:val="auto"/>
              </w:rPr>
            </w:pPr>
          </w:p>
        </w:tc>
      </w:tr>
      <w:tr>
        <w:trPr>
          <w:trHeight w:val="188"/>
        </w:trPr>
        <w:tc>
          <w:tcPr>
            <w:tcW w:w="3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32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57.5</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52.2</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8"/>
        </w:trPr>
        <w:tc>
          <w:tcPr>
            <w:tcW w:w="32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Selling and marketing expenses</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37.6</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31.0</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21.4</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32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Depreciation and amortization expense</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1"/>
        </w:trPr>
        <w:tc>
          <w:tcPr>
            <w:tcW w:w="3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20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108.9</w:t>
            </w:r>
          </w:p>
        </w:tc>
        <w:tc>
          <w:tcPr>
            <w:tcW w:w="120" w:type="dxa"/>
            <w:vAlign w:val="bottom"/>
            <w:tcBorders>
              <w:bottom w:val="single" w:sz="8" w:color="CCEEFF"/>
            </w:tcBorders>
          </w:tcPr>
          <w:p>
            <w:pPr>
              <w:spacing w:after="0"/>
              <w:rPr>
                <w:sz w:val="17"/>
                <w:szCs w:val="17"/>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23.1</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94.8</w:t>
            </w:r>
          </w:p>
        </w:tc>
        <w:tc>
          <w:tcPr>
            <w:tcW w:w="100" w:type="dxa"/>
            <w:vAlign w:val="bottom"/>
            <w:tcBorders>
              <w:bottom w:val="single" w:sz="8" w:color="CCEEFF"/>
            </w:tcBorders>
          </w:tcPr>
          <w:p>
            <w:pPr>
              <w:spacing w:after="0"/>
              <w:rPr>
                <w:sz w:val="17"/>
                <w:szCs w:val="17"/>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23.1</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14.1</w:t>
            </w:r>
          </w:p>
        </w:tc>
        <w:tc>
          <w:tcPr>
            <w:tcW w:w="100" w:type="dxa"/>
            <w:vAlign w:val="bottom"/>
            <w:tcBorders>
              <w:bottom w:val="single" w:sz="8" w:color="CCEEFF"/>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5"/>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Income from operations</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69.4</w:t>
            </w:r>
          </w:p>
        </w:tc>
        <w:tc>
          <w:tcPr>
            <w:tcW w:w="1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14.7 %</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60.2</w:t>
            </w: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14.7 %</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9.2</w:t>
            </w: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15.2 %</w:t>
            </w:r>
          </w:p>
        </w:tc>
        <w:tc>
          <w:tcPr>
            <w:tcW w:w="0" w:type="dxa"/>
            <w:vAlign w:val="bottom"/>
          </w:tcPr>
          <w:p>
            <w:pPr>
              <w:spacing w:after="0"/>
              <w:rPr>
                <w:sz w:val="1"/>
                <w:szCs w:val="1"/>
                <w:color w:val="auto"/>
              </w:rPr>
            </w:pPr>
          </w:p>
        </w:tc>
      </w:tr>
      <w:tr>
        <w:trPr>
          <w:trHeight w:val="208"/>
        </w:trPr>
        <w:tc>
          <w:tcPr>
            <w:tcW w:w="3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Foreign exchange gain, net</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(31.8) %</w:t>
            </w:r>
          </w:p>
        </w:tc>
        <w:tc>
          <w:tcPr>
            <w:tcW w:w="0" w:type="dxa"/>
            <w:vAlign w:val="bottom"/>
          </w:tcPr>
          <w:p>
            <w:pPr>
              <w:spacing w:after="0"/>
              <w:rPr>
                <w:sz w:val="1"/>
                <w:szCs w:val="1"/>
                <w:color w:val="auto"/>
              </w:rPr>
            </w:pPr>
          </w:p>
        </w:tc>
      </w:tr>
      <w:tr>
        <w:trPr>
          <w:trHeight w:val="212"/>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 %</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 %</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62.3</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8"/>
        </w:trPr>
        <w:tc>
          <w:tcPr>
            <w:tcW w:w="3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income, net</w:t>
            </w: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2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10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462.2</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39"/>
        </w:trPr>
        <w:tc>
          <w:tcPr>
            <w:tcW w:w="3280" w:type="dxa"/>
            <w:vAlign w:val="bottom"/>
            <w:shd w:val="clear" w:color="auto" w:fill="CCEEFF"/>
          </w:tcPr>
          <w:p>
            <w:pPr>
              <w:ind w:left="20"/>
              <w:spacing w:after="0" w:line="139" w:lineRule="exact"/>
              <w:rPr>
                <w:sz w:val="20"/>
                <w:szCs w:val="20"/>
                <w:color w:val="auto"/>
              </w:rPr>
            </w:pPr>
            <w:r>
              <w:rPr>
                <w:rFonts w:ascii="Times New Roman" w:cs="Times New Roman" w:eastAsia="Times New Roman" w:hAnsi="Times New Roman"/>
                <w:sz w:val="16"/>
                <w:szCs w:val="16"/>
                <w:b w:val="1"/>
                <w:bCs w:val="1"/>
                <w:color w:val="auto"/>
                <w:w w:val="99"/>
              </w:rPr>
              <w:t>Income before income tax expense and earnings</w:t>
            </w:r>
          </w:p>
        </w:tc>
        <w:tc>
          <w:tcPr>
            <w:tcW w:w="20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68.5</w:t>
            </w:r>
          </w:p>
        </w:tc>
        <w:tc>
          <w:tcPr>
            <w:tcW w:w="120" w:type="dxa"/>
            <w:vAlign w:val="bottom"/>
            <w:shd w:val="clear" w:color="auto" w:fill="CCEEFF"/>
          </w:tcPr>
          <w:p>
            <w:pPr>
              <w:spacing w:after="0"/>
              <w:rPr>
                <w:sz w:val="12"/>
                <w:szCs w:val="12"/>
                <w:color w:val="auto"/>
              </w:rPr>
            </w:pPr>
          </w:p>
        </w:tc>
        <w:tc>
          <w:tcPr>
            <w:tcW w:w="12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14.5 %</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58.0</w:t>
            </w:r>
          </w:p>
        </w:tc>
        <w:tc>
          <w:tcPr>
            <w:tcW w:w="100" w:type="dxa"/>
            <w:vAlign w:val="bottom"/>
            <w:shd w:val="clear" w:color="auto" w:fill="CCEEFF"/>
          </w:tcPr>
          <w:p>
            <w:pPr>
              <w:spacing w:after="0"/>
              <w:rPr>
                <w:sz w:val="12"/>
                <w:szCs w:val="12"/>
                <w:color w:val="auto"/>
              </w:rPr>
            </w:pPr>
          </w:p>
        </w:tc>
        <w:tc>
          <w:tcPr>
            <w:tcW w:w="12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14.1 %</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10.5</w:t>
            </w:r>
          </w:p>
        </w:tc>
        <w:tc>
          <w:tcPr>
            <w:tcW w:w="122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18.1 %</w:t>
            </w:r>
          </w:p>
        </w:tc>
        <w:tc>
          <w:tcPr>
            <w:tcW w:w="0" w:type="dxa"/>
            <w:vAlign w:val="bottom"/>
          </w:tcPr>
          <w:p>
            <w:pPr>
              <w:spacing w:after="0"/>
              <w:rPr>
                <w:sz w:val="1"/>
                <w:szCs w:val="1"/>
                <w:color w:val="auto"/>
              </w:rPr>
            </w:pPr>
          </w:p>
        </w:tc>
      </w:tr>
      <w:tr>
        <w:trPr>
          <w:trHeight w:val="210"/>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from equity affiliates</w:t>
            </w:r>
          </w:p>
        </w:tc>
        <w:tc>
          <w:tcPr>
            <w:tcW w:w="20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220" w:type="dxa"/>
            <w:vAlign w:val="bottom"/>
            <w:gridSpan w:val="3"/>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5"/>
        </w:trPr>
        <w:tc>
          <w:tcPr>
            <w:tcW w:w="3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Income before earnings from equity affiliates</w:t>
            </w:r>
          </w:p>
        </w:tc>
        <w:tc>
          <w:tcPr>
            <w:tcW w:w="2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53.0</w:t>
            </w:r>
          </w:p>
        </w:tc>
        <w:tc>
          <w:tcPr>
            <w:tcW w:w="12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11.2 %</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43.8</w:t>
            </w:r>
          </w:p>
        </w:tc>
        <w:tc>
          <w:tcPr>
            <w:tcW w:w="10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10.7 %</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9.2</w:t>
            </w:r>
          </w:p>
        </w:tc>
        <w:tc>
          <w:tcPr>
            <w:tcW w:w="10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20.9 %</w:t>
            </w:r>
          </w:p>
        </w:tc>
        <w:tc>
          <w:tcPr>
            <w:tcW w:w="0" w:type="dxa"/>
            <w:vAlign w:val="bottom"/>
          </w:tcPr>
          <w:p>
            <w:pPr>
              <w:spacing w:after="0"/>
              <w:rPr>
                <w:sz w:val="1"/>
                <w:szCs w:val="1"/>
                <w:color w:val="auto"/>
              </w:rPr>
            </w:pPr>
          </w:p>
        </w:tc>
      </w:tr>
      <w:tr>
        <w:trPr>
          <w:trHeight w:val="208"/>
        </w:trPr>
        <w:tc>
          <w:tcPr>
            <w:tcW w:w="3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Gain/(loss) from equity-method investment</w:t>
            </w:r>
          </w:p>
        </w:tc>
        <w:tc>
          <w:tcPr>
            <w:tcW w:w="2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Pr>
          <w:p>
            <w:pPr>
              <w:spacing w:after="0"/>
              <w:rPr>
                <w:sz w:val="18"/>
                <w:szCs w:val="18"/>
                <w:color w:val="auto"/>
              </w:rPr>
            </w:pPr>
          </w:p>
        </w:tc>
        <w:tc>
          <w:tcPr>
            <w:tcW w:w="136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 %</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29"/>
        </w:trPr>
        <w:tc>
          <w:tcPr>
            <w:tcW w:w="32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200" w:type="dxa"/>
            <w:vAlign w:val="bottom"/>
            <w:tcBorders>
              <w:top w:val="single" w:sz="8" w:color="auto"/>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53.0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11.2 %</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43.9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10.7 %</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20.9 %</w:t>
            </w: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i w:val="1"/>
          <w:iCs w:val="1"/>
          <w:color w:val="auto"/>
        </w:rPr>
        <w:t>(1) Exclusive of depreciation and amortization expense.</w:t>
      </w:r>
    </w:p>
    <w:p>
      <w:pPr>
        <w:spacing w:after="0" w:line="236" w:lineRule="exact"/>
        <w:rPr>
          <w:sz w:val="20"/>
          <w:szCs w:val="20"/>
          <w:color w:val="auto"/>
        </w:rPr>
      </w:pPr>
    </w:p>
    <w:p>
      <w:pPr>
        <w:ind w:left="400"/>
        <w:spacing w:after="0" w:line="271" w:lineRule="auto"/>
        <w:rPr>
          <w:sz w:val="20"/>
          <w:szCs w:val="20"/>
          <w:color w:val="auto"/>
        </w:rPr>
      </w:pPr>
      <w:r>
        <w:rPr>
          <w:rFonts w:ascii="Times New Roman" w:cs="Times New Roman" w:eastAsia="Times New Roman" w:hAnsi="Times New Roman"/>
          <w:sz w:val="16"/>
          <w:szCs w:val="16"/>
          <w:i w:val="1"/>
          <w:iCs w:val="1"/>
          <w:color w:val="auto"/>
        </w:rPr>
        <w:t>Due to rounding, the numbers presented in the tables included in this Part I, Item 2, “Management’s Discussion and Analysis of Financial Condition and Results of Operations” may not add up precisely to the totals provided.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Three Months Ended September 30, 2024 Compared to Three Months Ended September 30, 2023</w:t>
      </w:r>
    </w:p>
    <w:p>
      <w:pPr>
        <w:spacing w:after="0" w:line="11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Revenues.</w:t>
      </w:r>
    </w:p>
    <w:p>
      <w:pPr>
        <w:spacing w:after="0" w:line="25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The following table summarizes our revenues by reportable segments:</w:t>
      </w:r>
    </w:p>
    <w:p>
      <w:pPr>
        <w:spacing w:after="0" w:line="214"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20" w:type="dxa"/>
            <w:vAlign w:val="bottom"/>
          </w:tcPr>
          <w:p>
            <w:pPr>
              <w:spacing w:after="0"/>
              <w:rPr>
                <w:sz w:val="13"/>
                <w:szCs w:val="13"/>
                <w:color w:val="auto"/>
              </w:rPr>
            </w:pPr>
          </w:p>
        </w:tc>
        <w:tc>
          <w:tcPr>
            <w:tcW w:w="2760" w:type="dxa"/>
            <w:vAlign w:val="bottom"/>
            <w:gridSpan w:val="6"/>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80" w:type="dxa"/>
            <w:vAlign w:val="bottom"/>
            <w:gridSpan w:val="3"/>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Percentage of Total Revenues for the three</w:t>
            </w:r>
          </w:p>
        </w:tc>
        <w:tc>
          <w:tcPr>
            <w:tcW w:w="0" w:type="dxa"/>
            <w:vAlign w:val="bottom"/>
          </w:tcPr>
          <w:p>
            <w:pPr>
              <w:spacing w:after="0"/>
              <w:rPr>
                <w:sz w:val="1"/>
                <w:szCs w:val="1"/>
                <w:color w:val="auto"/>
              </w:rPr>
            </w:pPr>
          </w:p>
        </w:tc>
      </w:tr>
      <w:tr>
        <w:trPr>
          <w:trHeight w:val="188"/>
        </w:trPr>
        <w:tc>
          <w:tcPr>
            <w:tcW w:w="2020" w:type="dxa"/>
            <w:vAlign w:val="bottom"/>
          </w:tcPr>
          <w:p>
            <w:pPr>
              <w:spacing w:after="0"/>
              <w:rPr>
                <w:sz w:val="16"/>
                <w:szCs w:val="16"/>
                <w:color w:val="auto"/>
              </w:rPr>
            </w:pPr>
          </w:p>
        </w:tc>
        <w:tc>
          <w:tcPr>
            <w:tcW w:w="2760" w:type="dxa"/>
            <w:vAlign w:val="bottom"/>
            <w:gridSpan w:val="6"/>
            <w:vMerge w:val="continue"/>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Percentage</w:t>
            </w:r>
          </w:p>
        </w:tc>
        <w:tc>
          <w:tcPr>
            <w:tcW w:w="2880" w:type="dxa"/>
            <w:vAlign w:val="bottom"/>
            <w:gridSpan w:val="3"/>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months ended September 30,</w:t>
            </w:r>
          </w:p>
        </w:tc>
        <w:tc>
          <w:tcPr>
            <w:tcW w:w="0" w:type="dxa"/>
            <w:vAlign w:val="bottom"/>
          </w:tcPr>
          <w:p>
            <w:pPr>
              <w:spacing w:after="0"/>
              <w:rPr>
                <w:sz w:val="1"/>
                <w:szCs w:val="1"/>
                <w:color w:val="auto"/>
              </w:rPr>
            </w:pPr>
          </w:p>
        </w:tc>
      </w:tr>
      <w:tr>
        <w:trPr>
          <w:trHeight w:val="191"/>
        </w:trPr>
        <w:tc>
          <w:tcPr>
            <w:tcW w:w="2020" w:type="dxa"/>
            <w:vAlign w:val="bottom"/>
          </w:tcPr>
          <w:p>
            <w:pPr>
              <w:spacing w:after="0"/>
              <w:rPr>
                <w:sz w:val="16"/>
                <w:szCs w:val="16"/>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Dollar Change</w:t>
            </w:r>
          </w:p>
        </w:tc>
        <w:tc>
          <w:tcPr>
            <w:tcW w:w="14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change</w:t>
            </w:r>
          </w:p>
        </w:tc>
        <w:tc>
          <w:tcPr>
            <w:tcW w:w="1400" w:type="dxa"/>
            <w:vAlign w:val="bottom"/>
            <w:tcBorders>
              <w:top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89"/>
        </w:trPr>
        <w:tc>
          <w:tcPr>
            <w:tcW w:w="2020" w:type="dxa"/>
            <w:vAlign w:val="bottom"/>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Insurance</w:t>
            </w:r>
          </w:p>
        </w:tc>
        <w:tc>
          <w:tcPr>
            <w:tcW w:w="820" w:type="dxa"/>
            <w:vAlign w:val="bottom"/>
            <w:shd w:val="clear" w:color="auto" w:fill="CCEEFF"/>
          </w:tcPr>
          <w:p>
            <w:pPr>
              <w:jc w:val="right"/>
              <w:ind w:right="641"/>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157.6</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21.2</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15.5 %</w:t>
            </w:r>
          </w:p>
        </w:tc>
        <w:tc>
          <w:tcPr>
            <w:tcW w:w="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33.4 %</w:t>
            </w:r>
          </w:p>
        </w:tc>
        <w:tc>
          <w:tcPr>
            <w:tcW w:w="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33.2 %</w:t>
            </w:r>
          </w:p>
        </w:tc>
        <w:tc>
          <w:tcPr>
            <w:tcW w:w="0" w:type="dxa"/>
            <w:vAlign w:val="bottom"/>
          </w:tcPr>
          <w:p>
            <w:pPr>
              <w:spacing w:after="0"/>
              <w:rPr>
                <w:sz w:val="1"/>
                <w:szCs w:val="1"/>
                <w:color w:val="auto"/>
              </w:rPr>
            </w:pPr>
          </w:p>
        </w:tc>
      </w:tr>
      <w:tr>
        <w:trPr>
          <w:trHeight w:val="223"/>
        </w:trPr>
        <w:tc>
          <w:tcPr>
            <w:tcW w:w="2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Healthcare</w:t>
            </w:r>
          </w:p>
        </w:tc>
        <w:tc>
          <w:tcPr>
            <w:tcW w:w="8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30.5</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16.5 %</w:t>
            </w:r>
          </w:p>
        </w:tc>
        <w:tc>
          <w:tcPr>
            <w:tcW w:w="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6.5 %</w:t>
            </w:r>
          </w:p>
        </w:tc>
        <w:tc>
          <w:tcPr>
            <w:tcW w:w="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6.4 %</w:t>
            </w:r>
          </w:p>
        </w:tc>
        <w:tc>
          <w:tcPr>
            <w:tcW w:w="0" w:type="dxa"/>
            <w:vAlign w:val="bottom"/>
          </w:tcPr>
          <w:p>
            <w:pPr>
              <w:spacing w:after="0"/>
              <w:rPr>
                <w:sz w:val="1"/>
                <w:szCs w:val="1"/>
                <w:color w:val="auto"/>
              </w:rPr>
            </w:pPr>
          </w:p>
        </w:tc>
      </w:tr>
      <w:tr>
        <w:trPr>
          <w:trHeight w:val="223"/>
        </w:trPr>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Emerging Business</w:t>
            </w:r>
          </w:p>
        </w:tc>
        <w:tc>
          <w:tcPr>
            <w:tcW w:w="8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22.5 %</w:t>
            </w:r>
          </w:p>
        </w:tc>
        <w:tc>
          <w:tcPr>
            <w:tcW w:w="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16.9 %</w:t>
            </w:r>
          </w:p>
        </w:tc>
        <w:tc>
          <w:tcPr>
            <w:tcW w:w="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15.9 %</w:t>
            </w:r>
          </w:p>
        </w:tc>
        <w:tc>
          <w:tcPr>
            <w:tcW w:w="0" w:type="dxa"/>
            <w:vAlign w:val="bottom"/>
          </w:tcPr>
          <w:p>
            <w:pPr>
              <w:spacing w:after="0"/>
              <w:rPr>
                <w:sz w:val="1"/>
                <w:szCs w:val="1"/>
                <w:color w:val="auto"/>
              </w:rPr>
            </w:pPr>
          </w:p>
        </w:tc>
      </w:tr>
      <w:tr>
        <w:trPr>
          <w:trHeight w:val="223"/>
        </w:trPr>
        <w:tc>
          <w:tcPr>
            <w:tcW w:w="2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Analytics</w:t>
            </w:r>
          </w:p>
        </w:tc>
        <w:tc>
          <w:tcPr>
            <w:tcW w:w="8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204.0</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183.1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20.9</w:t>
            </w:r>
          </w:p>
        </w:tc>
        <w:tc>
          <w:tcPr>
            <w:tcW w:w="10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11.4 %</w:t>
            </w:r>
          </w:p>
        </w:tc>
        <w:tc>
          <w:tcPr>
            <w:tcW w:w="8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43.2 %</w:t>
            </w:r>
          </w:p>
        </w:tc>
        <w:tc>
          <w:tcPr>
            <w:tcW w:w="8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44.5 %</w:t>
            </w:r>
          </w:p>
        </w:tc>
        <w:tc>
          <w:tcPr>
            <w:tcW w:w="0" w:type="dxa"/>
            <w:vAlign w:val="bottom"/>
          </w:tcPr>
          <w:p>
            <w:pPr>
              <w:spacing w:after="0"/>
              <w:rPr>
                <w:sz w:val="1"/>
                <w:szCs w:val="1"/>
                <w:color w:val="auto"/>
              </w:rPr>
            </w:pPr>
          </w:p>
        </w:tc>
      </w:tr>
      <w:tr>
        <w:trPr>
          <w:trHeight w:val="241"/>
        </w:trPr>
        <w:tc>
          <w:tcPr>
            <w:tcW w:w="2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revenues, net</w:t>
            </w:r>
          </w:p>
        </w:tc>
        <w:tc>
          <w:tcPr>
            <w:tcW w:w="820" w:type="dxa"/>
            <w:vAlign w:val="bottom"/>
            <w:tcBorders>
              <w:bottom w:val="single" w:sz="8" w:color="auto"/>
            </w:tcBorders>
            <w:shd w:val="clear" w:color="auto" w:fill="CCEEFF"/>
          </w:tcPr>
          <w:p>
            <w:pPr>
              <w:jc w:val="right"/>
              <w:ind w:right="641"/>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472.1</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411.0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61.1</w:t>
            </w:r>
          </w:p>
        </w:tc>
        <w:tc>
          <w:tcPr>
            <w:tcW w:w="1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14.9 %</w:t>
            </w:r>
          </w:p>
        </w:tc>
        <w:tc>
          <w:tcPr>
            <w:tcW w:w="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100.0 %</w:t>
            </w:r>
          </w:p>
        </w:tc>
        <w:tc>
          <w:tcPr>
            <w:tcW w:w="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100.0 %</w:t>
            </w:r>
          </w:p>
        </w:tc>
        <w:tc>
          <w:tcPr>
            <w:tcW w:w="0" w:type="dxa"/>
            <w:vAlign w:val="bottom"/>
          </w:tcPr>
          <w:p>
            <w:pPr>
              <w:spacing w:after="0"/>
              <w:rPr>
                <w:sz w:val="1"/>
                <w:szCs w:val="1"/>
                <w:color w:val="auto"/>
              </w:rPr>
            </w:pPr>
          </w:p>
        </w:tc>
      </w:tr>
      <w:tr>
        <w:trPr>
          <w:trHeight w:val="20"/>
        </w:trPr>
        <w:tc>
          <w:tcPr>
            <w:tcW w:w="20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8" w:lineRule="exact"/>
        <w:rPr>
          <w:sz w:val="20"/>
          <w:szCs w:val="20"/>
          <w:color w:val="auto"/>
        </w:rPr>
      </w:pPr>
    </w:p>
    <w:p>
      <w:pPr>
        <w:jc w:val="both"/>
        <w:ind w:right="100" w:firstLine="393"/>
        <w:spacing w:after="0" w:line="297" w:lineRule="auto"/>
        <w:rPr>
          <w:sz w:val="20"/>
          <w:szCs w:val="20"/>
          <w:color w:val="auto"/>
        </w:rPr>
      </w:pPr>
      <w:r>
        <w:rPr>
          <w:rFonts w:ascii="Times New Roman" w:cs="Times New Roman" w:eastAsia="Times New Roman" w:hAnsi="Times New Roman"/>
          <w:sz w:val="17"/>
          <w:szCs w:val="17"/>
          <w:color w:val="auto"/>
        </w:rPr>
        <w:t>Revenues for the three months ended September 30, 2024 were up by $61.1 million, or 14.9%, compared to the three months ended September 30, 2023, driven primarily by revenue growth from our new and existing clients in all of our reportable segments.</w:t>
      </w:r>
    </w:p>
    <w:p>
      <w:pPr>
        <w:spacing w:after="0" w:line="172" w:lineRule="exact"/>
        <w:rPr>
          <w:sz w:val="20"/>
          <w:szCs w:val="20"/>
          <w:color w:val="auto"/>
        </w:rPr>
      </w:pPr>
    </w:p>
    <w:p>
      <w:pPr>
        <w:jc w:val="both"/>
        <w:ind w:right="100" w:firstLine="393"/>
        <w:spacing w:after="0" w:line="261" w:lineRule="auto"/>
        <w:rPr>
          <w:sz w:val="20"/>
          <w:szCs w:val="20"/>
          <w:color w:val="auto"/>
        </w:rPr>
      </w:pPr>
      <w:r>
        <w:rPr>
          <w:rFonts w:ascii="Times New Roman" w:cs="Times New Roman" w:eastAsia="Times New Roman" w:hAnsi="Times New Roman"/>
          <w:sz w:val="17"/>
          <w:szCs w:val="17"/>
          <w:color w:val="auto"/>
        </w:rPr>
        <w:t>Revenue growth in Insurance of $21.2 million was primarily driven by expansion of business from our new and existing clients of $20.6 million and an increase in revenues of $0.6 million, mainly attributable to the appreciation of the U.K. pound sterling and the Australian dollar against the U.S. dollar during the three months ended September 30, 2024, compared to the three months ended September 30, 2023.</w:t>
      </w:r>
    </w:p>
    <w:p>
      <w:pPr>
        <w:spacing w:after="0" w:line="201" w:lineRule="exact"/>
        <w:rPr>
          <w:sz w:val="20"/>
          <w:szCs w:val="20"/>
          <w:color w:val="auto"/>
        </w:rPr>
      </w:pPr>
    </w:p>
    <w:p>
      <w:pPr>
        <w:jc w:val="both"/>
        <w:ind w:right="100" w:firstLine="393"/>
        <w:spacing w:after="0" w:line="281" w:lineRule="auto"/>
        <w:rPr>
          <w:sz w:val="20"/>
          <w:szCs w:val="20"/>
          <w:color w:val="auto"/>
        </w:rPr>
      </w:pPr>
      <w:r>
        <w:rPr>
          <w:rFonts w:ascii="Times New Roman" w:cs="Times New Roman" w:eastAsia="Times New Roman" w:hAnsi="Times New Roman"/>
          <w:sz w:val="17"/>
          <w:szCs w:val="17"/>
          <w:color w:val="auto"/>
        </w:rPr>
        <w:t>Revenue growth in Healthcare of $4.3 million was primarily driven by expansion of business from our existing clients of $4.3 million during the three months ended September 30, 2024, compared to the three months ended September 30, 2023.</w:t>
      </w:r>
    </w:p>
    <w:p>
      <w:pPr>
        <w:spacing w:after="0" w:line="172" w:lineRule="exact"/>
        <w:rPr>
          <w:sz w:val="20"/>
          <w:szCs w:val="20"/>
          <w:color w:val="auto"/>
        </w:rPr>
      </w:pPr>
    </w:p>
    <w:p>
      <w:pPr>
        <w:jc w:val="both"/>
        <w:ind w:right="100" w:firstLine="393"/>
        <w:spacing w:after="0" w:line="269" w:lineRule="auto"/>
        <w:rPr>
          <w:sz w:val="20"/>
          <w:szCs w:val="20"/>
          <w:color w:val="auto"/>
        </w:rPr>
      </w:pPr>
      <w:r>
        <w:rPr>
          <w:rFonts w:ascii="Times New Roman" w:cs="Times New Roman" w:eastAsia="Times New Roman" w:hAnsi="Times New Roman"/>
          <w:sz w:val="17"/>
          <w:szCs w:val="17"/>
          <w:color w:val="auto"/>
        </w:rPr>
        <w:t>Revenue growth in Emerging Business of $14.7 million was primarily driven by expansion of business from our new and existing clients of $14.2 million and an increase in revenues of $0.5 million, mainly attributable to the appreciation of the U.K. pound sterling against the U.S. dollar during the three months ended September 30, 2024, compared to the three months ended September 30, 2023.</w:t>
      </w:r>
    </w:p>
    <w:p>
      <w:pPr>
        <w:spacing w:after="0" w:line="182" w:lineRule="exact"/>
        <w:rPr>
          <w:sz w:val="20"/>
          <w:szCs w:val="20"/>
          <w:color w:val="auto"/>
        </w:rPr>
      </w:pPr>
    </w:p>
    <w:p>
      <w:pPr>
        <w:jc w:val="both"/>
        <w:ind w:right="100" w:firstLine="393"/>
        <w:spacing w:after="0" w:line="270" w:lineRule="auto"/>
        <w:rPr>
          <w:sz w:val="20"/>
          <w:szCs w:val="20"/>
          <w:color w:val="auto"/>
        </w:rPr>
      </w:pPr>
      <w:r>
        <w:rPr>
          <w:rFonts w:ascii="Times New Roman" w:cs="Times New Roman" w:eastAsia="Times New Roman" w:hAnsi="Times New Roman"/>
          <w:sz w:val="17"/>
          <w:szCs w:val="17"/>
          <w:color w:val="auto"/>
        </w:rPr>
        <w:t>Revenue growth in Analytics of $20.9 million was primarily driven by higher volumes in our annuity and project-based engagements from our new and existing clients of $20.5 million, including incremental revenue from our August 2024 acquisition of ITI Data and an increase in revenues of $0.4 million, mainly attributable to the appreciation of the U.K. pound sterling against the U.S. dollar during the three months ended September 30, 2024, compared to the three months ended September 30, 2023.</w:t>
      </w:r>
    </w:p>
    <w:p>
      <w:pPr>
        <w:spacing w:after="0" w:line="29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Cost of Revenues and Gross Margin</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The following table sets forth cost of revenues and gross margin of our reportable segments:</w:t>
      </w:r>
    </w:p>
    <w:p>
      <w:pPr>
        <w:spacing w:after="0" w:line="261" w:lineRule="exact"/>
        <w:rPr>
          <w:sz w:val="20"/>
          <w:szCs w:val="20"/>
          <w:color w:val="auto"/>
        </w:rPr>
      </w:pPr>
    </w:p>
    <w:tbl>
      <w:tblPr>
        <w:tblLayout w:type="fixed"/>
        <w:tblInd w:w="440" w:type="dxa"/>
        <w:tblCellMar>
          <w:top w:w="0" w:type="dxa"/>
          <w:left w:w="0" w:type="dxa"/>
          <w:bottom w:w="0" w:type="dxa"/>
          <w:right w:w="0" w:type="dxa"/>
        </w:tblCellMar>
      </w:tblPr>
      <w:tr>
        <w:trPr>
          <w:trHeight w:val="185"/>
        </w:trPr>
        <w:tc>
          <w:tcPr>
            <w:tcW w:w="19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Cost of Revenues</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Gross Margin</w:t>
            </w:r>
          </w:p>
        </w:tc>
        <w:tc>
          <w:tcPr>
            <w:tcW w:w="1100" w:type="dxa"/>
            <w:vAlign w:val="bottom"/>
          </w:tcPr>
          <w:p>
            <w:pPr>
              <w:spacing w:after="0"/>
              <w:rPr>
                <w:sz w:val="16"/>
                <w:szCs w:val="16"/>
                <w:color w:val="auto"/>
              </w:rPr>
            </w:pPr>
          </w:p>
        </w:tc>
      </w:tr>
      <w:tr>
        <w:trPr>
          <w:trHeight w:val="24"/>
        </w:trPr>
        <w:tc>
          <w:tcPr>
            <w:tcW w:w="1920" w:type="dxa"/>
            <w:vAlign w:val="bottom"/>
          </w:tcPr>
          <w:p>
            <w:pPr>
              <w:spacing w:after="0"/>
              <w:rPr>
                <w:sz w:val="2"/>
                <w:szCs w:val="2"/>
                <w:color w:val="auto"/>
              </w:rPr>
            </w:pPr>
          </w:p>
        </w:tc>
        <w:tc>
          <w:tcPr>
            <w:tcW w:w="2720" w:type="dxa"/>
            <w:vAlign w:val="bottom"/>
            <w:tcBorders>
              <w:bottom w:val="single" w:sz="8" w:color="auto"/>
            </w:tcBorders>
            <w:gridSpan w:val="7"/>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0" w:type="dxa"/>
            <w:vAlign w:val="bottom"/>
            <w:tcBorders>
              <w:bottom w:val="single" w:sz="8" w:color="auto"/>
            </w:tcBorders>
            <w:gridSpan w:val="4"/>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4"/>
        </w:trPr>
        <w:tc>
          <w:tcPr>
            <w:tcW w:w="1920" w:type="dxa"/>
            <w:vAlign w:val="bottom"/>
          </w:tcPr>
          <w:p>
            <w:pPr>
              <w:spacing w:after="0"/>
              <w:rPr>
                <w:sz w:val="15"/>
                <w:szCs w:val="15"/>
                <w:color w:val="auto"/>
              </w:rPr>
            </w:pPr>
          </w:p>
        </w:tc>
        <w:tc>
          <w:tcPr>
            <w:tcW w:w="2720" w:type="dxa"/>
            <w:vAlign w:val="bottom"/>
            <w:gridSpan w:val="7"/>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80" w:type="dxa"/>
            <w:vAlign w:val="bottom"/>
          </w:tcPr>
          <w:p>
            <w:pPr>
              <w:spacing w:after="0"/>
              <w:rPr>
                <w:sz w:val="15"/>
                <w:szCs w:val="15"/>
                <w:color w:val="auto"/>
              </w:rPr>
            </w:pPr>
          </w:p>
        </w:tc>
        <w:tc>
          <w:tcPr>
            <w:tcW w:w="7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Dollar</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Percentage</w:t>
            </w:r>
          </w:p>
        </w:tc>
        <w:tc>
          <w:tcPr>
            <w:tcW w:w="3000" w:type="dxa"/>
            <w:vAlign w:val="bottom"/>
            <w:gridSpan w:val="4"/>
          </w:tcPr>
          <w:p>
            <w:pPr>
              <w:ind w:left="3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100" w:type="dxa"/>
            <w:vAlign w:val="bottom"/>
          </w:tcPr>
          <w:p>
            <w:pPr>
              <w:jc w:val="right"/>
              <w:ind w:right="138"/>
              <w:spacing w:after="0"/>
              <w:rPr>
                <w:sz w:val="20"/>
                <w:szCs w:val="20"/>
                <w:color w:val="auto"/>
              </w:rPr>
            </w:pPr>
            <w:r>
              <w:rPr>
                <w:rFonts w:ascii="Times New Roman" w:cs="Times New Roman" w:eastAsia="Times New Roman" w:hAnsi="Times New Roman"/>
                <w:sz w:val="14"/>
                <w:szCs w:val="14"/>
                <w:b w:val="1"/>
                <w:bCs w:val="1"/>
                <w:color w:val="auto"/>
              </w:rPr>
              <w:t>Percentage</w:t>
            </w:r>
          </w:p>
        </w:tc>
      </w:tr>
      <w:tr>
        <w:trPr>
          <w:trHeight w:val="191"/>
        </w:trPr>
        <w:tc>
          <w:tcPr>
            <w:tcW w:w="1920" w:type="dxa"/>
            <w:vAlign w:val="bottom"/>
          </w:tcPr>
          <w:p>
            <w:pPr>
              <w:spacing w:after="0"/>
              <w:rPr>
                <w:sz w:val="16"/>
                <w:szCs w:val="16"/>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41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5"/>
              </w:rPr>
              <w:t>Change</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change</w:t>
            </w:r>
          </w:p>
        </w:tc>
        <w:tc>
          <w:tcPr>
            <w:tcW w:w="1380" w:type="dxa"/>
            <w:vAlign w:val="bottom"/>
            <w:tcBorders>
              <w:top w:val="single" w:sz="8" w:color="auto"/>
            </w:tcBorders>
          </w:tcPr>
          <w:p>
            <w:pPr>
              <w:jc w:val="right"/>
              <w:ind w:right="47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jc w:val="right"/>
              <w:ind w:right="47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1100" w:type="dxa"/>
            <w:vAlign w:val="bottom"/>
          </w:tcPr>
          <w:p>
            <w:pPr>
              <w:jc w:val="right"/>
              <w:ind w:right="238"/>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89"/>
        </w:trPr>
        <w:tc>
          <w:tcPr>
            <w:tcW w:w="1920" w:type="dxa"/>
            <w:vAlign w:val="bottom"/>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gridSpan w:val="5"/>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w w:val="97"/>
              </w:rPr>
              <w:t>(dollars in millions)</w:t>
            </w:r>
          </w:p>
        </w:tc>
        <w:tc>
          <w:tcPr>
            <w:tcW w:w="18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r>
      <w:tr>
        <w:trPr>
          <w:trHeight w:val="229"/>
        </w:trPr>
        <w:tc>
          <w:tcPr>
            <w:tcW w:w="1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Insurance</w:t>
            </w:r>
          </w:p>
        </w:tc>
        <w:tc>
          <w:tcPr>
            <w:tcW w:w="780" w:type="dxa"/>
            <w:vAlign w:val="bottom"/>
            <w:shd w:val="clear" w:color="auto" w:fill="CCEEFF"/>
          </w:tcPr>
          <w:p>
            <w:pPr>
              <w:jc w:val="right"/>
              <w:ind w:right="581"/>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100.3</w:t>
            </w:r>
          </w:p>
        </w:tc>
        <w:tc>
          <w:tcPr>
            <w:tcW w:w="460" w:type="dxa"/>
            <w:vAlign w:val="bottom"/>
            <w:gridSpan w:val="3"/>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16.1 %</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36.3 %</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36.6 %</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w:t>
            </w:r>
          </w:p>
        </w:tc>
      </w:tr>
      <w:tr>
        <w:trPr>
          <w:trHeight w:val="223"/>
        </w:trPr>
        <w:tc>
          <w:tcPr>
            <w:tcW w:w="1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Healthcare</w:t>
            </w:r>
          </w:p>
        </w:tc>
        <w:tc>
          <w:tcPr>
            <w:tcW w:w="7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20.3</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22.5 %</w:t>
            </w: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33.6 %</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36.8 %</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w:t>
            </w:r>
          </w:p>
        </w:tc>
      </w:tr>
      <w:tr>
        <w:trPr>
          <w:trHeight w:val="223"/>
        </w:trPr>
        <w:tc>
          <w:tcPr>
            <w:tcW w:w="1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Emerging Business</w:t>
            </w:r>
          </w:p>
        </w:tc>
        <w:tc>
          <w:tcPr>
            <w:tcW w:w="7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47.8</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27.2 %</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40.2 %</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42.4 %</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w:t>
            </w:r>
          </w:p>
        </w:tc>
      </w:tr>
      <w:tr>
        <w:trPr>
          <w:trHeight w:val="223"/>
        </w:trPr>
        <w:tc>
          <w:tcPr>
            <w:tcW w:w="1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Analytics</w:t>
            </w:r>
          </w:p>
        </w:tc>
        <w:tc>
          <w:tcPr>
            <w:tcW w:w="7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9"/>
              </w:rPr>
              <w:t>125.4</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115.4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10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8.6 %</w:t>
            </w:r>
          </w:p>
        </w:tc>
        <w:tc>
          <w:tcPr>
            <w:tcW w:w="12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38.5 %</w:t>
            </w:r>
          </w:p>
        </w:tc>
        <w:tc>
          <w:tcPr>
            <w:tcW w:w="10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37.0 %</w:t>
            </w:r>
          </w:p>
        </w:tc>
        <w:tc>
          <w:tcPr>
            <w:tcW w:w="12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1.5 %</w:t>
            </w:r>
          </w:p>
        </w:tc>
      </w:tr>
      <w:tr>
        <w:trPr>
          <w:trHeight w:val="241"/>
        </w:trPr>
        <w:tc>
          <w:tcPr>
            <w:tcW w:w="1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780" w:type="dxa"/>
            <w:vAlign w:val="bottom"/>
            <w:tcBorders>
              <w:bottom w:val="single" w:sz="8" w:color="auto"/>
            </w:tcBorders>
            <w:shd w:val="clear" w:color="auto" w:fill="CCEEFF"/>
          </w:tcPr>
          <w:p>
            <w:pPr>
              <w:jc w:val="right"/>
              <w:ind w:right="581"/>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293.8</w:t>
            </w:r>
          </w:p>
        </w:tc>
        <w:tc>
          <w:tcPr>
            <w:tcW w:w="6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256.0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37.8</w:t>
            </w: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14.8 %</w:t>
            </w:r>
          </w:p>
        </w:tc>
        <w:tc>
          <w:tcPr>
            <w:tcW w:w="1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37.8 %</w:t>
            </w:r>
          </w:p>
        </w:tc>
        <w:tc>
          <w:tcPr>
            <w:tcW w:w="1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37.7 %</w:t>
            </w: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0.1 %</w:t>
            </w:r>
          </w:p>
        </w:tc>
      </w:tr>
      <w:tr>
        <w:trPr>
          <w:trHeight w:val="20"/>
        </w:trPr>
        <w:tc>
          <w:tcPr>
            <w:tcW w:w="19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340"/>
          </w:cols>
          <w:pgMar w:left="320" w:top="355" w:right="2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ind w:firstLine="393"/>
        <w:spacing w:after="0" w:line="254" w:lineRule="auto"/>
        <w:rPr>
          <w:sz w:val="20"/>
          <w:szCs w:val="20"/>
          <w:color w:val="auto"/>
        </w:rPr>
      </w:pPr>
      <w:r>
        <w:rPr>
          <w:rFonts w:ascii="Times New Roman" w:cs="Times New Roman" w:eastAsia="Times New Roman" w:hAnsi="Times New Roman"/>
          <w:sz w:val="17"/>
          <w:szCs w:val="17"/>
          <w:color w:val="auto"/>
        </w:rPr>
        <w:t>Cost of revenues for the three months ended September 30, 2024 increased by $37.8 million, or 14.8% compared to the three months ended September 30, 2023. The increase in cost of revenues was primarily due to increases in employee-related costs and technology costs, partially offset by foreign exchange gain, net of hedging. Our gross margin for the three months ended September 30, 2024 was 37.8%, compared to 37.7% for the three months ended September 30, 2023, an increase of 10 basis points (“bps”).</w:t>
      </w:r>
    </w:p>
    <w:p>
      <w:pPr>
        <w:spacing w:after="0" w:line="195" w:lineRule="exact"/>
        <w:rPr>
          <w:sz w:val="20"/>
          <w:szCs w:val="20"/>
          <w:color w:val="auto"/>
        </w:rPr>
      </w:pPr>
    </w:p>
    <w:p>
      <w:pPr>
        <w:jc w:val="both"/>
        <w:ind w:firstLine="393"/>
        <w:spacing w:after="0" w:line="246" w:lineRule="auto"/>
        <w:rPr>
          <w:sz w:val="20"/>
          <w:szCs w:val="20"/>
          <w:color w:val="auto"/>
        </w:rPr>
      </w:pPr>
      <w:r>
        <w:rPr>
          <w:rFonts w:ascii="Times New Roman" w:cs="Times New Roman" w:eastAsia="Times New Roman" w:hAnsi="Times New Roman"/>
          <w:sz w:val="17"/>
          <w:szCs w:val="17"/>
          <w:color w:val="auto"/>
        </w:rPr>
        <w:t>The increase in cost of revenues in Insurance of $13.8 million for the three months ended September 30, 2024 was primarily due to increases in employee-related costs of $11.4 million on account of higher headcount and wage inflation, higher technology costs of $1.4 million on account of increased subscription to cloud-based software licenses and use of the hybrid working model, higher facilities costs of $1.4 million and higher other operating costs of $0.6 million, partially offset by foreign exchange gain, net of hedging of $1.0 million. Gross margin in Insurance decreased by 30 bps during the three months ended September 30, 2024, compared to the three months ended September 30, 2023, primarily due to investment in ramp-ups in certain existing clients during the three months ended September 30, 2024, compared to the three months ended September 30, 2023.</w:t>
      </w:r>
    </w:p>
    <w:p>
      <w:pPr>
        <w:spacing w:after="0" w:line="201" w:lineRule="exact"/>
        <w:rPr>
          <w:sz w:val="20"/>
          <w:szCs w:val="20"/>
          <w:color w:val="auto"/>
        </w:rPr>
      </w:pPr>
    </w:p>
    <w:p>
      <w:pPr>
        <w:jc w:val="both"/>
        <w:ind w:firstLine="393"/>
        <w:spacing w:after="0" w:line="249" w:lineRule="auto"/>
        <w:rPr>
          <w:sz w:val="20"/>
          <w:szCs w:val="20"/>
          <w:color w:val="auto"/>
        </w:rPr>
      </w:pPr>
      <w:r>
        <w:rPr>
          <w:rFonts w:ascii="Times New Roman" w:cs="Times New Roman" w:eastAsia="Times New Roman" w:hAnsi="Times New Roman"/>
          <w:sz w:val="17"/>
          <w:szCs w:val="17"/>
          <w:color w:val="auto"/>
        </w:rPr>
        <w:t>The increase in cost of revenues in Healthcare of $3.8 million for the three months ended September 30, 2024 was primarily due to increases in employee-related costs of $3.1 million on account of higher headcount and wage inflation, higher technology costs of $0.8 million on account of increased subscription to cloud-based software licenses and use of the hybrid working model and higher other operating costs of $0.3 million, partially offset by foreign exchange gain, net of hedging of $0.4 million. Gross margin in Healthcare decreased by 320 bps during the three months ended September 30, 2024, compared to the three months ended September 30, 2023, primarily due to investment in ramp-ups in certain existing clients during the three months ended September 30, 2024, compared to the three months ended September 30, 2023.</w:t>
      </w:r>
    </w:p>
    <w:p>
      <w:pPr>
        <w:spacing w:after="0" w:line="199" w:lineRule="exact"/>
        <w:rPr>
          <w:sz w:val="20"/>
          <w:szCs w:val="20"/>
          <w:color w:val="auto"/>
        </w:rPr>
      </w:pPr>
    </w:p>
    <w:p>
      <w:pPr>
        <w:jc w:val="both"/>
        <w:ind w:firstLine="393"/>
        <w:spacing w:after="0" w:line="246" w:lineRule="auto"/>
        <w:rPr>
          <w:sz w:val="20"/>
          <w:szCs w:val="20"/>
          <w:color w:val="auto"/>
        </w:rPr>
      </w:pPr>
      <w:r>
        <w:rPr>
          <w:rFonts w:ascii="Times New Roman" w:cs="Times New Roman" w:eastAsia="Times New Roman" w:hAnsi="Times New Roman"/>
          <w:sz w:val="17"/>
          <w:szCs w:val="17"/>
          <w:color w:val="auto"/>
        </w:rPr>
        <w:t>The increase in cost of revenues in Emerging Business of $10.2 million for the three months ended September 30, 2024 was primarily due to increases in employee-related costs of $9.0 million on account of higher headcount and wage inflation, higher technology costs of $1.0 million on account of increased subscription to cloud-based software licenses and use of the hybrid working model and higher other operating costs of $0.7 million, partially offset by foreign exchange gain, net of hedging of $0.5 million. Gross margin in Emerging Business decreased by 220 bps during the three months ended September 30, 2024, compared to the three months ended September 30, 2023, primarily due to investment in ramp-ups for certain new and existing clients during the three months ended September 30, 2024, compared to the three months ended September 30, 2023.</w:t>
      </w:r>
    </w:p>
    <w:p>
      <w:pPr>
        <w:spacing w:after="0" w:line="201" w:lineRule="exact"/>
        <w:rPr>
          <w:sz w:val="20"/>
          <w:szCs w:val="20"/>
          <w:color w:val="auto"/>
        </w:rPr>
      </w:pPr>
    </w:p>
    <w:p>
      <w:pPr>
        <w:jc w:val="both"/>
        <w:ind w:firstLine="393"/>
        <w:spacing w:after="0" w:line="249" w:lineRule="auto"/>
        <w:rPr>
          <w:sz w:val="20"/>
          <w:szCs w:val="20"/>
          <w:color w:val="auto"/>
        </w:rPr>
      </w:pPr>
      <w:r>
        <w:rPr>
          <w:rFonts w:ascii="Times New Roman" w:cs="Times New Roman" w:eastAsia="Times New Roman" w:hAnsi="Times New Roman"/>
          <w:sz w:val="17"/>
          <w:szCs w:val="17"/>
          <w:color w:val="auto"/>
        </w:rPr>
        <w:t>The increase in cost of revenues in Analytics of $10.0 million for the three months ended September 30, 2024 was primarily due to increases in employee-related costs of $7.3 million on account of higher headcount and wage inflation, including incremental cost related to our August 2024 acquisition of ITI Data, higher technology costs of $2.7 million on account of increased subscription to cloud-based software licenses and use of the hybrid working model and higher other operating costs of $0.7 million, partially offset by foreign exchange gain, net of hedging of $0.7 million. Gross margin in Analytics increased by 150 bps during the three months ended September 30, 2024, compared to the three months ended September 30, 2023, primarily due to higher revenues and operational efficiencies during the three months ended September 30, 2024, compared to the three months ended September 30, 2023.</w:t>
      </w:r>
    </w:p>
    <w:p>
      <w:pPr>
        <w:spacing w:after="0" w:line="20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Selling, General and Administrative (“SG&amp;A”) Expenses.</w:t>
      </w:r>
    </w:p>
    <w:p>
      <w:pPr>
        <w:spacing w:after="0" w:line="130" w:lineRule="exact"/>
        <w:rPr>
          <w:sz w:val="20"/>
          <w:szCs w:val="20"/>
          <w:color w:val="auto"/>
        </w:rPr>
      </w:pPr>
    </w:p>
    <w:tbl>
      <w:tblPr>
        <w:tblLayout w:type="fixed"/>
        <w:tblInd w:w="360" w:type="dxa"/>
        <w:tblCellMar>
          <w:top w:w="0" w:type="dxa"/>
          <w:left w:w="0" w:type="dxa"/>
          <w:bottom w:w="0" w:type="dxa"/>
          <w:right w:w="0" w:type="dxa"/>
        </w:tblCellMar>
      </w:tblPr>
      <w:tr>
        <w:trPr>
          <w:trHeight w:val="185"/>
        </w:trPr>
        <w:tc>
          <w:tcPr>
            <w:tcW w:w="4860" w:type="dxa"/>
            <w:vAlign w:val="bottom"/>
          </w:tcPr>
          <w:p>
            <w:pPr>
              <w:spacing w:after="0"/>
              <w:rPr>
                <w:sz w:val="16"/>
                <w:szCs w:val="16"/>
                <w:color w:val="auto"/>
              </w:rPr>
            </w:pPr>
          </w:p>
        </w:tc>
        <w:tc>
          <w:tcPr>
            <w:tcW w:w="2880" w:type="dxa"/>
            <w:vAlign w:val="bottom"/>
            <w:gridSpan w:val="6"/>
          </w:tcPr>
          <w:p>
            <w:pPr>
              <w:ind w:left="3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37"/>
        </w:trPr>
        <w:tc>
          <w:tcPr>
            <w:tcW w:w="4860" w:type="dxa"/>
            <w:vAlign w:val="bottom"/>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34"/>
        </w:trPr>
        <w:tc>
          <w:tcPr>
            <w:tcW w:w="4860" w:type="dxa"/>
            <w:vAlign w:val="bottom"/>
          </w:tcPr>
          <w:p>
            <w:pPr>
              <w:spacing w:after="0"/>
              <w:rPr>
                <w:sz w:val="2"/>
                <w:szCs w:val="2"/>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vMerge w:val="restart"/>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Dollar Change</w:t>
            </w: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48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440" w:type="dxa"/>
            <w:vAlign w:val="bottom"/>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89"/>
        </w:trPr>
        <w:tc>
          <w:tcPr>
            <w:tcW w:w="4860" w:type="dxa"/>
            <w:vAlign w:val="bottom"/>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General and administrative expenses</w:t>
            </w:r>
          </w:p>
        </w:tc>
        <w:tc>
          <w:tcPr>
            <w:tcW w:w="860" w:type="dxa"/>
            <w:vAlign w:val="bottom"/>
            <w:shd w:val="clear" w:color="auto" w:fill="CCEEFF"/>
          </w:tcPr>
          <w:p>
            <w:pPr>
              <w:jc w:val="right"/>
              <w:ind w:right="681"/>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8"/>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10.1 %</w:t>
            </w:r>
          </w:p>
        </w:tc>
        <w:tc>
          <w:tcPr>
            <w:tcW w:w="0" w:type="dxa"/>
            <w:vAlign w:val="bottom"/>
          </w:tcPr>
          <w:p>
            <w:pPr>
              <w:spacing w:after="0"/>
              <w:rPr>
                <w:sz w:val="1"/>
                <w:szCs w:val="1"/>
                <w:color w:val="auto"/>
              </w:rPr>
            </w:pPr>
          </w:p>
        </w:tc>
      </w:tr>
      <w:tr>
        <w:trPr>
          <w:trHeight w:val="223"/>
        </w:trPr>
        <w:tc>
          <w:tcPr>
            <w:tcW w:w="4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Selling and marketing expenses</w:t>
            </w:r>
          </w:p>
        </w:tc>
        <w:tc>
          <w:tcPr>
            <w:tcW w:w="8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6.6</w:t>
            </w:r>
          </w:p>
        </w:tc>
        <w:tc>
          <w:tcPr>
            <w:tcW w:w="12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21.4 %</w:t>
            </w:r>
          </w:p>
        </w:tc>
        <w:tc>
          <w:tcPr>
            <w:tcW w:w="0" w:type="dxa"/>
            <w:vAlign w:val="bottom"/>
          </w:tcPr>
          <w:p>
            <w:pPr>
              <w:spacing w:after="0"/>
              <w:rPr>
                <w:sz w:val="1"/>
                <w:szCs w:val="1"/>
                <w:color w:val="auto"/>
              </w:rPr>
            </w:pPr>
          </w:p>
        </w:tc>
      </w:tr>
      <w:tr>
        <w:trPr>
          <w:trHeight w:val="241"/>
        </w:trPr>
        <w:tc>
          <w:tcPr>
            <w:tcW w:w="4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Selling, general and administrative expenses</w:t>
            </w:r>
          </w:p>
        </w:tc>
        <w:tc>
          <w:tcPr>
            <w:tcW w:w="860" w:type="dxa"/>
            <w:vAlign w:val="bottom"/>
            <w:tcBorders>
              <w:bottom w:val="single" w:sz="8" w:color="auto"/>
            </w:tcBorders>
            <w:shd w:val="clear" w:color="auto" w:fill="CCEEFF"/>
          </w:tcPr>
          <w:p>
            <w:pPr>
              <w:jc w:val="right"/>
              <w:ind w:right="681"/>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95.1</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8"/>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w:t>
            </w:r>
          </w:p>
        </w:tc>
        <w:tc>
          <w:tcPr>
            <w:tcW w:w="12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14.3 %</w:t>
            </w: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jc w:val="both"/>
        <w:ind w:firstLine="393"/>
        <w:spacing w:after="0" w:line="254" w:lineRule="auto"/>
        <w:rPr>
          <w:sz w:val="20"/>
          <w:szCs w:val="20"/>
          <w:color w:val="auto"/>
        </w:rPr>
      </w:pPr>
      <w:r>
        <w:rPr>
          <w:rFonts w:ascii="Times New Roman" w:cs="Times New Roman" w:eastAsia="Times New Roman" w:hAnsi="Times New Roman"/>
          <w:sz w:val="17"/>
          <w:szCs w:val="17"/>
          <w:color w:val="auto"/>
        </w:rPr>
        <w:t>The increase in SG&amp;A expenses of $11.9 million was primarily due to increases in employee-related costs of $9.8 million on account of higher headcount and wage inflation, including incremental cost related to our August 2024 acquisition of ITI Data, higher investments in digital and generative AI capabilities of $2.6 million, and higher other operating costs of $0.2 million. This was partially offset by lower sales and marketing spend of $0.7 million during the three months ended September 30, 2024, compared to the three months ended September 30,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Depreciation and Amortization.</w:t>
      </w:r>
    </w:p>
    <w:p>
      <w:pPr>
        <w:spacing w:after="0" w:line="196" w:lineRule="exact"/>
        <w:rPr>
          <w:sz w:val="20"/>
          <w:szCs w:val="20"/>
          <w:color w:val="auto"/>
        </w:rPr>
      </w:pPr>
    </w:p>
    <w:tbl>
      <w:tblPr>
        <w:tblLayout w:type="fixed"/>
        <w:tblInd w:w="280" w:type="dxa"/>
        <w:tblCellMar>
          <w:top w:w="0" w:type="dxa"/>
          <w:left w:w="0" w:type="dxa"/>
          <w:bottom w:w="0" w:type="dxa"/>
          <w:right w:w="0" w:type="dxa"/>
        </w:tblCellMar>
      </w:tblPr>
      <w:tr>
        <w:trPr>
          <w:trHeight w:val="185"/>
        </w:trPr>
        <w:tc>
          <w:tcPr>
            <w:tcW w:w="5040" w:type="dxa"/>
            <w:vAlign w:val="bottom"/>
          </w:tcPr>
          <w:p>
            <w:pPr>
              <w:spacing w:after="0"/>
              <w:rPr>
                <w:sz w:val="16"/>
                <w:szCs w:val="16"/>
                <w:color w:val="auto"/>
              </w:rPr>
            </w:pPr>
          </w:p>
        </w:tc>
        <w:tc>
          <w:tcPr>
            <w:tcW w:w="2880" w:type="dxa"/>
            <w:vAlign w:val="bottom"/>
            <w:gridSpan w:val="6"/>
          </w:tcPr>
          <w:p>
            <w:pPr>
              <w:ind w:left="3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24"/>
        </w:trPr>
        <w:tc>
          <w:tcPr>
            <w:tcW w:w="504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32"/>
        </w:trPr>
        <w:tc>
          <w:tcPr>
            <w:tcW w:w="5040" w:type="dxa"/>
            <w:vAlign w:val="bottom"/>
          </w:tcPr>
          <w:p>
            <w:pPr>
              <w:spacing w:after="0"/>
              <w:rPr>
                <w:sz w:val="2"/>
                <w:szCs w:val="2"/>
                <w:color w:val="auto"/>
              </w:rPr>
            </w:pPr>
          </w:p>
        </w:tc>
        <w:tc>
          <w:tcPr>
            <w:tcW w:w="880" w:type="dxa"/>
            <w:vAlign w:val="bottom"/>
            <w:vMerge w:val="restart"/>
          </w:tcPr>
          <w:p>
            <w:pPr>
              <w:jc w:val="right"/>
              <w:ind w:right="1"/>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vMerge w:val="restart"/>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 Change</w:t>
            </w:r>
          </w:p>
        </w:tc>
        <w:tc>
          <w:tcPr>
            <w:tcW w:w="14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1"/>
        </w:trPr>
        <w:tc>
          <w:tcPr>
            <w:tcW w:w="504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460" w:type="dxa"/>
            <w:vAlign w:val="bottom"/>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90"/>
        </w:trPr>
        <w:tc>
          <w:tcPr>
            <w:tcW w:w="5040" w:type="dxa"/>
            <w:vAlign w:val="bottom"/>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Depreciation expense</w:t>
            </w:r>
          </w:p>
        </w:tc>
        <w:tc>
          <w:tcPr>
            <w:tcW w:w="880" w:type="dxa"/>
            <w:vAlign w:val="bottom"/>
            <w:shd w:val="clear" w:color="auto" w:fill="CCEEFF"/>
          </w:tcPr>
          <w:p>
            <w:pPr>
              <w:jc w:val="right"/>
              <w:ind w:right="701"/>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22.8 %</w:t>
            </w:r>
          </w:p>
        </w:tc>
        <w:tc>
          <w:tcPr>
            <w:tcW w:w="0" w:type="dxa"/>
            <w:vAlign w:val="bottom"/>
          </w:tcPr>
          <w:p>
            <w:pPr>
              <w:spacing w:after="0"/>
              <w:rPr>
                <w:sz w:val="1"/>
                <w:szCs w:val="1"/>
                <w:color w:val="auto"/>
              </w:rPr>
            </w:pPr>
          </w:p>
        </w:tc>
      </w:tr>
      <w:tr>
        <w:trPr>
          <w:trHeight w:val="223"/>
        </w:trPr>
        <w:tc>
          <w:tcPr>
            <w:tcW w:w="5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Intangible amortization expense</w:t>
            </w:r>
          </w:p>
        </w:tc>
        <w:tc>
          <w:tcPr>
            <w:tcW w:w="8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10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9.2 %</w:t>
            </w:r>
          </w:p>
        </w:tc>
        <w:tc>
          <w:tcPr>
            <w:tcW w:w="0" w:type="dxa"/>
            <w:vAlign w:val="bottom"/>
          </w:tcPr>
          <w:p>
            <w:pPr>
              <w:spacing w:after="0"/>
              <w:rPr>
                <w:sz w:val="1"/>
                <w:szCs w:val="1"/>
                <w:color w:val="auto"/>
              </w:rPr>
            </w:pPr>
          </w:p>
        </w:tc>
      </w:tr>
      <w:tr>
        <w:trPr>
          <w:trHeight w:val="241"/>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Depreciation and amortization expense</w:t>
            </w:r>
          </w:p>
        </w:tc>
        <w:tc>
          <w:tcPr>
            <w:tcW w:w="880" w:type="dxa"/>
            <w:vAlign w:val="bottom"/>
            <w:tcBorders>
              <w:bottom w:val="single" w:sz="8" w:color="auto"/>
            </w:tcBorders>
            <w:shd w:val="clear" w:color="auto" w:fill="CCEEFF"/>
          </w:tcPr>
          <w:p>
            <w:pPr>
              <w:jc w:val="right"/>
              <w:ind w:right="701"/>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10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19.2 %</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jc w:val="both"/>
        <w:ind w:firstLine="393"/>
        <w:spacing w:after="0" w:line="251" w:lineRule="auto"/>
        <w:rPr>
          <w:sz w:val="20"/>
          <w:szCs w:val="20"/>
          <w:color w:val="auto"/>
        </w:rPr>
      </w:pPr>
      <w:r>
        <w:rPr>
          <w:rFonts w:ascii="Times New Roman" w:cs="Times New Roman" w:eastAsia="Times New Roman" w:hAnsi="Times New Roman"/>
          <w:sz w:val="17"/>
          <w:szCs w:val="17"/>
          <w:color w:val="auto"/>
        </w:rPr>
        <w:t>The increase in depreciation expense of $2.0 million was primarily due to investments in digital capabilities, computers and networking equipment during the three months ended September 30, 2024, compared to the three months ended September 30, 2023. The increase in intangibles amortization expense of $0.2 million was primarily due to amortization of intangibles associated with our August 2024 acquisition of ITI Data, partially offset by decrease in intangibles amortization expense due to end of useful lives for certain intangible assets during the three months ended September 30, 2024, compared to the three months ended September 30, 2023.</w:t>
      </w:r>
    </w:p>
    <w:p>
      <w:pPr>
        <w:spacing w:after="0" w:line="62" w:lineRule="exact"/>
        <w:rPr>
          <w:sz w:val="20"/>
          <w:szCs w:val="20"/>
          <w:color w:val="auto"/>
        </w:rPr>
      </w:pPr>
    </w:p>
    <w:p>
      <w:pPr>
        <w:jc w:val="both"/>
        <w:ind w:firstLine="393"/>
        <w:spacing w:after="0" w:line="263" w:lineRule="auto"/>
        <w:rPr>
          <w:sz w:val="20"/>
          <w:szCs w:val="20"/>
          <w:color w:val="auto"/>
        </w:rPr>
      </w:pPr>
      <w:r>
        <w:rPr>
          <w:rFonts w:ascii="Times New Roman" w:cs="Times New Roman" w:eastAsia="Times New Roman" w:hAnsi="Times New Roman"/>
          <w:sz w:val="17"/>
          <w:szCs w:val="17"/>
          <w:b w:val="1"/>
          <w:bCs w:val="1"/>
          <w:i w:val="1"/>
          <w:iCs w:val="1"/>
          <w:color w:val="auto"/>
        </w:rPr>
        <w:t xml:space="preserve">Income from Operations. </w:t>
      </w:r>
      <w:r>
        <w:rPr>
          <w:rFonts w:ascii="Times New Roman" w:cs="Times New Roman" w:eastAsia="Times New Roman" w:hAnsi="Times New Roman"/>
          <w:sz w:val="17"/>
          <w:szCs w:val="17"/>
          <w:color w:val="auto"/>
        </w:rPr>
        <w:t>Income from operations increased by $9.2 million, or 15.2%, from $60.2 million for the three months ended September 30,</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2023 to $69.4 million for the three months ended September 30, 2024, primarily due to higher revenues and higher gross margins, partially offset by higher SG&amp;A expenses during the three months ended September 30, 2024.</w:t>
      </w:r>
    </w:p>
    <w:p>
      <w:pPr>
        <w:spacing w:after="0" w:line="197" w:lineRule="exact"/>
        <w:rPr>
          <w:sz w:val="20"/>
          <w:szCs w:val="20"/>
          <w:color w:val="auto"/>
        </w:rPr>
      </w:pPr>
    </w:p>
    <w:p>
      <w:pPr>
        <w:jc w:val="both"/>
        <w:ind w:firstLine="393"/>
        <w:spacing w:after="0" w:line="263" w:lineRule="auto"/>
        <w:rPr>
          <w:sz w:val="20"/>
          <w:szCs w:val="20"/>
          <w:color w:val="auto"/>
        </w:rPr>
      </w:pPr>
      <w:r>
        <w:rPr>
          <w:rFonts w:ascii="Times New Roman" w:cs="Times New Roman" w:eastAsia="Times New Roman" w:hAnsi="Times New Roman"/>
          <w:sz w:val="17"/>
          <w:szCs w:val="17"/>
          <w:b w:val="1"/>
          <w:bCs w:val="1"/>
          <w:i w:val="1"/>
          <w:iCs w:val="1"/>
          <w:color w:val="auto"/>
        </w:rPr>
        <w:t xml:space="preserve">Foreign Exchange Gain, net. </w:t>
      </w:r>
      <w:r>
        <w:rPr>
          <w:rFonts w:ascii="Times New Roman" w:cs="Times New Roman" w:eastAsia="Times New Roman" w:hAnsi="Times New Roman"/>
          <w:sz w:val="17"/>
          <w:szCs w:val="17"/>
          <w:color w:val="auto"/>
        </w:rPr>
        <w:t>Foreign exchange gains and losses are primarily attributable to the movement of the U.S. dollar against the Indian rupee,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the Philippine peso, the U.K. pound sterling and the South African rand during the three months ended September 30, 2024, compared to the three months ended September 30, 2023. The average exchange rate of the U.S. dollar against the Indian rupee increased from 82.69 during the three months ended September 30, 2023 to 83.79 during the three months ended September 30, 2024. The average exchange rate of the U.S. dollar against the Philippine peso increased from 56.02 during the three months ended September 30, 2023 to 56.84 during the three months ended September 30, 2024. The average exchange rate of the U.K. pound sterling against the U.S. dollar increased from 1.26 during the three months ended September 30, 2023 to 1.31 during the three months ended September 30, 2024. The average exchange rate of the U.S. dollar against the South African rand decreased from 18.49 during the three months ended September 30, 2023 to 17.74 during the three months ended September 30, 2024.</w:t>
      </w:r>
    </w:p>
    <w:p>
      <w:pPr>
        <w:spacing w:after="0" w:line="205" w:lineRule="exact"/>
        <w:rPr>
          <w:sz w:val="20"/>
          <w:szCs w:val="20"/>
          <w:color w:val="auto"/>
        </w:rPr>
      </w:pPr>
    </w:p>
    <w:p>
      <w:pPr>
        <w:jc w:val="both"/>
        <w:ind w:firstLine="393"/>
        <w:spacing w:after="0" w:line="297" w:lineRule="auto"/>
        <w:rPr>
          <w:sz w:val="20"/>
          <w:szCs w:val="20"/>
          <w:color w:val="auto"/>
        </w:rPr>
      </w:pPr>
      <w:r>
        <w:rPr>
          <w:rFonts w:ascii="Times New Roman" w:cs="Times New Roman" w:eastAsia="Times New Roman" w:hAnsi="Times New Roman"/>
          <w:sz w:val="17"/>
          <w:szCs w:val="17"/>
          <w:color w:val="auto"/>
        </w:rPr>
        <w:t>We recorded a foreign exchange gain, net of $0.4 million for the three months ended September 30, 2023 compared to a foreign exchange gain, net of $0.3 million for the three months ended September 30, 2024.</w:t>
      </w:r>
    </w:p>
    <w:p>
      <w:pPr>
        <w:spacing w:after="0" w:line="155" w:lineRule="exact"/>
        <w:rPr>
          <w:sz w:val="20"/>
          <w:szCs w:val="20"/>
          <w:color w:val="auto"/>
        </w:rPr>
      </w:pPr>
    </w:p>
    <w:p>
      <w:pPr>
        <w:jc w:val="both"/>
        <w:ind w:firstLine="393"/>
        <w:spacing w:after="0" w:line="255" w:lineRule="auto"/>
        <w:rPr>
          <w:sz w:val="20"/>
          <w:szCs w:val="20"/>
          <w:color w:val="auto"/>
        </w:rPr>
      </w:pPr>
      <w:r>
        <w:rPr>
          <w:rFonts w:ascii="Times New Roman" w:cs="Times New Roman" w:eastAsia="Times New Roman" w:hAnsi="Times New Roman"/>
          <w:sz w:val="17"/>
          <w:szCs w:val="17"/>
          <w:b w:val="1"/>
          <w:bCs w:val="1"/>
          <w:i w:val="1"/>
          <w:iCs w:val="1"/>
          <w:color w:val="auto"/>
        </w:rPr>
        <w:t>Interest expens</w:t>
      </w:r>
      <w:r>
        <w:rPr>
          <w:rFonts w:ascii="Times New Roman" w:cs="Times New Roman" w:eastAsia="Times New Roman" w:hAnsi="Times New Roman"/>
          <w:sz w:val="17"/>
          <w:szCs w:val="17"/>
          <w:color w:val="auto"/>
        </w:rPr>
        <w:t>e. Interest expense increased from $3.4 million for the three months ended September 30, 2023 to $5.5 million for the three months ended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September 30, 2024, primarily due to higher average borrowings during the three months ended September 30, 2024, compared to the three months ended September 30, 2023.</w:t>
      </w:r>
    </w:p>
    <w:p>
      <w:pPr>
        <w:spacing w:after="0" w:line="16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i w:val="1"/>
          <w:iCs w:val="1"/>
          <w:color w:val="auto"/>
        </w:rPr>
        <w:t>Other Income, net.</w:t>
      </w:r>
    </w:p>
    <w:p>
      <w:pPr>
        <w:spacing w:after="0" w:line="366"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5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8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4"/>
        </w:trPr>
        <w:tc>
          <w:tcPr>
            <w:tcW w:w="53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183"/>
        </w:trPr>
        <w:tc>
          <w:tcPr>
            <w:tcW w:w="53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w w:val="92"/>
              </w:rPr>
              <w:t>2023</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jc w:val="right"/>
              <w:ind w:right="278"/>
              <w:spacing w:after="0"/>
              <w:rPr>
                <w:sz w:val="20"/>
                <w:szCs w:val="20"/>
                <w:color w:val="auto"/>
              </w:rPr>
            </w:pPr>
            <w:r>
              <w:rPr>
                <w:rFonts w:ascii="Times New Roman" w:cs="Times New Roman" w:eastAsia="Times New Roman" w:hAnsi="Times New Roman"/>
                <w:sz w:val="14"/>
                <w:szCs w:val="14"/>
                <w:b w:val="1"/>
                <w:bCs w:val="1"/>
                <w:color w:val="auto"/>
              </w:rPr>
              <w:t>Percentage</w:t>
            </w:r>
          </w:p>
        </w:tc>
      </w:tr>
      <w:tr>
        <w:trPr>
          <w:trHeight w:val="191"/>
        </w:trPr>
        <w:tc>
          <w:tcPr>
            <w:tcW w:w="5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360" w:type="dxa"/>
            <w:vAlign w:val="bottom"/>
          </w:tcPr>
          <w:p>
            <w:pPr>
              <w:jc w:val="right"/>
              <w:ind w:right="398"/>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21"/>
        </w:trPr>
        <w:tc>
          <w:tcPr>
            <w:tcW w:w="5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Gain on sale and mark-to-market on investments</w:t>
            </w:r>
          </w:p>
        </w:tc>
        <w:tc>
          <w:tcPr>
            <w:tcW w:w="220" w:type="dxa"/>
            <w:vAlign w:val="bottom"/>
            <w:tcBorders>
              <w:top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100" w:type="dxa"/>
            <w:vAlign w:val="bottom"/>
            <w:tcBorders>
              <w:top w:val="single" w:sz="8" w:color="auto"/>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ind w:right="353"/>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top w:val="single" w:sz="8" w:color="auto"/>
            </w:tcBorders>
            <w:shd w:val="clear" w:color="auto" w:fill="CCEEFF"/>
          </w:tcPr>
          <w:p>
            <w:pPr>
              <w:jc w:val="center"/>
              <w:ind w:left="376"/>
              <w:spacing w:after="0"/>
              <w:rPr>
                <w:sz w:val="20"/>
                <w:szCs w:val="20"/>
                <w:color w:val="auto"/>
              </w:rPr>
            </w:pPr>
            <w:r>
              <w:rPr>
                <w:rFonts w:ascii="Times New Roman" w:cs="Times New Roman" w:eastAsia="Times New Roman" w:hAnsi="Times New Roman"/>
                <w:sz w:val="17"/>
                <w:szCs w:val="17"/>
                <w:color w:val="auto"/>
              </w:rPr>
              <w:t>1.3</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0.5</w:t>
            </w:r>
          </w:p>
        </w:tc>
        <w:tc>
          <w:tcPr>
            <w:tcW w:w="10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32.1 %</w:t>
            </w:r>
          </w:p>
        </w:tc>
      </w:tr>
      <w:tr>
        <w:trPr>
          <w:trHeight w:val="223"/>
        </w:trPr>
        <w:tc>
          <w:tcPr>
            <w:tcW w:w="5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Interest and dividend income</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0" w:type="dxa"/>
            <w:vAlign w:val="bottom"/>
          </w:tcPr>
          <w:p>
            <w:pPr>
              <w:jc w:val="center"/>
              <w:ind w:left="376"/>
              <w:spacing w:after="0"/>
              <w:rPr>
                <w:sz w:val="20"/>
                <w:szCs w:val="20"/>
                <w:color w:val="auto"/>
              </w:rPr>
            </w:pPr>
            <w:r>
              <w:rPr>
                <w:rFonts w:ascii="Times New Roman" w:cs="Times New Roman" w:eastAsia="Times New Roman" w:hAnsi="Times New Roman"/>
                <w:sz w:val="17"/>
                <w:szCs w:val="17"/>
                <w:color w:val="auto"/>
              </w:rPr>
              <w:t>2.1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0.4</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20.9 %</w:t>
            </w:r>
          </w:p>
        </w:tc>
      </w:tr>
      <w:tr>
        <w:trPr>
          <w:trHeight w:val="223"/>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Fair value changes of contingent consideration</w:t>
            </w: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shd w:val="clear" w:color="auto" w:fill="CCEEFF"/>
          </w:tcPr>
          <w:p>
            <w:pPr>
              <w:spacing w:after="0"/>
              <w:rPr>
                <w:sz w:val="19"/>
                <w:szCs w:val="19"/>
                <w:color w:val="auto"/>
              </w:rPr>
            </w:pPr>
          </w:p>
        </w:tc>
        <w:tc>
          <w:tcPr>
            <w:tcW w:w="800" w:type="dxa"/>
            <w:vAlign w:val="bottom"/>
            <w:shd w:val="clear" w:color="auto" w:fill="CCEEFF"/>
          </w:tcPr>
          <w:p>
            <w:pPr>
              <w:jc w:val="center"/>
              <w:ind w:left="336"/>
              <w:spacing w:after="0"/>
              <w:rPr>
                <w:sz w:val="20"/>
                <w:szCs w:val="20"/>
                <w:color w:val="auto"/>
              </w:rPr>
            </w:pPr>
            <w:r>
              <w:rPr>
                <w:rFonts w:ascii="Times New Roman" w:cs="Times New Roman" w:eastAsia="Times New Roman" w:hAnsi="Times New Roman"/>
                <w:sz w:val="17"/>
                <w:szCs w:val="17"/>
                <w:color w:val="auto"/>
              </w:rPr>
              <w:t>(2.5)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w:t>
            </w:r>
          </w:p>
        </w:tc>
      </w:tr>
      <w:tr>
        <w:trPr>
          <w:trHeight w:val="223"/>
        </w:trPr>
        <w:tc>
          <w:tcPr>
            <w:tcW w:w="5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net</w:t>
            </w:r>
          </w:p>
        </w:tc>
        <w:tc>
          <w:tcPr>
            <w:tcW w:w="2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tcPr>
          <w:p>
            <w:pPr>
              <w:spacing w:after="0"/>
              <w:rPr>
                <w:sz w:val="19"/>
                <w:szCs w:val="19"/>
                <w:color w:val="auto"/>
              </w:rPr>
            </w:pPr>
          </w:p>
        </w:tc>
        <w:tc>
          <w:tcPr>
            <w:tcW w:w="800" w:type="dxa"/>
            <w:vAlign w:val="bottom"/>
          </w:tcPr>
          <w:p>
            <w:pPr>
              <w:jc w:val="center"/>
              <w:ind w:left="336"/>
              <w:spacing w:after="0"/>
              <w:rPr>
                <w:sz w:val="20"/>
                <w:szCs w:val="20"/>
                <w:color w:val="auto"/>
              </w:rPr>
            </w:pPr>
            <w:r>
              <w:rPr>
                <w:rFonts w:ascii="Times New Roman" w:cs="Times New Roman" w:eastAsia="Times New Roman" w:hAnsi="Times New Roman"/>
                <w:sz w:val="17"/>
                <w:szCs w:val="17"/>
                <w:color w:val="auto"/>
              </w:rPr>
              <w:t>(0.1)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(137.0)%</w:t>
            </w:r>
          </w:p>
        </w:tc>
      </w:tr>
      <w:tr>
        <w:trPr>
          <w:trHeight w:val="241"/>
        </w:trPr>
        <w:tc>
          <w:tcPr>
            <w:tcW w:w="5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income, net</w:t>
            </w:r>
          </w:p>
        </w:tc>
        <w:tc>
          <w:tcPr>
            <w:tcW w:w="22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540" w:type="dxa"/>
            <w:vAlign w:val="bottom"/>
            <w:tcBorders>
              <w:top w:val="single" w:sz="8" w:color="auto"/>
              <w:bottom w:val="single" w:sz="8" w:color="auto"/>
            </w:tcBorders>
            <w:shd w:val="clear" w:color="auto" w:fill="CCEEFF"/>
          </w:tcPr>
          <w:p>
            <w:pPr>
              <w:jc w:val="right"/>
              <w:ind w:right="353"/>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top w:val="single" w:sz="8" w:color="auto"/>
              <w:bottom w:val="single" w:sz="8" w:color="auto"/>
            </w:tcBorders>
            <w:shd w:val="clear" w:color="auto" w:fill="CCEEFF"/>
          </w:tcPr>
          <w:p>
            <w:pPr>
              <w:jc w:val="center"/>
              <w:ind w:left="376"/>
              <w:spacing w:after="0"/>
              <w:rPr>
                <w:sz w:val="20"/>
                <w:szCs w:val="20"/>
                <w:color w:val="auto"/>
              </w:rPr>
            </w:pPr>
            <w:r>
              <w:rPr>
                <w:rFonts w:ascii="Times New Roman" w:cs="Times New Roman" w:eastAsia="Times New Roman" w:hAnsi="Times New Roman"/>
                <w:sz w:val="17"/>
                <w:szCs w:val="17"/>
                <w:color w:val="auto"/>
              </w:rPr>
              <w:t>0.8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462.2 %</w:t>
            </w: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ind w:firstLine="393"/>
        <w:spacing w:after="0" w:line="254" w:lineRule="auto"/>
        <w:rPr>
          <w:sz w:val="20"/>
          <w:szCs w:val="20"/>
          <w:color w:val="auto"/>
        </w:rPr>
      </w:pPr>
      <w:r>
        <w:rPr>
          <w:rFonts w:ascii="Times New Roman" w:cs="Times New Roman" w:eastAsia="Times New Roman" w:hAnsi="Times New Roman"/>
          <w:sz w:val="17"/>
          <w:szCs w:val="17"/>
          <w:color w:val="auto"/>
        </w:rPr>
        <w:t>Other income, net increased by $3.5 million, from $0.8 million for the three months ended September 30, 2023 to $4.3 million for the three months ended September 30, 2024. The increase is primarily due to higher yield on our investments of $0.9 million during the three months ended September 30, 2024, compared to the three months ended September 30, 2023, and recognition of contingent consideration liability of $2.5 million related to our December 2021 acquisition of Clairvoyant AI, Inc. (“Clairvoyant”) during the three months ended September 30, 2023.</w:t>
      </w:r>
    </w:p>
    <w:p>
      <w:pPr>
        <w:spacing w:after="0" w:line="191" w:lineRule="exact"/>
        <w:rPr>
          <w:sz w:val="20"/>
          <w:szCs w:val="20"/>
          <w:color w:val="auto"/>
        </w:rPr>
      </w:pPr>
    </w:p>
    <w:p>
      <w:pPr>
        <w:jc w:val="both"/>
        <w:ind w:firstLine="393"/>
        <w:spacing w:after="0" w:line="248" w:lineRule="auto"/>
        <w:rPr>
          <w:sz w:val="20"/>
          <w:szCs w:val="20"/>
          <w:color w:val="auto"/>
        </w:rPr>
      </w:pPr>
      <w:r>
        <w:rPr>
          <w:rFonts w:ascii="Times New Roman" w:cs="Times New Roman" w:eastAsia="Times New Roman" w:hAnsi="Times New Roman"/>
          <w:sz w:val="17"/>
          <w:szCs w:val="17"/>
          <w:b w:val="1"/>
          <w:bCs w:val="1"/>
          <w:i w:val="1"/>
          <w:iCs w:val="1"/>
          <w:color w:val="auto"/>
        </w:rPr>
        <w:t xml:space="preserve">Income Tax Expense. </w:t>
      </w:r>
      <w:r>
        <w:rPr>
          <w:rFonts w:ascii="Times New Roman" w:cs="Times New Roman" w:eastAsia="Times New Roman" w:hAnsi="Times New Roman"/>
          <w:sz w:val="17"/>
          <w:szCs w:val="17"/>
          <w:color w:val="auto"/>
        </w:rPr>
        <w:t>The effective tax rate decreased from 24.4% during the three months ended September 30, 2023 to 22.6% during the three months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ended September 30, 2024. We recorded income tax expense of $15.5 million and $14.2 million for the three months ended September 30, 2024 and 2023, respectively. The increase in income tax expense was primarily as a result of higher profit during the three months ended September 30, 2024, compared to the three months ended September 30, 2023, partially offset by higher excess tax benefits related to stock-based compensation during the three months ended September 30, 2024, compared to the three months ended September 30, 2023.</w:t>
      </w:r>
    </w:p>
    <w:p>
      <w:pPr>
        <w:spacing w:after="0" w:line="196" w:lineRule="exact"/>
        <w:rPr>
          <w:sz w:val="20"/>
          <w:szCs w:val="20"/>
          <w:color w:val="auto"/>
        </w:rPr>
      </w:pPr>
    </w:p>
    <w:p>
      <w:pPr>
        <w:jc w:val="both"/>
        <w:ind w:firstLine="393"/>
        <w:spacing w:after="0" w:line="263" w:lineRule="auto"/>
        <w:rPr>
          <w:sz w:val="20"/>
          <w:szCs w:val="20"/>
          <w:color w:val="auto"/>
        </w:rPr>
      </w:pPr>
      <w:r>
        <w:rPr>
          <w:rFonts w:ascii="Times New Roman" w:cs="Times New Roman" w:eastAsia="Times New Roman" w:hAnsi="Times New Roman"/>
          <w:sz w:val="17"/>
          <w:szCs w:val="17"/>
          <w:b w:val="1"/>
          <w:bCs w:val="1"/>
          <w:i w:val="1"/>
          <w:iCs w:val="1"/>
          <w:color w:val="auto"/>
        </w:rPr>
        <w:t xml:space="preserve">Net Income. </w:t>
      </w:r>
      <w:r>
        <w:rPr>
          <w:rFonts w:ascii="Times New Roman" w:cs="Times New Roman" w:eastAsia="Times New Roman" w:hAnsi="Times New Roman"/>
          <w:sz w:val="17"/>
          <w:szCs w:val="17"/>
          <w:color w:val="auto"/>
        </w:rPr>
        <w:t>Net income increased from $43.9 million for the three months ended September 30, 2023 to $53.0 million for the three months ended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September 30, 2024, primarily due to an increase in income from operations of $9.2 million and higher other income, net of $3.5 million, partially offset by higher interest expense of $2.1 million, higher income tax expense of $1.3 million and lower foreign exchange gain, net of $0.1 million.</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Results of Operations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summarizes our results of operations for the nine months ended September 30, 2024 and 2023:</w:t>
      </w:r>
    </w:p>
    <w:p>
      <w:pPr>
        <w:spacing w:after="0" w:line="284" w:lineRule="exact"/>
        <w:rPr>
          <w:sz w:val="20"/>
          <w:szCs w:val="20"/>
          <w:color w:val="auto"/>
        </w:rPr>
      </w:pPr>
    </w:p>
    <w:tbl>
      <w:tblPr>
        <w:tblLayout w:type="fixed"/>
        <w:tblInd w:w="400" w:type="dxa"/>
        <w:tblCellMar>
          <w:top w:w="0" w:type="dxa"/>
          <w:left w:w="0" w:type="dxa"/>
          <w:bottom w:w="0" w:type="dxa"/>
          <w:right w:w="0" w:type="dxa"/>
        </w:tblCellMar>
      </w:tblPr>
      <w:tr>
        <w:trPr>
          <w:trHeight w:val="185"/>
        </w:trPr>
        <w:tc>
          <w:tcPr>
            <w:tcW w:w="3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(dollars in millions)</w:t>
            </w:r>
          </w:p>
        </w:tc>
        <w:tc>
          <w:tcPr>
            <w:tcW w:w="0" w:type="dxa"/>
            <w:vAlign w:val="bottom"/>
          </w:tcPr>
          <w:p>
            <w:pPr>
              <w:spacing w:after="0"/>
              <w:rPr>
                <w:sz w:val="1"/>
                <w:szCs w:val="1"/>
                <w:color w:val="auto"/>
              </w:rPr>
            </w:pPr>
          </w:p>
        </w:tc>
      </w:tr>
      <w:tr>
        <w:trPr>
          <w:trHeight w:val="327"/>
        </w:trPr>
        <w:tc>
          <w:tcPr>
            <w:tcW w:w="3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7"/>
              </w:rPr>
              <w:t>Nine months</w:t>
            </w: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Nine months</w:t>
            </w: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3"/>
        </w:trPr>
        <w:tc>
          <w:tcPr>
            <w:tcW w:w="3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200"/>
              <w:spacing w:after="0" w:line="143" w:lineRule="exact"/>
              <w:rPr>
                <w:sz w:val="20"/>
                <w:szCs w:val="20"/>
                <w:color w:val="auto"/>
              </w:rPr>
            </w:pPr>
            <w:r>
              <w:rPr>
                <w:rFonts w:ascii="Times New Roman" w:cs="Times New Roman" w:eastAsia="Times New Roman" w:hAnsi="Times New Roman"/>
                <w:sz w:val="14"/>
                <w:szCs w:val="14"/>
                <w:b w:val="1"/>
                <w:bCs w:val="1"/>
                <w:color w:val="auto"/>
              </w:rPr>
              <w:t>ended</w:t>
            </w:r>
          </w:p>
        </w:tc>
        <w:tc>
          <w:tcPr>
            <w:tcW w:w="1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200"/>
              <w:spacing w:after="0" w:line="143" w:lineRule="exact"/>
              <w:rPr>
                <w:sz w:val="20"/>
                <w:szCs w:val="20"/>
                <w:color w:val="auto"/>
              </w:rPr>
            </w:pPr>
            <w:r>
              <w:rPr>
                <w:rFonts w:ascii="Times New Roman" w:cs="Times New Roman" w:eastAsia="Times New Roman" w:hAnsi="Times New Roman"/>
                <w:sz w:val="14"/>
                <w:szCs w:val="14"/>
                <w:b w:val="1"/>
                <w:bCs w:val="1"/>
                <w:color w:val="auto"/>
              </w:rPr>
              <w:t>ended</w:t>
            </w:r>
          </w:p>
        </w:tc>
        <w:tc>
          <w:tcPr>
            <w:tcW w:w="1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3280" w:type="dxa"/>
            <w:vAlign w:val="bottom"/>
          </w:tcPr>
          <w:p>
            <w:pPr>
              <w:spacing w:after="0"/>
              <w:rPr>
                <w:sz w:val="11"/>
                <w:szCs w:val="11"/>
                <w:color w:val="auto"/>
              </w:rPr>
            </w:pPr>
          </w:p>
        </w:tc>
        <w:tc>
          <w:tcPr>
            <w:tcW w:w="1060" w:type="dxa"/>
            <w:vAlign w:val="bottom"/>
            <w:gridSpan w:val="3"/>
          </w:tcPr>
          <w:p>
            <w:pPr>
              <w:jc w:val="center"/>
              <w:ind w:right="80"/>
              <w:spacing w:after="0" w:line="133"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0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gridSpan w:val="3"/>
          </w:tcPr>
          <w:p>
            <w:pPr>
              <w:jc w:val="center"/>
              <w:ind w:right="80"/>
              <w:spacing w:after="0" w:line="133"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Dollar Change</w:t>
            </w: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3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center"/>
              <w:ind w:right="23"/>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6"/>
                <w:szCs w:val="16"/>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Percentage of</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center"/>
              <w:ind w:right="43"/>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80" w:type="dxa"/>
            <w:vAlign w:val="bottom"/>
          </w:tcPr>
          <w:p>
            <w:pPr>
              <w:spacing w:after="0"/>
              <w:rPr>
                <w:sz w:val="16"/>
                <w:szCs w:val="16"/>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Percentage of</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3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2"/>
              </w:rPr>
              <w:t>(A)</w:t>
            </w:r>
          </w:p>
        </w:tc>
        <w:tc>
          <w:tcPr>
            <w:tcW w:w="1080" w:type="dxa"/>
            <w:vAlign w:val="bottom"/>
            <w:vMerge w:val="continue"/>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6"/>
              </w:rPr>
              <w:t>(B)</w:t>
            </w:r>
          </w:p>
        </w:tc>
        <w:tc>
          <w:tcPr>
            <w:tcW w:w="1100" w:type="dxa"/>
            <w:vAlign w:val="bottom"/>
            <w:vMerge w:val="continue"/>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vMerge w:val="restart"/>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(C=A-B)</w:t>
            </w:r>
          </w:p>
        </w:tc>
        <w:tc>
          <w:tcPr>
            <w:tcW w:w="80" w:type="dxa"/>
            <w:vAlign w:val="bottom"/>
          </w:tcPr>
          <w:p>
            <w:pPr>
              <w:spacing w:after="0"/>
              <w:rPr>
                <w:sz w:val="3"/>
                <w:szCs w:val="3"/>
                <w:color w:val="auto"/>
              </w:rPr>
            </w:pPr>
          </w:p>
        </w:tc>
        <w:tc>
          <w:tcPr>
            <w:tcW w:w="940" w:type="dxa"/>
            <w:vAlign w:val="bottom"/>
            <w:vMerge w:val="continue"/>
          </w:tcPr>
          <w:p>
            <w:pPr>
              <w:spacing w:after="0"/>
              <w:rPr>
                <w:sz w:val="3"/>
                <w:szCs w:val="3"/>
                <w:color w:val="auto"/>
              </w:rPr>
            </w:pPr>
          </w:p>
        </w:tc>
        <w:tc>
          <w:tcPr>
            <w:tcW w:w="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0"/>
        </w:trPr>
        <w:tc>
          <w:tcPr>
            <w:tcW w:w="3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Revenues, net</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Revenues, net</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jc w:val="right"/>
              <w:ind w:right="6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 net</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1,356.9</w:t>
            </w:r>
          </w:p>
        </w:tc>
        <w:tc>
          <w:tcPr>
            <w:tcW w:w="10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1,216.6</w:t>
            </w:r>
          </w:p>
        </w:tc>
        <w:tc>
          <w:tcPr>
            <w:tcW w:w="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140.3</w:t>
            </w:r>
          </w:p>
        </w:tc>
        <w:tc>
          <w:tcPr>
            <w:tcW w:w="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3280" w:type="dxa"/>
            <w:vAlign w:val="bottom"/>
          </w:tcPr>
          <w:p>
            <w:pPr>
              <w:ind w:left="20"/>
              <w:spacing w:after="0" w:line="209" w:lineRule="exact"/>
              <w:rPr>
                <w:sz w:val="20"/>
                <w:szCs w:val="20"/>
                <w:color w:val="auto"/>
              </w:rPr>
            </w:pPr>
            <w:r>
              <w:rPr>
                <w:rFonts w:ascii="Times New Roman" w:cs="Times New Roman" w:eastAsia="Times New Roman" w:hAnsi="Times New Roman"/>
                <w:sz w:val="16"/>
                <w:szCs w:val="16"/>
                <w:color w:val="auto"/>
              </w:rPr>
              <w:t xml:space="preserve">Cost of revenues </w:t>
            </w:r>
            <w:r>
              <w:rPr>
                <w:rFonts w:ascii="Times New Roman" w:cs="Times New Roman" w:eastAsia="Times New Roman" w:hAnsi="Times New Roman"/>
                <w:sz w:val="20"/>
                <w:szCs w:val="20"/>
                <w:color w:val="auto"/>
                <w:vertAlign w:val="superscript"/>
              </w:rPr>
              <w:t>(1)</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849.3</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62.6</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760.7</w:t>
            </w:r>
          </w:p>
        </w:tc>
        <w:tc>
          <w:tcPr>
            <w:tcW w:w="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62.5</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88.6</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3280" w:type="dxa"/>
            <w:vAlign w:val="bottom"/>
            <w:tcBorders>
              <w:top w:val="single" w:sz="8" w:color="CCEEFF"/>
            </w:tcBorders>
            <w:shd w:val="clear" w:color="auto" w:fill="CCEEFF"/>
          </w:tcPr>
          <w:p>
            <w:pPr>
              <w:ind w:left="20"/>
              <w:spacing w:after="0" w:line="203" w:lineRule="exact"/>
              <w:rPr>
                <w:sz w:val="20"/>
                <w:szCs w:val="20"/>
                <w:color w:val="auto"/>
              </w:rPr>
            </w:pPr>
            <w:r>
              <w:rPr>
                <w:rFonts w:ascii="Times New Roman" w:cs="Times New Roman" w:eastAsia="Times New Roman" w:hAnsi="Times New Roman"/>
                <w:sz w:val="16"/>
                <w:szCs w:val="16"/>
                <w:b w:val="1"/>
                <w:bCs w:val="1"/>
                <w:color w:val="auto"/>
              </w:rPr>
              <w:t xml:space="preserve">Gross profit </w:t>
            </w:r>
            <w:r>
              <w:rPr>
                <w:rFonts w:ascii="Times New Roman" w:cs="Times New Roman" w:eastAsia="Times New Roman" w:hAnsi="Times New Roman"/>
                <w:sz w:val="20"/>
                <w:szCs w:val="20"/>
                <w:b w:val="1"/>
                <w:bCs w:val="1"/>
                <w:color w:val="auto"/>
                <w:vertAlign w:val="superscript"/>
              </w:rPr>
              <w:t>(1)</w:t>
            </w: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507.6</w:t>
            </w:r>
          </w:p>
        </w:tc>
        <w:tc>
          <w:tcPr>
            <w:tcW w:w="10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37.4 %</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b w:val="1"/>
                <w:bCs w:val="1"/>
                <w:color w:val="auto"/>
              </w:rPr>
              <w:t>455.9</w:t>
            </w:r>
          </w:p>
        </w:tc>
        <w:tc>
          <w:tcPr>
            <w:tcW w:w="8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37.5 %</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51.7</w:t>
            </w:r>
          </w:p>
        </w:tc>
        <w:tc>
          <w:tcPr>
            <w:tcW w:w="8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11.3 %</w:t>
            </w:r>
          </w:p>
        </w:tc>
        <w:tc>
          <w:tcPr>
            <w:tcW w:w="0" w:type="dxa"/>
            <w:vAlign w:val="bottom"/>
          </w:tcPr>
          <w:p>
            <w:pPr>
              <w:spacing w:after="0"/>
              <w:rPr>
                <w:sz w:val="1"/>
                <w:szCs w:val="1"/>
                <w:color w:val="auto"/>
              </w:rPr>
            </w:pPr>
          </w:p>
        </w:tc>
      </w:tr>
      <w:tr>
        <w:trPr>
          <w:trHeight w:val="188"/>
        </w:trPr>
        <w:tc>
          <w:tcPr>
            <w:tcW w:w="3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3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167.2</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144.5</w:t>
            </w: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22.7</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8"/>
        </w:trPr>
        <w:tc>
          <w:tcPr>
            <w:tcW w:w="32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Selling and marketing expenses</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109.0</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88.7</w:t>
            </w:r>
          </w:p>
        </w:tc>
        <w:tc>
          <w:tcPr>
            <w:tcW w:w="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20.3</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22.9</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3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Depreciation and amortization expense</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38.2</w:t>
            </w: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0.8</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1"/>
        </w:trPr>
        <w:tc>
          <w:tcPr>
            <w:tcW w:w="3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0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315.2</w:t>
            </w:r>
          </w:p>
        </w:tc>
        <w:tc>
          <w:tcPr>
            <w:tcW w:w="100" w:type="dxa"/>
            <w:vAlign w:val="bottom"/>
            <w:tcBorders>
              <w:bottom w:val="single" w:sz="8" w:color="CCEEFF"/>
            </w:tcBorders>
          </w:tcPr>
          <w:p>
            <w:pPr>
              <w:spacing w:after="0"/>
              <w:rPr>
                <w:sz w:val="17"/>
                <w:szCs w:val="17"/>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23.2</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271.4</w:t>
            </w:r>
          </w:p>
        </w:tc>
        <w:tc>
          <w:tcPr>
            <w:tcW w:w="80" w:type="dxa"/>
            <w:vAlign w:val="bottom"/>
            <w:tcBorders>
              <w:bottom w:val="single" w:sz="8" w:color="CCEEFF"/>
            </w:tcBorders>
          </w:tcPr>
          <w:p>
            <w:pPr>
              <w:spacing w:after="0"/>
              <w:rPr>
                <w:sz w:val="17"/>
                <w:szCs w:val="17"/>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22.3</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43.8</w:t>
            </w:r>
          </w:p>
        </w:tc>
        <w:tc>
          <w:tcPr>
            <w:tcW w:w="80" w:type="dxa"/>
            <w:vAlign w:val="bottom"/>
            <w:tcBorders>
              <w:bottom w:val="single" w:sz="8" w:color="CCEEFF"/>
            </w:tcBorders>
          </w:tcPr>
          <w:p>
            <w:pPr>
              <w:spacing w:after="0"/>
              <w:rPr>
                <w:sz w:val="17"/>
                <w:szCs w:val="17"/>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16.1</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5"/>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Income from operations</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192.4</w:t>
            </w: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14.2 %</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b w:val="1"/>
                <w:bCs w:val="1"/>
                <w:color w:val="auto"/>
              </w:rPr>
              <w:t>184.5</w:t>
            </w:r>
          </w:p>
        </w:tc>
        <w:tc>
          <w:tcPr>
            <w:tcW w:w="8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15.2 %</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7.9</w:t>
            </w:r>
          </w:p>
        </w:tc>
        <w:tc>
          <w:tcPr>
            <w:tcW w:w="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4.3 %</w:t>
            </w:r>
          </w:p>
        </w:tc>
        <w:tc>
          <w:tcPr>
            <w:tcW w:w="0" w:type="dxa"/>
            <w:vAlign w:val="bottom"/>
          </w:tcPr>
          <w:p>
            <w:pPr>
              <w:spacing w:after="0"/>
              <w:rPr>
                <w:sz w:val="1"/>
                <w:szCs w:val="1"/>
                <w:color w:val="auto"/>
              </w:rPr>
            </w:pPr>
          </w:p>
        </w:tc>
      </w:tr>
      <w:tr>
        <w:trPr>
          <w:trHeight w:val="208"/>
        </w:trPr>
        <w:tc>
          <w:tcPr>
            <w:tcW w:w="3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Foreign exchange gain, net</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100" w:type="dxa"/>
            <w:vAlign w:val="bottom"/>
          </w:tcPr>
          <w:p>
            <w:pPr>
              <w:spacing w:after="0"/>
              <w:rPr>
                <w:sz w:val="18"/>
                <w:szCs w:val="18"/>
                <w:color w:val="auto"/>
              </w:rPr>
            </w:pPr>
          </w:p>
        </w:tc>
        <w:tc>
          <w:tcPr>
            <w:tcW w:w="136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 %</w:t>
            </w:r>
          </w:p>
        </w:tc>
        <w:tc>
          <w:tcPr>
            <w:tcW w:w="100" w:type="dxa"/>
            <w:vAlign w:val="bottom"/>
          </w:tcPr>
          <w:p>
            <w:pPr>
              <w:spacing w:after="0"/>
              <w:rPr>
                <w:sz w:val="18"/>
                <w:szCs w:val="18"/>
                <w:color w:val="auto"/>
              </w:rPr>
            </w:pPr>
          </w:p>
        </w:tc>
        <w:tc>
          <w:tcPr>
            <w:tcW w:w="8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0.8</w:t>
            </w:r>
          </w:p>
        </w:tc>
        <w:tc>
          <w:tcPr>
            <w:tcW w:w="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(19.6) %</w:t>
            </w:r>
          </w:p>
        </w:tc>
        <w:tc>
          <w:tcPr>
            <w:tcW w:w="0" w:type="dxa"/>
            <w:vAlign w:val="bottom"/>
          </w:tcPr>
          <w:p>
            <w:pPr>
              <w:spacing w:after="0"/>
              <w:rPr>
                <w:sz w:val="1"/>
                <w:szCs w:val="1"/>
                <w:color w:val="auto"/>
              </w:rPr>
            </w:pPr>
          </w:p>
        </w:tc>
      </w:tr>
      <w:tr>
        <w:trPr>
          <w:trHeight w:val="212"/>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 %</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 %</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8"/>
        </w:trPr>
        <w:tc>
          <w:tcPr>
            <w:tcW w:w="3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income, net</w:t>
            </w: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10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6.6</w:t>
            </w:r>
          </w:p>
        </w:tc>
        <w:tc>
          <w:tcPr>
            <w:tcW w:w="8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5.2</w:t>
            </w:r>
          </w:p>
        </w:tc>
        <w:tc>
          <w:tcPr>
            <w:tcW w:w="8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80.1</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39"/>
        </w:trPr>
        <w:tc>
          <w:tcPr>
            <w:tcW w:w="3280" w:type="dxa"/>
            <w:vAlign w:val="bottom"/>
            <w:shd w:val="clear" w:color="auto" w:fill="CCEEFF"/>
          </w:tcPr>
          <w:p>
            <w:pPr>
              <w:ind w:left="20"/>
              <w:spacing w:after="0" w:line="139" w:lineRule="exact"/>
              <w:rPr>
                <w:sz w:val="20"/>
                <w:szCs w:val="20"/>
                <w:color w:val="auto"/>
              </w:rPr>
            </w:pPr>
            <w:r>
              <w:rPr>
                <w:rFonts w:ascii="Times New Roman" w:cs="Times New Roman" w:eastAsia="Times New Roman" w:hAnsi="Times New Roman"/>
                <w:sz w:val="16"/>
                <w:szCs w:val="16"/>
                <w:b w:val="1"/>
                <w:bCs w:val="1"/>
                <w:color w:val="auto"/>
                <w:w w:val="99"/>
              </w:rPr>
              <w:t>Income before income tax expense and earnings</w:t>
            </w:r>
          </w:p>
        </w:tc>
        <w:tc>
          <w:tcPr>
            <w:tcW w:w="10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190.8</w:t>
            </w:r>
          </w:p>
        </w:tc>
        <w:tc>
          <w:tcPr>
            <w:tcW w:w="100" w:type="dxa"/>
            <w:vAlign w:val="bottom"/>
            <w:shd w:val="clear" w:color="auto" w:fill="CCEEFF"/>
          </w:tcPr>
          <w:p>
            <w:pPr>
              <w:spacing w:after="0"/>
              <w:rPr>
                <w:sz w:val="12"/>
                <w:szCs w:val="12"/>
                <w:color w:val="auto"/>
              </w:rPr>
            </w:pPr>
          </w:p>
        </w:tc>
        <w:tc>
          <w:tcPr>
            <w:tcW w:w="12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14.1 %</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b w:val="1"/>
                <w:bCs w:val="1"/>
                <w:color w:val="auto"/>
              </w:rPr>
              <w:t>181.9</w:t>
            </w:r>
          </w:p>
        </w:tc>
        <w:tc>
          <w:tcPr>
            <w:tcW w:w="80" w:type="dxa"/>
            <w:vAlign w:val="bottom"/>
            <w:shd w:val="clear" w:color="auto" w:fill="CCEEFF"/>
          </w:tcPr>
          <w:p>
            <w:pPr>
              <w:spacing w:after="0"/>
              <w:rPr>
                <w:sz w:val="12"/>
                <w:szCs w:val="12"/>
                <w:color w:val="auto"/>
              </w:rPr>
            </w:pPr>
          </w:p>
        </w:tc>
        <w:tc>
          <w:tcPr>
            <w:tcW w:w="12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15.0 %</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8.9</w:t>
            </w:r>
          </w:p>
        </w:tc>
        <w:tc>
          <w:tcPr>
            <w:tcW w:w="120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4.9 %</w:t>
            </w:r>
          </w:p>
        </w:tc>
        <w:tc>
          <w:tcPr>
            <w:tcW w:w="0" w:type="dxa"/>
            <w:vAlign w:val="bottom"/>
          </w:tcPr>
          <w:p>
            <w:pPr>
              <w:spacing w:after="0"/>
              <w:rPr>
                <w:sz w:val="1"/>
                <w:szCs w:val="1"/>
                <w:color w:val="auto"/>
              </w:rPr>
            </w:pPr>
          </w:p>
        </w:tc>
      </w:tr>
      <w:tr>
        <w:trPr>
          <w:trHeight w:val="210"/>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from equity affiliates</w:t>
            </w:r>
          </w:p>
        </w:tc>
        <w:tc>
          <w:tcPr>
            <w:tcW w:w="10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200" w:type="dxa"/>
            <w:vAlign w:val="bottom"/>
            <w:gridSpan w:val="3"/>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43.1</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37.8</w:t>
            </w:r>
          </w:p>
        </w:tc>
        <w:tc>
          <w:tcPr>
            <w:tcW w:w="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5.3</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14.1</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5"/>
        </w:trPr>
        <w:tc>
          <w:tcPr>
            <w:tcW w:w="3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Income before earnings from equity affiliates</w:t>
            </w:r>
          </w:p>
        </w:tc>
        <w:tc>
          <w:tcPr>
            <w:tcW w:w="10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147.7</w:t>
            </w:r>
          </w:p>
        </w:tc>
        <w:tc>
          <w:tcPr>
            <w:tcW w:w="10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10.9 %</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b w:val="1"/>
                <w:bCs w:val="1"/>
                <w:color w:val="auto"/>
              </w:rPr>
              <w:t>144.1</w:t>
            </w:r>
          </w:p>
        </w:tc>
        <w:tc>
          <w:tcPr>
            <w:tcW w:w="8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11.8 %</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3.6</w:t>
            </w:r>
          </w:p>
        </w:tc>
        <w:tc>
          <w:tcPr>
            <w:tcW w:w="8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2.5 %</w:t>
            </w:r>
          </w:p>
        </w:tc>
        <w:tc>
          <w:tcPr>
            <w:tcW w:w="0" w:type="dxa"/>
            <w:vAlign w:val="bottom"/>
          </w:tcPr>
          <w:p>
            <w:pPr>
              <w:spacing w:after="0"/>
              <w:rPr>
                <w:sz w:val="1"/>
                <w:szCs w:val="1"/>
                <w:color w:val="auto"/>
              </w:rPr>
            </w:pPr>
          </w:p>
        </w:tc>
      </w:tr>
      <w:tr>
        <w:trPr>
          <w:trHeight w:val="208"/>
        </w:trPr>
        <w:tc>
          <w:tcPr>
            <w:tcW w:w="3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Gain/(loss) from equity-method investment</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Pr>
          <w:p>
            <w:pPr>
              <w:spacing w:after="0"/>
              <w:rPr>
                <w:sz w:val="18"/>
                <w:szCs w:val="18"/>
                <w:color w:val="auto"/>
              </w:rPr>
            </w:pPr>
          </w:p>
        </w:tc>
        <w:tc>
          <w:tcPr>
            <w:tcW w:w="136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 %</w:t>
            </w:r>
          </w:p>
        </w:tc>
        <w:tc>
          <w:tcPr>
            <w:tcW w:w="100" w:type="dxa"/>
            <w:vAlign w:val="bottom"/>
          </w:tcPr>
          <w:p>
            <w:pPr>
              <w:spacing w:after="0"/>
              <w:rPr>
                <w:sz w:val="18"/>
                <w:szCs w:val="18"/>
                <w:color w:val="auto"/>
              </w:rPr>
            </w:pPr>
          </w:p>
        </w:tc>
        <w:tc>
          <w:tcPr>
            <w:tcW w:w="8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0.2</w:t>
            </w:r>
          </w:p>
        </w:tc>
        <w:tc>
          <w:tcPr>
            <w:tcW w:w="80" w:type="dxa"/>
            <w:vAlign w:val="bottom"/>
          </w:tcPr>
          <w:p>
            <w:pPr>
              <w:spacing w:after="0"/>
              <w:rPr>
                <w:sz w:val="18"/>
                <w:szCs w:val="18"/>
                <w:color w:val="auto"/>
              </w:rPr>
            </w:pPr>
          </w:p>
        </w:tc>
        <w:tc>
          <w:tcPr>
            <w:tcW w:w="136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 %</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(145.2) %</w:t>
            </w:r>
          </w:p>
        </w:tc>
        <w:tc>
          <w:tcPr>
            <w:tcW w:w="0" w:type="dxa"/>
            <w:vAlign w:val="bottom"/>
          </w:tcPr>
          <w:p>
            <w:pPr>
              <w:spacing w:after="0"/>
              <w:rPr>
                <w:sz w:val="1"/>
                <w:szCs w:val="1"/>
                <w:color w:val="auto"/>
              </w:rPr>
            </w:pPr>
          </w:p>
        </w:tc>
      </w:tr>
      <w:tr>
        <w:trPr>
          <w:trHeight w:val="229"/>
        </w:trPr>
        <w:tc>
          <w:tcPr>
            <w:tcW w:w="32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147.6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10.9 %</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8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b w:val="1"/>
                <w:bCs w:val="1"/>
                <w:color w:val="auto"/>
              </w:rPr>
              <w:t>144.3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11.9 %</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80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3.3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2.3 %</w:t>
            </w: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i w:val="1"/>
          <w:iCs w:val="1"/>
          <w:color w:val="auto"/>
        </w:rPr>
        <w:t>(1) Exclusive of depreciation and amortization expense.</w:t>
      </w:r>
    </w:p>
    <w:p>
      <w:pPr>
        <w:spacing w:after="0" w:line="236" w:lineRule="exact"/>
        <w:rPr>
          <w:sz w:val="20"/>
          <w:szCs w:val="20"/>
          <w:color w:val="auto"/>
        </w:rPr>
      </w:pPr>
    </w:p>
    <w:p>
      <w:pPr>
        <w:ind w:left="400"/>
        <w:spacing w:after="0" w:line="271" w:lineRule="auto"/>
        <w:rPr>
          <w:sz w:val="20"/>
          <w:szCs w:val="20"/>
          <w:color w:val="auto"/>
        </w:rPr>
      </w:pPr>
      <w:r>
        <w:rPr>
          <w:rFonts w:ascii="Times New Roman" w:cs="Times New Roman" w:eastAsia="Times New Roman" w:hAnsi="Times New Roman"/>
          <w:sz w:val="16"/>
          <w:szCs w:val="16"/>
          <w:i w:val="1"/>
          <w:iCs w:val="1"/>
          <w:color w:val="auto"/>
        </w:rPr>
        <w:t>Due to rounding, the numbers presented in the tables included in this Part I, Item 2, “Management’s Discussion and Analysis of Financial Condition and Results of Operations” may not add up precisely to the totals provided.</w:t>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Nine Months Ended September 30, 2024 Compared to Nine Months Ended September 30, 2023</w:t>
      </w:r>
    </w:p>
    <w:p>
      <w:pPr>
        <w:spacing w:after="0" w:line="25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Revenues.</w:t>
      </w:r>
    </w:p>
    <w:p>
      <w:pPr>
        <w:spacing w:after="0" w:line="25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The following table summarizes our revenues by reportable segments:</w:t>
      </w:r>
    </w:p>
    <w:p>
      <w:pPr>
        <w:spacing w:after="0" w:line="214"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2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540" w:type="dxa"/>
            <w:vAlign w:val="bottom"/>
            <w:gridSpan w:val="5"/>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40" w:type="dxa"/>
            <w:vAlign w:val="bottom"/>
            <w:gridSpan w:val="3"/>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Percentage of Total Revenues for the nine</w:t>
            </w: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540" w:type="dxa"/>
            <w:vAlign w:val="bottom"/>
            <w:gridSpan w:val="5"/>
            <w:vMerge w:val="continue"/>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Percentage</w:t>
            </w:r>
          </w:p>
        </w:tc>
        <w:tc>
          <w:tcPr>
            <w:tcW w:w="2840" w:type="dxa"/>
            <w:vAlign w:val="bottom"/>
            <w:gridSpan w:val="3"/>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months ended September 30,</w:t>
            </w:r>
          </w:p>
        </w:tc>
        <w:tc>
          <w:tcPr>
            <w:tcW w:w="0" w:type="dxa"/>
            <w:vAlign w:val="bottom"/>
          </w:tcPr>
          <w:p>
            <w:pPr>
              <w:spacing w:after="0"/>
              <w:rPr>
                <w:sz w:val="1"/>
                <w:szCs w:val="1"/>
                <w:color w:val="auto"/>
              </w:rPr>
            </w:pPr>
          </w:p>
        </w:tc>
      </w:tr>
      <w:tr>
        <w:trPr>
          <w:trHeight w:val="52"/>
        </w:trPr>
        <w:tc>
          <w:tcPr>
            <w:tcW w:w="2000" w:type="dxa"/>
            <w:vAlign w:val="bottom"/>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1080" w:type="dxa"/>
            <w:vAlign w:val="bottom"/>
            <w:tcBorders>
              <w:top w:val="single" w:sz="8" w:color="auto"/>
            </w:tcBorders>
            <w:vMerge w:val="restart"/>
          </w:tcPr>
          <w:p>
            <w:pPr>
              <w:jc w:val="right"/>
              <w:ind w:right="418"/>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top w:val="single" w:sz="8" w:color="auto"/>
            </w:tcBorders>
          </w:tcPr>
          <w:p>
            <w:pPr>
              <w:spacing w:after="0"/>
              <w:rPr>
                <w:sz w:val="4"/>
                <w:szCs w:val="4"/>
                <w:color w:val="auto"/>
              </w:rPr>
            </w:pPr>
          </w:p>
        </w:tc>
        <w:tc>
          <w:tcPr>
            <w:tcW w:w="320" w:type="dxa"/>
            <w:vAlign w:val="bottom"/>
            <w:tcBorders>
              <w:top w:val="single" w:sz="8" w:color="auto"/>
            </w:tcBorders>
          </w:tcPr>
          <w:p>
            <w:pPr>
              <w:spacing w:after="0"/>
              <w:rPr>
                <w:sz w:val="4"/>
                <w:szCs w:val="4"/>
                <w:color w:val="auto"/>
              </w:rPr>
            </w:pPr>
          </w:p>
        </w:tc>
        <w:tc>
          <w:tcPr>
            <w:tcW w:w="960" w:type="dxa"/>
            <w:vAlign w:val="bottom"/>
            <w:tcBorders>
              <w:top w:val="single" w:sz="8" w:color="auto"/>
            </w:tcBorders>
            <w:vMerge w:val="restart"/>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 Change</w:t>
            </w:r>
          </w:p>
        </w:tc>
        <w:tc>
          <w:tcPr>
            <w:tcW w:w="1320" w:type="dxa"/>
            <w:vAlign w:val="bottom"/>
            <w:gridSpan w:val="2"/>
            <w:vMerge w:val="continue"/>
          </w:tcPr>
          <w:p>
            <w:pPr>
              <w:spacing w:after="0"/>
              <w:rPr>
                <w:sz w:val="4"/>
                <w:szCs w:val="4"/>
                <w:color w:val="auto"/>
              </w:rPr>
            </w:pPr>
          </w:p>
        </w:tc>
        <w:tc>
          <w:tcPr>
            <w:tcW w:w="1380" w:type="dxa"/>
            <w:vAlign w:val="bottom"/>
            <w:tcBorders>
              <w:top w:val="single" w:sz="8" w:color="auto"/>
            </w:tcBorders>
            <w:vMerge w:val="restart"/>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top w:val="single" w:sz="8" w:color="auto"/>
            </w:tcBorders>
          </w:tcPr>
          <w:p>
            <w:pPr>
              <w:spacing w:after="0"/>
              <w:rPr>
                <w:sz w:val="4"/>
                <w:szCs w:val="4"/>
                <w:color w:val="auto"/>
              </w:rPr>
            </w:pPr>
          </w:p>
        </w:tc>
        <w:tc>
          <w:tcPr>
            <w:tcW w:w="1380" w:type="dxa"/>
            <w:vAlign w:val="bottom"/>
            <w:tcBorders>
              <w:top w:val="single" w:sz="8" w:color="auto"/>
            </w:tcBorders>
            <w:vMerge w:val="restart"/>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change</w:t>
            </w:r>
          </w:p>
        </w:tc>
        <w:tc>
          <w:tcPr>
            <w:tcW w:w="13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4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Insurance</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452.0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390.8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61.2</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15.7 %</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33.3 %</w:t>
            </w: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32.1 %</w:t>
            </w:r>
          </w:p>
        </w:tc>
        <w:tc>
          <w:tcPr>
            <w:tcW w:w="0" w:type="dxa"/>
            <w:vAlign w:val="bottom"/>
          </w:tcPr>
          <w:p>
            <w:pPr>
              <w:spacing w:after="0"/>
              <w:rPr>
                <w:sz w:val="1"/>
                <w:szCs w:val="1"/>
                <w:color w:val="auto"/>
              </w:rPr>
            </w:pPr>
          </w:p>
        </w:tc>
      </w:tr>
      <w:tr>
        <w:trPr>
          <w:trHeight w:val="223"/>
        </w:trPr>
        <w:tc>
          <w:tcPr>
            <w:tcW w:w="20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Healthcare</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84.8</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6.0 %</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6.3 %</w:t>
            </w:r>
          </w:p>
        </w:tc>
        <w:tc>
          <w:tcPr>
            <w:tcW w:w="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6.6 %</w:t>
            </w:r>
          </w:p>
        </w:tc>
        <w:tc>
          <w:tcPr>
            <w:tcW w:w="0" w:type="dxa"/>
            <w:vAlign w:val="bottom"/>
          </w:tcPr>
          <w:p>
            <w:pPr>
              <w:spacing w:after="0"/>
              <w:rPr>
                <w:sz w:val="1"/>
                <w:szCs w:val="1"/>
                <w:color w:val="auto"/>
              </w:rPr>
            </w:pPr>
          </w:p>
        </w:tc>
      </w:tr>
      <w:tr>
        <w:trPr>
          <w:trHeight w:val="223"/>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Emerging Business</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231.6</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198.7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32.9</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16.6 %</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17.1 %</w:t>
            </w: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16.3 %</w:t>
            </w:r>
          </w:p>
        </w:tc>
        <w:tc>
          <w:tcPr>
            <w:tcW w:w="0" w:type="dxa"/>
            <w:vAlign w:val="bottom"/>
          </w:tcPr>
          <w:p>
            <w:pPr>
              <w:spacing w:after="0"/>
              <w:rPr>
                <w:sz w:val="1"/>
                <w:szCs w:val="1"/>
                <w:color w:val="auto"/>
              </w:rPr>
            </w:pPr>
          </w:p>
        </w:tc>
      </w:tr>
      <w:tr>
        <w:trPr>
          <w:trHeight w:val="223"/>
        </w:trPr>
        <w:tc>
          <w:tcPr>
            <w:tcW w:w="2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Analytics</w:t>
            </w: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588.5</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547.1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41.4</w:t>
            </w:r>
          </w:p>
        </w:tc>
        <w:tc>
          <w:tcPr>
            <w:tcW w:w="12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7.6 %</w:t>
            </w:r>
          </w:p>
        </w:tc>
        <w:tc>
          <w:tcPr>
            <w:tcW w:w="10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43.3 %</w:t>
            </w:r>
          </w:p>
        </w:tc>
        <w:tc>
          <w:tcPr>
            <w:tcW w:w="8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45.0 %</w:t>
            </w:r>
          </w:p>
        </w:tc>
        <w:tc>
          <w:tcPr>
            <w:tcW w:w="0" w:type="dxa"/>
            <w:vAlign w:val="bottom"/>
          </w:tcPr>
          <w:p>
            <w:pPr>
              <w:spacing w:after="0"/>
              <w:rPr>
                <w:sz w:val="1"/>
                <w:szCs w:val="1"/>
                <w:color w:val="auto"/>
              </w:rPr>
            </w:pPr>
          </w:p>
        </w:tc>
      </w:tr>
      <w:tr>
        <w:trPr>
          <w:trHeight w:val="241"/>
        </w:trPr>
        <w:tc>
          <w:tcPr>
            <w:tcW w:w="2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revenues, net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1,356.9</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1,216.6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140.3</w:t>
            </w:r>
          </w:p>
        </w:tc>
        <w:tc>
          <w:tcPr>
            <w:tcW w:w="1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11.5 %</w:t>
            </w:r>
          </w:p>
        </w:tc>
        <w:tc>
          <w:tcPr>
            <w:tcW w:w="1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100.0 %</w:t>
            </w:r>
          </w:p>
        </w:tc>
        <w:tc>
          <w:tcPr>
            <w:tcW w:w="8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100.0 %</w:t>
            </w:r>
          </w:p>
        </w:tc>
        <w:tc>
          <w:tcPr>
            <w:tcW w:w="0" w:type="dxa"/>
            <w:vAlign w:val="bottom"/>
          </w:tcPr>
          <w:p>
            <w:pPr>
              <w:spacing w:after="0"/>
              <w:rPr>
                <w:sz w:val="1"/>
                <w:szCs w:val="1"/>
                <w:color w:val="auto"/>
              </w:rPr>
            </w:pPr>
          </w:p>
        </w:tc>
      </w:tr>
      <w:tr>
        <w:trPr>
          <w:trHeight w:val="20"/>
        </w:trPr>
        <w:tc>
          <w:tcPr>
            <w:tcW w:w="20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9" w:lineRule="exact"/>
        <w:rPr>
          <w:sz w:val="20"/>
          <w:szCs w:val="20"/>
          <w:color w:val="auto"/>
        </w:rPr>
      </w:pPr>
    </w:p>
    <w:p>
      <w:pPr>
        <w:jc w:val="both"/>
        <w:ind w:firstLine="393"/>
        <w:spacing w:after="0" w:line="297" w:lineRule="auto"/>
        <w:rPr>
          <w:sz w:val="20"/>
          <w:szCs w:val="20"/>
          <w:color w:val="auto"/>
        </w:rPr>
      </w:pPr>
      <w:r>
        <w:rPr>
          <w:rFonts w:ascii="Times New Roman" w:cs="Times New Roman" w:eastAsia="Times New Roman" w:hAnsi="Times New Roman"/>
          <w:sz w:val="17"/>
          <w:szCs w:val="17"/>
          <w:color w:val="auto"/>
        </w:rPr>
        <w:t>Revenues for the nine months ended September 30, 2024 were up by $140.3 million, or 11.5%, compared to the nine months ended September 30, 2023, driven primarily by revenue growth from our new and existing clients in all of our reportable segments.</w:t>
      </w:r>
    </w:p>
    <w:p>
      <w:pPr>
        <w:spacing w:after="0" w:line="172" w:lineRule="exact"/>
        <w:rPr>
          <w:sz w:val="20"/>
          <w:szCs w:val="20"/>
          <w:color w:val="auto"/>
        </w:rPr>
      </w:pPr>
    </w:p>
    <w:p>
      <w:pPr>
        <w:jc w:val="both"/>
        <w:ind w:firstLine="393"/>
        <w:spacing w:after="0" w:line="261" w:lineRule="auto"/>
        <w:rPr>
          <w:sz w:val="20"/>
          <w:szCs w:val="20"/>
          <w:color w:val="auto"/>
        </w:rPr>
      </w:pPr>
      <w:r>
        <w:rPr>
          <w:rFonts w:ascii="Times New Roman" w:cs="Times New Roman" w:eastAsia="Times New Roman" w:hAnsi="Times New Roman"/>
          <w:sz w:val="17"/>
          <w:szCs w:val="17"/>
          <w:color w:val="auto"/>
        </w:rPr>
        <w:t>Revenue growth in Insurance of $61.2 million was primarily driven by expansion of business from our new and existing clients of $61.0 million and an increase in revenues of $0.2 million, mainly attributable to the appreciation of the U.K. pound sterling against the U.S. dollar during the nine months ended September 30, 2024, compared to the nine months ended September 30, 2023.</w:t>
      </w:r>
    </w:p>
    <w:p>
      <w:pPr>
        <w:spacing w:after="0" w:line="201" w:lineRule="exact"/>
        <w:rPr>
          <w:sz w:val="20"/>
          <w:szCs w:val="20"/>
          <w:color w:val="auto"/>
        </w:rPr>
      </w:pPr>
    </w:p>
    <w:p>
      <w:pPr>
        <w:jc w:val="both"/>
        <w:ind w:firstLine="393"/>
        <w:spacing w:after="0" w:line="297" w:lineRule="auto"/>
        <w:rPr>
          <w:sz w:val="20"/>
          <w:szCs w:val="20"/>
          <w:color w:val="auto"/>
        </w:rPr>
      </w:pPr>
      <w:r>
        <w:rPr>
          <w:rFonts w:ascii="Times New Roman" w:cs="Times New Roman" w:eastAsia="Times New Roman" w:hAnsi="Times New Roman"/>
          <w:sz w:val="17"/>
          <w:szCs w:val="17"/>
          <w:color w:val="auto"/>
        </w:rPr>
        <w:t>Revenue growth in Healthcare of $4.8 million was primarily driven by expansion of business from our existing clients of $4.8 million during the nine months ended September 30, 2024, compared to the nine months ended September 30, 2023.</w:t>
      </w:r>
    </w:p>
    <w:p>
      <w:pPr>
        <w:spacing w:after="0" w:line="159" w:lineRule="exact"/>
        <w:rPr>
          <w:sz w:val="20"/>
          <w:szCs w:val="20"/>
          <w:color w:val="auto"/>
        </w:rPr>
      </w:pPr>
    </w:p>
    <w:p>
      <w:pPr>
        <w:jc w:val="both"/>
        <w:ind w:firstLine="393"/>
        <w:spacing w:after="0" w:line="245" w:lineRule="auto"/>
        <w:rPr>
          <w:sz w:val="20"/>
          <w:szCs w:val="20"/>
          <w:color w:val="auto"/>
        </w:rPr>
      </w:pPr>
      <w:r>
        <w:rPr>
          <w:rFonts w:ascii="Times New Roman" w:cs="Times New Roman" w:eastAsia="Times New Roman" w:hAnsi="Times New Roman"/>
          <w:sz w:val="17"/>
          <w:szCs w:val="17"/>
          <w:color w:val="auto"/>
        </w:rPr>
        <w:t>Revenue growth in Emerging Business of $32.9 million was primarily driven by expansion of business from our new and existing clients of $32.1 million and an increase in revenues of $0.8 million that was mainly attributable to the appreciation of the U.K. pound sterling against the U.S. dollar during the nine months ended September 30, 2024, compared to the nine months ended September 30, 2023.</w:t>
      </w:r>
    </w:p>
    <w:p>
      <w:pPr>
        <w:spacing w:after="0" w:line="201" w:lineRule="exact"/>
        <w:rPr>
          <w:sz w:val="20"/>
          <w:szCs w:val="20"/>
          <w:color w:val="auto"/>
        </w:rPr>
      </w:pPr>
    </w:p>
    <w:p>
      <w:pPr>
        <w:jc w:val="both"/>
        <w:ind w:firstLine="393"/>
        <w:spacing w:after="0" w:line="292" w:lineRule="auto"/>
        <w:rPr>
          <w:sz w:val="20"/>
          <w:szCs w:val="20"/>
          <w:color w:val="auto"/>
        </w:rPr>
      </w:pPr>
      <w:r>
        <w:rPr>
          <w:rFonts w:ascii="Times New Roman" w:cs="Times New Roman" w:eastAsia="Times New Roman" w:hAnsi="Times New Roman"/>
          <w:sz w:val="17"/>
          <w:szCs w:val="17"/>
          <w:color w:val="auto"/>
        </w:rPr>
        <w:t>Revenue growth in Analytics of $41.4 million was primarily driven by higher volumes in our annuity and project-based engagements from our new and existing clients of $40.6 million, including incremental revenue from our August 2024 acquisition of ITI Data and an increase in revenues of $0.8 million that was mainly attributable to the appreciation of the U.K. pound sterling against the U.S. dollar during the nine months ended September 30, 2024, compared to the nine months ended September 30, 2023.</w:t>
      </w:r>
    </w:p>
    <w:p>
      <w:pPr>
        <w:spacing w:after="0" w:line="17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b w:val="1"/>
          <w:bCs w:val="1"/>
          <w:i w:val="1"/>
          <w:iCs w:val="1"/>
          <w:color w:val="auto"/>
        </w:rPr>
        <w:t>Cost of Revenues and Gross Margin</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The following table sets forth cost of revenues and gross margin of our reportable segments: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98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Cost of Revenues</w:t>
            </w: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Gross Margin</w:t>
            </w:r>
          </w:p>
        </w:tc>
        <w:tc>
          <w:tcPr>
            <w:tcW w:w="1100" w:type="dxa"/>
            <w:vAlign w:val="bottom"/>
          </w:tcPr>
          <w:p>
            <w:pPr>
              <w:spacing w:after="0"/>
              <w:rPr>
                <w:sz w:val="16"/>
                <w:szCs w:val="16"/>
                <w:color w:val="auto"/>
              </w:rPr>
            </w:pPr>
          </w:p>
        </w:tc>
      </w:tr>
      <w:tr>
        <w:trPr>
          <w:trHeight w:val="24"/>
        </w:trPr>
        <w:tc>
          <w:tcPr>
            <w:tcW w:w="2360" w:type="dxa"/>
            <w:vAlign w:val="bottom"/>
          </w:tcPr>
          <w:p>
            <w:pPr>
              <w:spacing w:after="0"/>
              <w:rPr>
                <w:sz w:val="2"/>
                <w:szCs w:val="2"/>
                <w:color w:val="auto"/>
              </w:rPr>
            </w:pPr>
          </w:p>
        </w:tc>
        <w:tc>
          <w:tcPr>
            <w:tcW w:w="2620" w:type="dxa"/>
            <w:vAlign w:val="bottom"/>
            <w:tcBorders>
              <w:bottom w:val="single" w:sz="8" w:color="auto"/>
            </w:tcBorders>
            <w:gridSpan w:val="6"/>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940" w:type="dxa"/>
            <w:vAlign w:val="bottom"/>
            <w:tcBorders>
              <w:bottom w:val="single" w:sz="8" w:color="auto"/>
            </w:tcBorders>
            <w:gridSpan w:val="4"/>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3"/>
        </w:trPr>
        <w:tc>
          <w:tcPr>
            <w:tcW w:w="2360" w:type="dxa"/>
            <w:vAlign w:val="bottom"/>
          </w:tcPr>
          <w:p>
            <w:pPr>
              <w:spacing w:after="0"/>
              <w:rPr>
                <w:sz w:val="15"/>
                <w:szCs w:val="15"/>
                <w:color w:val="auto"/>
              </w:rPr>
            </w:pPr>
          </w:p>
        </w:tc>
        <w:tc>
          <w:tcPr>
            <w:tcW w:w="2620" w:type="dxa"/>
            <w:vAlign w:val="bottom"/>
            <w:gridSpan w:val="6"/>
          </w:tcPr>
          <w:p>
            <w:pPr>
              <w:ind w:left="2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60" w:type="dxa"/>
            <w:vAlign w:val="bottom"/>
          </w:tcPr>
          <w:p>
            <w:pPr>
              <w:spacing w:after="0"/>
              <w:rPr>
                <w:sz w:val="15"/>
                <w:szCs w:val="15"/>
                <w:color w:val="auto"/>
              </w:rPr>
            </w:pPr>
          </w:p>
        </w:tc>
        <w:tc>
          <w:tcPr>
            <w:tcW w:w="8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Dollar</w:t>
            </w: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940" w:type="dxa"/>
            <w:vAlign w:val="bottom"/>
            <w:gridSpan w:val="4"/>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100" w:type="dxa"/>
            <w:vAlign w:val="bottom"/>
          </w:tcPr>
          <w:p>
            <w:pPr>
              <w:jc w:val="right"/>
              <w:ind w:right="138"/>
              <w:spacing w:after="0"/>
              <w:rPr>
                <w:sz w:val="20"/>
                <w:szCs w:val="20"/>
                <w:color w:val="auto"/>
              </w:rPr>
            </w:pPr>
            <w:r>
              <w:rPr>
                <w:rFonts w:ascii="Times New Roman" w:cs="Times New Roman" w:eastAsia="Times New Roman" w:hAnsi="Times New Roman"/>
                <w:sz w:val="14"/>
                <w:szCs w:val="14"/>
                <w:b w:val="1"/>
                <w:bCs w:val="1"/>
                <w:color w:val="auto"/>
              </w:rPr>
              <w:t>Percentage</w:t>
            </w:r>
          </w:p>
        </w:tc>
      </w:tr>
      <w:tr>
        <w:trPr>
          <w:trHeight w:val="191"/>
        </w:trPr>
        <w:tc>
          <w:tcPr>
            <w:tcW w:w="2360" w:type="dxa"/>
            <w:vAlign w:val="bottom"/>
          </w:tcPr>
          <w:p>
            <w:pPr>
              <w:spacing w:after="0"/>
              <w:rPr>
                <w:sz w:val="16"/>
                <w:szCs w:val="16"/>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ind w:right="37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Percentage change</w:t>
            </w:r>
          </w:p>
        </w:tc>
        <w:tc>
          <w:tcPr>
            <w:tcW w:w="1280" w:type="dxa"/>
            <w:vAlign w:val="bottom"/>
            <w:tcBorders>
              <w:top w:val="single" w:sz="8" w:color="auto"/>
            </w:tcBorders>
          </w:tcPr>
          <w:p>
            <w:pPr>
              <w:jc w:val="right"/>
              <w:ind w:right="41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jc w:val="right"/>
              <w:ind w:right="49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100" w:type="dxa"/>
            <w:vAlign w:val="bottom"/>
          </w:tcPr>
          <w:p>
            <w:pPr>
              <w:jc w:val="right"/>
              <w:ind w:right="258"/>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90"/>
        </w:trPr>
        <w:tc>
          <w:tcPr>
            <w:tcW w:w="2360" w:type="dxa"/>
            <w:vAlign w:val="bottom"/>
          </w:tcPr>
          <w:p>
            <w:pPr>
              <w:spacing w:after="0"/>
              <w:rPr>
                <w:sz w:val="16"/>
                <w:szCs w:val="16"/>
                <w:color w:val="auto"/>
              </w:rPr>
            </w:pPr>
          </w:p>
        </w:tc>
        <w:tc>
          <w:tcPr>
            <w:tcW w:w="2520" w:type="dxa"/>
            <w:vAlign w:val="bottom"/>
            <w:tcBorders>
              <w:top w:val="single" w:sz="8" w:color="auto"/>
            </w:tcBorders>
            <w:gridSpan w:val="5"/>
          </w:tcPr>
          <w:p>
            <w:pPr>
              <w:jc w:val="right"/>
              <w:ind w:right="598"/>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r>
      <w:tr>
        <w:trPr>
          <w:trHeight w:val="229"/>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Insurance</w:t>
            </w:r>
          </w:p>
        </w:tc>
        <w:tc>
          <w:tcPr>
            <w:tcW w:w="760" w:type="dxa"/>
            <w:vAlign w:val="bottom"/>
            <w:shd w:val="clear" w:color="auto" w:fill="CCEEFF"/>
          </w:tcPr>
          <w:p>
            <w:pPr>
              <w:jc w:val="right"/>
              <w:ind w:right="563"/>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288.1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253.1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35.0</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13.9 %</w:t>
            </w:r>
          </w:p>
        </w:tc>
        <w:tc>
          <w:tcPr>
            <w:tcW w:w="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36.3 %</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35.2 %</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1.1 %</w:t>
            </w:r>
          </w:p>
        </w:tc>
      </w:tr>
      <w:tr>
        <w:trPr>
          <w:trHeight w:val="223"/>
        </w:trPr>
        <w:tc>
          <w:tcPr>
            <w:tcW w:w="2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Healthcare</w:t>
            </w:r>
          </w:p>
        </w:tc>
        <w:tc>
          <w:tcPr>
            <w:tcW w:w="7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6.6 %</w:t>
            </w:r>
          </w:p>
        </w:tc>
        <w:tc>
          <w:tcPr>
            <w:tcW w:w="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33.6 %</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33.9 %</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w:t>
            </w:r>
          </w:p>
        </w:tc>
      </w:tr>
      <w:tr>
        <w:trPr>
          <w:trHeight w:val="223"/>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Emerging Business</w:t>
            </w:r>
          </w:p>
        </w:tc>
        <w:tc>
          <w:tcPr>
            <w:tcW w:w="7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133.9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22.5</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20.2 %</w:t>
            </w:r>
          </w:p>
        </w:tc>
        <w:tc>
          <w:tcPr>
            <w:tcW w:w="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42.2 %</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43.9 %</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w:t>
            </w:r>
          </w:p>
        </w:tc>
      </w:tr>
      <w:tr>
        <w:trPr>
          <w:trHeight w:val="223"/>
        </w:trPr>
        <w:tc>
          <w:tcPr>
            <w:tcW w:w="2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Analytics</w:t>
            </w:r>
          </w:p>
        </w:tc>
        <w:tc>
          <w:tcPr>
            <w:tcW w:w="7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9"/>
              </w:rPr>
              <w:t>370.9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343.3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27.6</w:t>
            </w:r>
          </w:p>
        </w:tc>
        <w:tc>
          <w:tcPr>
            <w:tcW w:w="8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8.0 %</w:t>
            </w:r>
          </w:p>
        </w:tc>
        <w:tc>
          <w:tcPr>
            <w:tcW w:w="8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37.0 %</w:t>
            </w:r>
          </w:p>
        </w:tc>
        <w:tc>
          <w:tcPr>
            <w:tcW w:w="10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37.3 %</w:t>
            </w:r>
          </w:p>
        </w:tc>
        <w:tc>
          <w:tcPr>
            <w:tcW w:w="10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(0.3)%</w:t>
            </w:r>
          </w:p>
        </w:tc>
      </w:tr>
      <w:tr>
        <w:trPr>
          <w:trHeight w:val="241"/>
        </w:trPr>
        <w:tc>
          <w:tcPr>
            <w:tcW w:w="2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760" w:type="dxa"/>
            <w:vAlign w:val="bottom"/>
            <w:tcBorders>
              <w:bottom w:val="single" w:sz="8" w:color="auto"/>
            </w:tcBorders>
            <w:shd w:val="clear" w:color="auto" w:fill="CCEEFF"/>
          </w:tcPr>
          <w:p>
            <w:pPr>
              <w:jc w:val="right"/>
              <w:ind w:right="563"/>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849.3</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760.7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88.6</w:t>
            </w:r>
          </w:p>
        </w:tc>
        <w:tc>
          <w:tcPr>
            <w:tcW w:w="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11.7 %</w:t>
            </w:r>
          </w:p>
        </w:tc>
        <w:tc>
          <w:tcPr>
            <w:tcW w:w="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37.4 %</w:t>
            </w:r>
          </w:p>
        </w:tc>
        <w:tc>
          <w:tcPr>
            <w:tcW w:w="10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37.5 %</w:t>
            </w: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w:t>
            </w:r>
          </w:p>
        </w:tc>
      </w:tr>
      <w:tr>
        <w:trPr>
          <w:trHeight w:val="20"/>
        </w:trPr>
        <w:tc>
          <w:tcPr>
            <w:tcW w:w="23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837"/>
        </w:trPr>
        <w:tc>
          <w:tcPr>
            <w:tcW w:w="2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jc w:val="right"/>
              <w:ind w:right="57"/>
              <w:spacing w:after="0"/>
              <w:rPr>
                <w:sz w:val="20"/>
                <w:szCs w:val="20"/>
                <w:color w:val="auto"/>
              </w:rPr>
            </w:pPr>
            <w:r>
              <w:rPr>
                <w:rFonts w:ascii="Times New Roman" w:cs="Times New Roman" w:eastAsia="Times New Roman" w:hAnsi="Times New Roman"/>
                <w:sz w:val="17"/>
                <w:szCs w:val="17"/>
                <w:color w:val="auto"/>
              </w:rPr>
              <w:t>48</w:t>
            </w: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12"/>
        </w:trPr>
        <w:tc>
          <w:tcPr>
            <w:tcW w:w="236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2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4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both"/>
        <w:ind w:firstLine="498"/>
        <w:spacing w:after="0" w:line="270" w:lineRule="auto"/>
        <w:rPr>
          <w:sz w:val="20"/>
          <w:szCs w:val="20"/>
          <w:color w:val="auto"/>
        </w:rPr>
      </w:pPr>
      <w:r>
        <w:rPr>
          <w:rFonts w:ascii="Times New Roman" w:cs="Times New Roman" w:eastAsia="Times New Roman" w:hAnsi="Times New Roman"/>
          <w:sz w:val="17"/>
          <w:szCs w:val="17"/>
          <w:color w:val="auto"/>
        </w:rPr>
        <w:t>Cost of revenues for the nine months ended September 30, 2024 increased by $88.6 million, or 11.7%, compared to the nine months ended September 30, 2023. The increase in cost of revenues was primarily due to increases in employee-related costs including restructuring costs and technology costs, partially offset by foreign exchange gain, net of hedging. Our gross margin for the nine months ended September 30, 2024 was 37.4% compared to 37.5% for the nine months ended September 30, 2023, a decrease of 10 bps.</w:t>
      </w:r>
    </w:p>
    <w:p>
      <w:pPr>
        <w:spacing w:after="0" w:line="183" w:lineRule="exact"/>
        <w:rPr>
          <w:sz w:val="20"/>
          <w:szCs w:val="20"/>
          <w:color w:val="auto"/>
        </w:rPr>
      </w:pPr>
    </w:p>
    <w:p>
      <w:pPr>
        <w:jc w:val="both"/>
        <w:ind w:firstLine="393"/>
        <w:spacing w:after="0" w:line="246" w:lineRule="auto"/>
        <w:rPr>
          <w:sz w:val="20"/>
          <w:szCs w:val="20"/>
          <w:color w:val="auto"/>
        </w:rPr>
      </w:pPr>
      <w:r>
        <w:rPr>
          <w:rFonts w:ascii="Times New Roman" w:cs="Times New Roman" w:eastAsia="Times New Roman" w:hAnsi="Times New Roman"/>
          <w:sz w:val="17"/>
          <w:szCs w:val="17"/>
          <w:color w:val="auto"/>
        </w:rPr>
        <w:t>The increase in cost of revenues in Insurance of $35.0 million for the nine months ended September 30, 2024 was primarily due to increases in employee-related costs of $30.9 million on account of higher headcount, restructuring costs and wage inflation, higher technology costs of $3.9 million on account of increased subscription to cloud-based software licenses and use of the hybrid working model, higher facilities costs of $3.0 million and higher other operating costs of $1.6 million, partially offset by foreign exchange gain, net of hedging of $4.4 million. Gross margin in Insurance increased by 110 bps during the nine months ended September 30, 2024, compared to the nine months ended September 30, 2023, primarily due to higher revenues and operational efficiencies during the nine months ended September 30, 2024, compared to the nine months ended September 30, 2023.</w:t>
      </w:r>
    </w:p>
    <w:p>
      <w:pPr>
        <w:spacing w:after="0" w:line="201" w:lineRule="exact"/>
        <w:rPr>
          <w:sz w:val="20"/>
          <w:szCs w:val="20"/>
          <w:color w:val="auto"/>
        </w:rPr>
      </w:pPr>
    </w:p>
    <w:p>
      <w:pPr>
        <w:jc w:val="both"/>
        <w:ind w:firstLine="393"/>
        <w:spacing w:after="0" w:line="249" w:lineRule="auto"/>
        <w:rPr>
          <w:sz w:val="20"/>
          <w:szCs w:val="20"/>
          <w:color w:val="auto"/>
        </w:rPr>
      </w:pPr>
      <w:r>
        <w:rPr>
          <w:rFonts w:ascii="Times New Roman" w:cs="Times New Roman" w:eastAsia="Times New Roman" w:hAnsi="Times New Roman"/>
          <w:sz w:val="17"/>
          <w:szCs w:val="17"/>
          <w:color w:val="auto"/>
        </w:rPr>
        <w:t>The increase in cost of revenues in Healthcare of $3.5 million for the nine months ended September 30, 2024 was primarily due to increases in employee-related costs of $4.4 million on account of higher headcount and wage inflation and higher technology costs of $0.6 million on account of increased subscription to cloud-based software licenses and use of the hybrid working model, partially offset by lower other operating costs of $0.3 million and foreign exchange gain, net of hedging of $1.2 million. Gross margin in Healthcare decreased by 30 bps during the nine months ended September 30, 2024, compared to the nine months ended September 30, 2023, primarily due to increases in employee-related costs, partially offset by higher revenues during the nine months ended September 30, 2024, compared to the nine months ended September 30, 2023.</w:t>
      </w:r>
    </w:p>
    <w:p>
      <w:pPr>
        <w:spacing w:after="0" w:line="199" w:lineRule="exact"/>
        <w:rPr>
          <w:sz w:val="20"/>
          <w:szCs w:val="20"/>
          <w:color w:val="auto"/>
        </w:rPr>
      </w:pPr>
    </w:p>
    <w:p>
      <w:pPr>
        <w:jc w:val="both"/>
        <w:ind w:firstLine="393"/>
        <w:spacing w:after="0" w:line="246" w:lineRule="auto"/>
        <w:rPr>
          <w:sz w:val="20"/>
          <w:szCs w:val="20"/>
          <w:color w:val="auto"/>
        </w:rPr>
      </w:pPr>
      <w:r>
        <w:rPr>
          <w:rFonts w:ascii="Times New Roman" w:cs="Times New Roman" w:eastAsia="Times New Roman" w:hAnsi="Times New Roman"/>
          <w:sz w:val="17"/>
          <w:szCs w:val="17"/>
          <w:color w:val="auto"/>
        </w:rPr>
        <w:t>The increase in cost of revenues in Emerging Business of $22.5 million for the nine months ended September 30, 2024 was primarily due to increases in employee-related costs of $21.7 million on account of higher headcount, restructuring costs and wage inflation, higher technology costs of $2.0 million on account of increased subscription to cloud-based software licenses and use of the hybrid working model and higher other operating costs of $1.3 million, partially offset by foreign exchange gain, net of hedging of $2.5 million. Gross margin in Emerging Business decreased by 170 bps during the nine months ended September 30, 2024, compared to the nine months ended September 30, 2023, primarily due to investment in ramp-ups for certain new and existing clients during the nine months ended September 30, 2024, compared to the nine months ended September 30, 2023.</w:t>
      </w:r>
    </w:p>
    <w:p>
      <w:pPr>
        <w:spacing w:after="0" w:line="201" w:lineRule="exact"/>
        <w:rPr>
          <w:sz w:val="20"/>
          <w:szCs w:val="20"/>
          <w:color w:val="auto"/>
        </w:rPr>
      </w:pPr>
    </w:p>
    <w:p>
      <w:pPr>
        <w:jc w:val="both"/>
        <w:ind w:firstLine="393"/>
        <w:spacing w:after="0" w:line="248" w:lineRule="auto"/>
        <w:rPr>
          <w:sz w:val="20"/>
          <w:szCs w:val="20"/>
          <w:color w:val="auto"/>
        </w:rPr>
      </w:pPr>
      <w:r>
        <w:rPr>
          <w:rFonts w:ascii="Times New Roman" w:cs="Times New Roman" w:eastAsia="Times New Roman" w:hAnsi="Times New Roman"/>
          <w:sz w:val="17"/>
          <w:szCs w:val="17"/>
          <w:color w:val="auto"/>
        </w:rPr>
        <w:t>The increase in cost of revenues in Analytics of $27.6 million for the nine months ended September 30, 2024 was primarily due to increases in employee-related costs of $23.5 million on account of higher headcount, restructuring costs and wage inflation, including incremental cost related to our August 2024 acquisition of ITI Data, and higher technology costs of $6.5 million on account of increased subscription to cloud-based software licenses and use of the hybrid working model, partially offset by lower other operating costs of $1.0 million and foreign exchange gain, net of hedging of $1.4 million. Gross margin in Analytics decreased by 30 bps during the nine months ended September 30, 2024, compared to the nine months ended September 30, 2023, primarily due to the impact of restructuring costs of 40 bps and increases in employee-related costs, partially offset by higher revenues during the nine months ended September 30, 2024, compared to the nine months ended September 30,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Selling, General and Administrative (“SG&amp;A”) Expenses.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040" w:type="dxa"/>
            <w:vAlign w:val="bottom"/>
          </w:tcPr>
          <w:p>
            <w:pPr>
              <w:spacing w:after="0"/>
              <w:rPr>
                <w:sz w:val="16"/>
                <w:szCs w:val="16"/>
                <w:color w:val="auto"/>
              </w:rPr>
            </w:pPr>
          </w:p>
        </w:tc>
        <w:tc>
          <w:tcPr>
            <w:tcW w:w="26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504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Dollar Change</w:t>
            </w:r>
          </w:p>
        </w:tc>
        <w:tc>
          <w:tcPr>
            <w:tcW w:w="1420" w:type="dxa"/>
            <w:vAlign w:val="bottom"/>
            <w:vMerge w:val="restart"/>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rPr>
              <w:t>Percentage change</w:t>
            </w:r>
          </w:p>
        </w:tc>
        <w:tc>
          <w:tcPr>
            <w:tcW w:w="0" w:type="dxa"/>
            <w:vAlign w:val="bottom"/>
          </w:tcPr>
          <w:p>
            <w:pPr>
              <w:spacing w:after="0"/>
              <w:rPr>
                <w:sz w:val="1"/>
                <w:szCs w:val="1"/>
                <w:color w:val="auto"/>
              </w:rPr>
            </w:pPr>
          </w:p>
        </w:tc>
      </w:tr>
      <w:tr>
        <w:trPr>
          <w:trHeight w:val="184"/>
        </w:trPr>
        <w:tc>
          <w:tcPr>
            <w:tcW w:w="50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jc w:val="right"/>
              <w:ind w:right="58"/>
              <w:spacing w:after="0"/>
              <w:rPr>
                <w:sz w:val="20"/>
                <w:szCs w:val="20"/>
                <w:color w:val="auto"/>
              </w:rPr>
            </w:pPr>
            <w:r>
              <w:rPr>
                <w:rFonts w:ascii="Times New Roman" w:cs="Times New Roman" w:eastAsia="Times New Roman" w:hAnsi="Times New Roman"/>
                <w:sz w:val="14"/>
                <w:szCs w:val="14"/>
                <w:b w:val="1"/>
                <w:bCs w:val="1"/>
                <w:color w:val="auto"/>
              </w:rPr>
              <w:t>2023</w:t>
            </w: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14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040" w:type="dxa"/>
            <w:vAlign w:val="bottom"/>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700" w:type="dxa"/>
            <w:vAlign w:val="bottom"/>
            <w:tcBorders>
              <w:top w:val="single" w:sz="8" w:color="auto"/>
            </w:tcBorders>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5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General and administrative expenses</w:t>
            </w:r>
          </w:p>
        </w:tc>
        <w:tc>
          <w:tcPr>
            <w:tcW w:w="920" w:type="dxa"/>
            <w:vAlign w:val="bottom"/>
            <w:shd w:val="clear" w:color="auto" w:fill="CCEEFF"/>
          </w:tcPr>
          <w:p>
            <w:pPr>
              <w:jc w:val="right"/>
              <w:ind w:right="741"/>
              <w:spacing w:after="0"/>
              <w:rPr>
                <w:sz w:val="20"/>
                <w:szCs w:val="20"/>
                <w:color w:val="auto"/>
              </w:rPr>
            </w:pPr>
            <w:r>
              <w:rPr>
                <w:rFonts w:ascii="Times New Roman" w:cs="Times New Roman" w:eastAsia="Times New Roman" w:hAnsi="Times New Roman"/>
                <w:sz w:val="17"/>
                <w:szCs w:val="17"/>
                <w:color w:val="auto"/>
                <w:w w:val="93"/>
              </w:rPr>
              <w:t>$</w:t>
            </w:r>
          </w:p>
        </w:tc>
        <w:tc>
          <w:tcPr>
            <w:tcW w:w="5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167.2</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898"/>
              <w:spacing w:after="0"/>
              <w:rPr>
                <w:sz w:val="20"/>
                <w:szCs w:val="20"/>
                <w:color w:val="auto"/>
              </w:rPr>
            </w:pPr>
            <w:r>
              <w:rPr>
                <w:rFonts w:ascii="Times New Roman" w:cs="Times New Roman" w:eastAsia="Times New Roman" w:hAnsi="Times New Roman"/>
                <w:sz w:val="17"/>
                <w:szCs w:val="17"/>
                <w:color w:val="auto"/>
                <w:w w:val="93"/>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144.5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22.7</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15.7 %</w:t>
            </w:r>
          </w:p>
        </w:tc>
        <w:tc>
          <w:tcPr>
            <w:tcW w:w="0" w:type="dxa"/>
            <w:vAlign w:val="bottom"/>
          </w:tcPr>
          <w:p>
            <w:pPr>
              <w:spacing w:after="0"/>
              <w:rPr>
                <w:sz w:val="1"/>
                <w:szCs w:val="1"/>
                <w:color w:val="auto"/>
              </w:rPr>
            </w:pPr>
          </w:p>
        </w:tc>
      </w:tr>
      <w:tr>
        <w:trPr>
          <w:trHeight w:val="223"/>
        </w:trPr>
        <w:tc>
          <w:tcPr>
            <w:tcW w:w="5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Selling and marketing expenses</w:t>
            </w:r>
          </w:p>
        </w:tc>
        <w:tc>
          <w:tcPr>
            <w:tcW w:w="9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109.0</w:t>
            </w:r>
          </w:p>
        </w:tc>
        <w:tc>
          <w:tcPr>
            <w:tcW w:w="10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88.7</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20.3</w:t>
            </w:r>
          </w:p>
        </w:tc>
        <w:tc>
          <w:tcPr>
            <w:tcW w:w="10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22.9 %</w:t>
            </w:r>
          </w:p>
        </w:tc>
        <w:tc>
          <w:tcPr>
            <w:tcW w:w="0" w:type="dxa"/>
            <w:vAlign w:val="bottom"/>
          </w:tcPr>
          <w:p>
            <w:pPr>
              <w:spacing w:after="0"/>
              <w:rPr>
                <w:sz w:val="1"/>
                <w:szCs w:val="1"/>
                <w:color w:val="auto"/>
              </w:rPr>
            </w:pPr>
          </w:p>
        </w:tc>
      </w:tr>
      <w:tr>
        <w:trPr>
          <w:trHeight w:val="241"/>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Selling, general and administrative expenses</w:t>
            </w:r>
          </w:p>
        </w:tc>
        <w:tc>
          <w:tcPr>
            <w:tcW w:w="920" w:type="dxa"/>
            <w:vAlign w:val="bottom"/>
            <w:tcBorders>
              <w:bottom w:val="single" w:sz="8" w:color="auto"/>
            </w:tcBorders>
            <w:shd w:val="clear" w:color="auto" w:fill="CCEEFF"/>
          </w:tcPr>
          <w:p>
            <w:pPr>
              <w:jc w:val="right"/>
              <w:ind w:right="741"/>
              <w:spacing w:after="0"/>
              <w:rPr>
                <w:sz w:val="20"/>
                <w:szCs w:val="20"/>
                <w:color w:val="auto"/>
              </w:rPr>
            </w:pPr>
            <w:r>
              <w:rPr>
                <w:rFonts w:ascii="Times New Roman" w:cs="Times New Roman" w:eastAsia="Times New Roman" w:hAnsi="Times New Roman"/>
                <w:sz w:val="17"/>
                <w:szCs w:val="17"/>
                <w:color w:val="auto"/>
                <w:w w:val="93"/>
              </w:rPr>
              <w:t>$</w:t>
            </w:r>
          </w:p>
        </w:tc>
        <w:tc>
          <w:tcPr>
            <w:tcW w:w="52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276.2</w:t>
            </w:r>
          </w:p>
        </w:tc>
        <w:tc>
          <w:tcPr>
            <w:tcW w:w="1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ind w:right="898"/>
              <w:spacing w:after="0"/>
              <w:rPr>
                <w:sz w:val="20"/>
                <w:szCs w:val="20"/>
                <w:color w:val="auto"/>
              </w:rPr>
            </w:pPr>
            <w:r>
              <w:rPr>
                <w:rFonts w:ascii="Times New Roman" w:cs="Times New Roman" w:eastAsia="Times New Roman" w:hAnsi="Times New Roman"/>
                <w:sz w:val="17"/>
                <w:szCs w:val="17"/>
                <w:color w:val="auto"/>
                <w:w w:val="93"/>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233.2</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43.0</w:t>
            </w:r>
          </w:p>
        </w:tc>
        <w:tc>
          <w:tcPr>
            <w:tcW w:w="1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18.4 %</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jc w:val="both"/>
        <w:ind w:firstLine="393"/>
        <w:spacing w:after="0" w:line="251" w:lineRule="auto"/>
        <w:rPr>
          <w:sz w:val="20"/>
          <w:szCs w:val="20"/>
          <w:color w:val="auto"/>
        </w:rPr>
      </w:pPr>
      <w:r>
        <w:rPr>
          <w:rFonts w:ascii="Times New Roman" w:cs="Times New Roman" w:eastAsia="Times New Roman" w:hAnsi="Times New Roman"/>
          <w:sz w:val="17"/>
          <w:szCs w:val="17"/>
          <w:color w:val="auto"/>
        </w:rPr>
        <w:t>The increase in SG&amp;A expenses of $43.0 million was primarily due to higher employee-related costs of $26.4 million on account of higher headcount and wage inflation, including incremental cost related to our August 2024 acquisition of ITI Data, higher investments in digital and generative AI capabilities of $10.9 million, higher sales and marketing spend of $1.2 million, restructuring costs, litigation settlement costs and associated legal fees of $3.1 million and higher other operating costs of $2.3 million. This was partially offset by foreign exchange gain, net of hedging of $0.9 million, during the nine months ended September 30, 2024, compared to the nine months ended September 30, 2023.</w:t>
      </w:r>
    </w:p>
    <w:p>
      <w:pPr>
        <w:spacing w:after="0" w:line="20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b w:val="1"/>
          <w:bCs w:val="1"/>
          <w:i w:val="1"/>
          <w:iCs w:val="1"/>
          <w:color w:val="auto"/>
        </w:rPr>
        <w:t>Depreciation and Amortization.</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4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9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Dollar Change</w:t>
            </w:r>
          </w:p>
        </w:tc>
        <w:tc>
          <w:tcPr>
            <w:tcW w:w="1560" w:type="dxa"/>
            <w:vAlign w:val="bottom"/>
            <w:vMerge w:val="restart"/>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Percentage change</w:t>
            </w:r>
          </w:p>
        </w:tc>
        <w:tc>
          <w:tcPr>
            <w:tcW w:w="0" w:type="dxa"/>
            <w:vAlign w:val="bottom"/>
          </w:tcPr>
          <w:p>
            <w:pPr>
              <w:spacing w:after="0"/>
              <w:rPr>
                <w:sz w:val="1"/>
                <w:szCs w:val="1"/>
                <w:color w:val="auto"/>
              </w:rPr>
            </w:pPr>
          </w:p>
        </w:tc>
      </w:tr>
      <w:tr>
        <w:trPr>
          <w:trHeight w:val="184"/>
        </w:trPr>
        <w:tc>
          <w:tcPr>
            <w:tcW w:w="49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tcPr>
          <w:p>
            <w:pPr>
              <w:jc w:val="right"/>
              <w:ind w:right="521"/>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0" w:type="dxa"/>
            <w:vAlign w:val="bottom"/>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15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98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76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8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Depreciation expense</w:t>
            </w:r>
          </w:p>
        </w:tc>
        <w:tc>
          <w:tcPr>
            <w:tcW w:w="26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29.4</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3"/>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shd w:val="clear" w:color="auto" w:fill="CCEEFF"/>
          </w:tcPr>
          <w:p>
            <w:pPr>
              <w:jc w:val="center"/>
              <w:ind w:left="657"/>
              <w:spacing w:after="0"/>
              <w:rPr>
                <w:sz w:val="20"/>
                <w:szCs w:val="20"/>
                <w:color w:val="auto"/>
              </w:rPr>
            </w:pPr>
            <w:r>
              <w:rPr>
                <w:rFonts w:ascii="Times New Roman" w:cs="Times New Roman" w:eastAsia="Times New Roman" w:hAnsi="Times New Roman"/>
                <w:sz w:val="17"/>
                <w:szCs w:val="17"/>
                <w:color w:val="auto"/>
              </w:rPr>
              <w:t>2.7</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10.4 %</w:t>
            </w:r>
          </w:p>
        </w:tc>
        <w:tc>
          <w:tcPr>
            <w:tcW w:w="0" w:type="dxa"/>
            <w:vAlign w:val="bottom"/>
          </w:tcPr>
          <w:p>
            <w:pPr>
              <w:spacing w:after="0"/>
              <w:rPr>
                <w:sz w:val="1"/>
                <w:szCs w:val="1"/>
                <w:color w:val="auto"/>
              </w:rPr>
            </w:pPr>
          </w:p>
        </w:tc>
      </w:tr>
      <w:tr>
        <w:trPr>
          <w:trHeight w:val="223"/>
        </w:trPr>
        <w:tc>
          <w:tcPr>
            <w:tcW w:w="4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Intangible amortization expense</w:t>
            </w: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7"/>
                <w:szCs w:val="17"/>
                <w:color w:val="auto"/>
              </w:rPr>
              <w:t>9.6</w:t>
            </w:r>
          </w:p>
        </w:tc>
        <w:tc>
          <w:tcPr>
            <w:tcW w:w="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11.5</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left="617"/>
              <w:spacing w:after="0"/>
              <w:rPr>
                <w:sz w:val="20"/>
                <w:szCs w:val="20"/>
                <w:color w:val="auto"/>
              </w:rPr>
            </w:pPr>
            <w:r>
              <w:rPr>
                <w:rFonts w:ascii="Times New Roman" w:cs="Times New Roman" w:eastAsia="Times New Roman" w:hAnsi="Times New Roman"/>
                <w:sz w:val="17"/>
                <w:szCs w:val="17"/>
                <w:color w:val="auto"/>
              </w:rPr>
              <w:t>(1.9)</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(16.5)%</w:t>
            </w:r>
          </w:p>
        </w:tc>
        <w:tc>
          <w:tcPr>
            <w:tcW w:w="0" w:type="dxa"/>
            <w:vAlign w:val="bottom"/>
          </w:tcPr>
          <w:p>
            <w:pPr>
              <w:spacing w:after="0"/>
              <w:rPr>
                <w:sz w:val="1"/>
                <w:szCs w:val="1"/>
                <w:color w:val="auto"/>
              </w:rPr>
            </w:pPr>
          </w:p>
        </w:tc>
      </w:tr>
      <w:tr>
        <w:trPr>
          <w:trHeight w:val="241"/>
        </w:trPr>
        <w:tc>
          <w:tcPr>
            <w:tcW w:w="4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Depreciation and amortization expense</w:t>
            </w:r>
          </w:p>
        </w:tc>
        <w:tc>
          <w:tcPr>
            <w:tcW w:w="26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39.0</w:t>
            </w: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93"/>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38.2</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bottom w:val="single" w:sz="8" w:color="auto"/>
            </w:tcBorders>
            <w:shd w:val="clear" w:color="auto" w:fill="CCEEFF"/>
          </w:tcPr>
          <w:p>
            <w:pPr>
              <w:jc w:val="center"/>
              <w:ind w:left="657"/>
              <w:spacing w:after="0"/>
              <w:rPr>
                <w:sz w:val="20"/>
                <w:szCs w:val="20"/>
                <w:color w:val="auto"/>
              </w:rPr>
            </w:pPr>
            <w:r>
              <w:rPr>
                <w:rFonts w:ascii="Times New Roman" w:cs="Times New Roman" w:eastAsia="Times New Roman" w:hAnsi="Times New Roman"/>
                <w:sz w:val="17"/>
                <w:szCs w:val="17"/>
                <w:color w:val="auto"/>
              </w:rPr>
              <w:t>0.8</w:t>
            </w:r>
          </w:p>
        </w:tc>
        <w:tc>
          <w:tcPr>
            <w:tcW w:w="10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2.3 %</w:t>
            </w:r>
          </w:p>
        </w:tc>
        <w:tc>
          <w:tcPr>
            <w:tcW w:w="0" w:type="dxa"/>
            <w:vAlign w:val="bottom"/>
          </w:tcPr>
          <w:p>
            <w:pPr>
              <w:spacing w:after="0"/>
              <w:rPr>
                <w:sz w:val="1"/>
                <w:szCs w:val="1"/>
                <w:color w:val="auto"/>
              </w:rPr>
            </w:pP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jc w:val="both"/>
        <w:ind w:firstLine="393"/>
        <w:spacing w:after="0" w:line="249" w:lineRule="auto"/>
        <w:rPr>
          <w:sz w:val="20"/>
          <w:szCs w:val="20"/>
          <w:color w:val="auto"/>
        </w:rPr>
      </w:pPr>
      <w:r>
        <w:rPr>
          <w:rFonts w:ascii="Times New Roman" w:cs="Times New Roman" w:eastAsia="Times New Roman" w:hAnsi="Times New Roman"/>
          <w:sz w:val="17"/>
          <w:szCs w:val="17"/>
          <w:color w:val="auto"/>
        </w:rPr>
        <w:t>The increase in depreciation expense of $2.7 million was primarily due to investments in digital capabilities, computers and networking equipment during the nine months ended September 30, 2024, compared to the nine months ended September 30, 2023. The decrease in intangibles amortization expense of $1.9 million was primarily due to end of useful lives for certain intangible assets, partially offset by amortization of intangibles associated with our acquisition of ITI Data in August 2024, during the nine months ended September 30, 2024, compared to the nine months ended September 30, 2023.</w:t>
      </w:r>
    </w:p>
    <w:p>
      <w:pPr>
        <w:spacing w:after="0" w:line="208" w:lineRule="exact"/>
        <w:rPr>
          <w:sz w:val="20"/>
          <w:szCs w:val="20"/>
          <w:color w:val="auto"/>
        </w:rPr>
      </w:pPr>
    </w:p>
    <w:p>
      <w:pPr>
        <w:jc w:val="both"/>
        <w:ind w:firstLine="402"/>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 xml:space="preserve">Income from Operations. </w:t>
      </w:r>
      <w:r>
        <w:rPr>
          <w:rFonts w:ascii="Times New Roman" w:cs="Times New Roman" w:eastAsia="Times New Roman" w:hAnsi="Times New Roman"/>
          <w:sz w:val="17"/>
          <w:szCs w:val="17"/>
          <w:color w:val="auto"/>
        </w:rPr>
        <w:t>Income from operations increased by $7.9 million, or 4.3%, from $184.5 million for the nine months ended September 30, 2023</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to $192.4 million for the nine months ended September 30, 2024, primarily due to higher revenues, partially offset by higher SG&amp;A expenses during the nine months ended September 30, 2024.</w:t>
      </w:r>
    </w:p>
    <w:p>
      <w:pPr>
        <w:spacing w:after="0" w:line="184" w:lineRule="exact"/>
        <w:rPr>
          <w:sz w:val="20"/>
          <w:szCs w:val="20"/>
          <w:color w:val="auto"/>
        </w:rPr>
      </w:pPr>
    </w:p>
    <w:p>
      <w:pPr>
        <w:jc w:val="both"/>
        <w:ind w:firstLine="393"/>
        <w:spacing w:after="0" w:line="263" w:lineRule="auto"/>
        <w:rPr>
          <w:sz w:val="20"/>
          <w:szCs w:val="20"/>
          <w:color w:val="auto"/>
        </w:rPr>
      </w:pPr>
      <w:r>
        <w:rPr>
          <w:rFonts w:ascii="Times New Roman" w:cs="Times New Roman" w:eastAsia="Times New Roman" w:hAnsi="Times New Roman"/>
          <w:sz w:val="17"/>
          <w:szCs w:val="17"/>
          <w:b w:val="1"/>
          <w:bCs w:val="1"/>
          <w:i w:val="1"/>
          <w:iCs w:val="1"/>
          <w:color w:val="auto"/>
        </w:rPr>
        <w:t xml:space="preserve">Foreign Exchange Gain, net. </w:t>
      </w:r>
      <w:r>
        <w:rPr>
          <w:rFonts w:ascii="Times New Roman" w:cs="Times New Roman" w:eastAsia="Times New Roman" w:hAnsi="Times New Roman"/>
          <w:sz w:val="17"/>
          <w:szCs w:val="17"/>
          <w:color w:val="auto"/>
        </w:rPr>
        <w:t>Foreign exchange gains and losses are primarily attributable to the movement of the U.S. dollar against the Indian rupee,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the Philippine peso, the U.K. pound sterling and the South African rand during the nine months ended September 30, 2024, compared to the nine months ended September 30, 2023. The average exchange rate of the U.S. dollar against the Indian rupee increased from 82.38 during the nine months ended September 30, 2023 to 83.44 during the nine months ended September 30, 2024. The average exchange rate of the U.S. dollar against the Philippine peso increased from 55.46 during the nine months ended September 30, 2023 to 57.12 during the nine months ended September 30, 2024. The average exchange rate of the U.K. pound sterling against the U.S. dollar increased from 1.25 during the nine months ended September 30, 2023 to 1.28 during the nine months ended September 30, 2024. The average exchange rate of the U.S. dollar against the South African rand decreased from 18.47 during the nine months ended September 30, 2023 to 18.41 during the nine months ended September 30, 2024.</w:t>
      </w:r>
    </w:p>
    <w:p>
      <w:pPr>
        <w:spacing w:after="0" w:line="205" w:lineRule="exact"/>
        <w:rPr>
          <w:sz w:val="20"/>
          <w:szCs w:val="20"/>
          <w:color w:val="auto"/>
        </w:rPr>
      </w:pPr>
    </w:p>
    <w:p>
      <w:pPr>
        <w:jc w:val="both"/>
        <w:ind w:firstLine="393"/>
        <w:spacing w:after="0" w:line="297" w:lineRule="auto"/>
        <w:rPr>
          <w:sz w:val="20"/>
          <w:szCs w:val="20"/>
          <w:color w:val="auto"/>
        </w:rPr>
      </w:pPr>
      <w:r>
        <w:rPr>
          <w:rFonts w:ascii="Times New Roman" w:cs="Times New Roman" w:eastAsia="Times New Roman" w:hAnsi="Times New Roman"/>
          <w:sz w:val="17"/>
          <w:szCs w:val="17"/>
          <w:color w:val="auto"/>
        </w:rPr>
        <w:t>We recorded a foreign exchange gain, net of $0.8 million for the nine months ended September 30, 2023 compared to a foreign exchange gain, net of $0.7 million for the nine months ended September 30, 2024.</w:t>
      </w:r>
    </w:p>
    <w:p>
      <w:pPr>
        <w:spacing w:after="0" w:line="168" w:lineRule="exact"/>
        <w:rPr>
          <w:sz w:val="20"/>
          <w:szCs w:val="20"/>
          <w:color w:val="auto"/>
        </w:rPr>
      </w:pPr>
    </w:p>
    <w:p>
      <w:pPr>
        <w:jc w:val="both"/>
        <w:ind w:firstLine="402"/>
        <w:spacing w:after="0" w:line="271" w:lineRule="auto"/>
        <w:rPr>
          <w:sz w:val="20"/>
          <w:szCs w:val="20"/>
          <w:color w:val="auto"/>
        </w:rPr>
      </w:pPr>
      <w:r>
        <w:rPr>
          <w:rFonts w:ascii="Times New Roman" w:cs="Times New Roman" w:eastAsia="Times New Roman" w:hAnsi="Times New Roman"/>
          <w:sz w:val="17"/>
          <w:szCs w:val="17"/>
          <w:b w:val="1"/>
          <w:bCs w:val="1"/>
          <w:i w:val="1"/>
          <w:iCs w:val="1"/>
          <w:color w:val="auto"/>
        </w:rPr>
        <w:t xml:space="preserve">Interest expense. </w:t>
      </w:r>
      <w:r>
        <w:rPr>
          <w:rFonts w:ascii="Times New Roman" w:cs="Times New Roman" w:eastAsia="Times New Roman" w:hAnsi="Times New Roman"/>
          <w:sz w:val="17"/>
          <w:szCs w:val="17"/>
          <w:color w:val="auto"/>
        </w:rPr>
        <w:t>Interest expense increased from $10.0 million for the nine months ended September 30, 2023 to $14.1 million for the nine months ended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September 30, 2024, primarily due to higher average borrowings during the nine months ended September 30, 2024, compared to the nine months ended September 30,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b w:val="1"/>
          <w:bCs w:val="1"/>
          <w:i w:val="1"/>
          <w:iCs w:val="1"/>
          <w:color w:val="auto"/>
        </w:rPr>
        <w:t>Other Income, net.</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900" w:type="dxa"/>
            <w:vAlign w:val="bottom"/>
          </w:tcPr>
          <w:p>
            <w:pPr>
              <w:spacing w:after="0"/>
              <w:rPr>
                <w:sz w:val="16"/>
                <w:szCs w:val="16"/>
                <w:color w:val="auto"/>
              </w:rPr>
            </w:pPr>
          </w:p>
        </w:tc>
        <w:tc>
          <w:tcPr>
            <w:tcW w:w="2860" w:type="dxa"/>
            <w:vAlign w:val="bottom"/>
            <w:gridSpan w:val="6"/>
          </w:tcPr>
          <w:p>
            <w:pPr>
              <w:ind w:left="3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59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300" w:type="dxa"/>
            <w:vAlign w:val="bottom"/>
            <w:vMerge w:val="restart"/>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Percentage change</w:t>
            </w:r>
          </w:p>
        </w:tc>
        <w:tc>
          <w:tcPr>
            <w:tcW w:w="0" w:type="dxa"/>
            <w:vAlign w:val="bottom"/>
          </w:tcPr>
          <w:p>
            <w:pPr>
              <w:spacing w:after="0"/>
              <w:rPr>
                <w:sz w:val="1"/>
                <w:szCs w:val="1"/>
                <w:color w:val="auto"/>
              </w:rPr>
            </w:pPr>
          </w:p>
        </w:tc>
      </w:tr>
      <w:tr>
        <w:trPr>
          <w:trHeight w:val="184"/>
        </w:trPr>
        <w:tc>
          <w:tcPr>
            <w:tcW w:w="5900" w:type="dxa"/>
            <w:vAlign w:val="bottom"/>
          </w:tcPr>
          <w:p>
            <w:pPr>
              <w:spacing w:after="0"/>
              <w:rPr>
                <w:sz w:val="15"/>
                <w:szCs w:val="15"/>
                <w:color w:val="auto"/>
              </w:rPr>
            </w:pPr>
          </w:p>
        </w:tc>
        <w:tc>
          <w:tcPr>
            <w:tcW w:w="960" w:type="dxa"/>
            <w:vAlign w:val="bottom"/>
          </w:tcPr>
          <w:p>
            <w:pPr>
              <w:jc w:val="right"/>
              <w:ind w:right="21"/>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3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5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Gain on sale and mark-to-market on investments</w:t>
            </w:r>
          </w:p>
        </w:tc>
        <w:tc>
          <w:tcPr>
            <w:tcW w:w="960" w:type="dxa"/>
            <w:vAlign w:val="bottom"/>
            <w:tcBorders>
              <w:top w:val="single" w:sz="8" w:color="auto"/>
            </w:tcBorders>
            <w:shd w:val="clear" w:color="auto" w:fill="CCEEFF"/>
          </w:tcPr>
          <w:p>
            <w:pPr>
              <w:jc w:val="right"/>
              <w:ind w:right="761"/>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top w:val="single" w:sz="8" w:color="auto"/>
            </w:tcBorders>
            <w:shd w:val="clear" w:color="auto" w:fill="CCEEFF"/>
          </w:tcPr>
          <w:p>
            <w:pPr>
              <w:jc w:val="center"/>
              <w:ind w:left="516"/>
              <w:spacing w:after="0"/>
              <w:rPr>
                <w:sz w:val="20"/>
                <w:szCs w:val="20"/>
                <w:color w:val="auto"/>
              </w:rPr>
            </w:pPr>
            <w:r>
              <w:rPr>
                <w:rFonts w:ascii="Times New Roman" w:cs="Times New Roman" w:eastAsia="Times New Roman" w:hAnsi="Times New Roman"/>
                <w:sz w:val="17"/>
                <w:szCs w:val="17"/>
                <w:color w:val="auto"/>
              </w:rPr>
              <w:t>4.1</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top w:val="single" w:sz="8" w:color="auto"/>
            </w:tcBorders>
            <w:shd w:val="clear" w:color="auto" w:fill="CCEEFF"/>
          </w:tcPr>
          <w:p>
            <w:pPr>
              <w:jc w:val="center"/>
              <w:ind w:left="416"/>
              <w:spacing w:after="0"/>
              <w:rPr>
                <w:sz w:val="20"/>
                <w:szCs w:val="20"/>
                <w:color w:val="auto"/>
              </w:rPr>
            </w:pPr>
            <w:r>
              <w:rPr>
                <w:rFonts w:ascii="Times New Roman" w:cs="Times New Roman" w:eastAsia="Times New Roman" w:hAnsi="Times New Roman"/>
                <w:sz w:val="17"/>
                <w:szCs w:val="17"/>
                <w:color w:val="auto"/>
              </w:rPr>
              <w:t>(0.2)</w:t>
            </w:r>
          </w:p>
        </w:tc>
        <w:tc>
          <w:tcPr>
            <w:tcW w:w="10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w:t>
            </w:r>
          </w:p>
        </w:tc>
        <w:tc>
          <w:tcPr>
            <w:tcW w:w="0" w:type="dxa"/>
            <w:vAlign w:val="bottom"/>
          </w:tcPr>
          <w:p>
            <w:pPr>
              <w:spacing w:after="0"/>
              <w:rPr>
                <w:sz w:val="1"/>
                <w:szCs w:val="1"/>
                <w:color w:val="auto"/>
              </w:rPr>
            </w:pPr>
          </w:p>
        </w:tc>
      </w:tr>
      <w:tr>
        <w:trPr>
          <w:trHeight w:val="223"/>
        </w:trPr>
        <w:tc>
          <w:tcPr>
            <w:tcW w:w="5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Interest and dividend income</w:t>
            </w:r>
          </w:p>
        </w:tc>
        <w:tc>
          <w:tcPr>
            <w:tcW w:w="9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center"/>
              <w:ind w:left="516"/>
              <w:spacing w:after="0"/>
              <w:rPr>
                <w:sz w:val="20"/>
                <w:szCs w:val="20"/>
                <w:color w:val="auto"/>
              </w:rPr>
            </w:pPr>
            <w:r>
              <w:rPr>
                <w:rFonts w:ascii="Times New Roman" w:cs="Times New Roman" w:eastAsia="Times New Roman" w:hAnsi="Times New Roman"/>
                <w:sz w:val="17"/>
                <w:szCs w:val="17"/>
                <w:color w:val="auto"/>
              </w:rPr>
              <w:t>5.5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center"/>
              <w:ind w:left="456"/>
              <w:spacing w:after="0"/>
              <w:rPr>
                <w:sz w:val="20"/>
                <w:szCs w:val="20"/>
                <w:color w:val="auto"/>
              </w:rPr>
            </w:pPr>
            <w:r>
              <w:rPr>
                <w:rFonts w:ascii="Times New Roman" w:cs="Times New Roman" w:eastAsia="Times New Roman" w:hAnsi="Times New Roman"/>
                <w:sz w:val="17"/>
                <w:szCs w:val="17"/>
                <w:color w:val="auto"/>
              </w:rPr>
              <w:t>1.7</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31.5 %</w:t>
            </w:r>
          </w:p>
        </w:tc>
        <w:tc>
          <w:tcPr>
            <w:tcW w:w="0" w:type="dxa"/>
            <w:vAlign w:val="bottom"/>
          </w:tcPr>
          <w:p>
            <w:pPr>
              <w:spacing w:after="0"/>
              <w:rPr>
                <w:sz w:val="1"/>
                <w:szCs w:val="1"/>
                <w:color w:val="auto"/>
              </w:rPr>
            </w:pPr>
          </w:p>
        </w:tc>
      </w:tr>
      <w:tr>
        <w:trPr>
          <w:trHeight w:val="223"/>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Fair value changes of contingent consideration</w:t>
            </w:r>
          </w:p>
        </w:tc>
        <w:tc>
          <w:tcPr>
            <w:tcW w:w="9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center"/>
              <w:ind w:left="476"/>
              <w:spacing w:after="0"/>
              <w:rPr>
                <w:sz w:val="20"/>
                <w:szCs w:val="20"/>
                <w:color w:val="auto"/>
              </w:rPr>
            </w:pPr>
            <w:r>
              <w:rPr>
                <w:rFonts w:ascii="Times New Roman" w:cs="Times New Roman" w:eastAsia="Times New Roman" w:hAnsi="Times New Roman"/>
                <w:sz w:val="17"/>
                <w:szCs w:val="17"/>
                <w:color w:val="auto"/>
              </w:rPr>
              <w:t>(2.5)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center"/>
              <w:ind w:left="456"/>
              <w:spacing w:after="0"/>
              <w:rPr>
                <w:sz w:val="20"/>
                <w:szCs w:val="20"/>
                <w:color w:val="auto"/>
              </w:rPr>
            </w:pPr>
            <w:r>
              <w:rPr>
                <w:rFonts w:ascii="Times New Roman" w:cs="Times New Roman" w:eastAsia="Times New Roman" w:hAnsi="Times New Roman"/>
                <w:sz w:val="17"/>
                <w:szCs w:val="17"/>
                <w:color w:val="auto"/>
              </w:rPr>
              <w:t>3.1</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(123.6)%</w:t>
            </w:r>
          </w:p>
        </w:tc>
        <w:tc>
          <w:tcPr>
            <w:tcW w:w="0" w:type="dxa"/>
            <w:vAlign w:val="bottom"/>
          </w:tcPr>
          <w:p>
            <w:pPr>
              <w:spacing w:after="0"/>
              <w:rPr>
                <w:sz w:val="1"/>
                <w:szCs w:val="1"/>
                <w:color w:val="auto"/>
              </w:rPr>
            </w:pPr>
          </w:p>
        </w:tc>
      </w:tr>
      <w:tr>
        <w:trPr>
          <w:trHeight w:val="223"/>
        </w:trPr>
        <w:tc>
          <w:tcPr>
            <w:tcW w:w="5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 net</w:t>
            </w:r>
          </w:p>
        </w:tc>
        <w:tc>
          <w:tcPr>
            <w:tcW w:w="9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left="476"/>
              <w:spacing w:after="0"/>
              <w:rPr>
                <w:sz w:val="20"/>
                <w:szCs w:val="20"/>
                <w:color w:val="auto"/>
              </w:rPr>
            </w:pPr>
            <w:r>
              <w:rPr>
                <w:rFonts w:ascii="Times New Roman" w:cs="Times New Roman" w:eastAsia="Times New Roman" w:hAnsi="Times New Roman"/>
                <w:sz w:val="17"/>
                <w:szCs w:val="17"/>
                <w:color w:val="auto"/>
              </w:rPr>
              <w:t>(0.5)</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center"/>
              <w:ind w:left="456"/>
              <w:spacing w:after="0"/>
              <w:rPr>
                <w:sz w:val="20"/>
                <w:szCs w:val="20"/>
                <w:color w:val="auto"/>
              </w:rPr>
            </w:pPr>
            <w:r>
              <w:rPr>
                <w:rFonts w:ascii="Times New Roman" w:cs="Times New Roman" w:eastAsia="Times New Roman" w:hAnsi="Times New Roman"/>
                <w:sz w:val="17"/>
                <w:szCs w:val="17"/>
                <w:color w:val="auto"/>
              </w:rPr>
              <w:t>0.6</w:t>
            </w:r>
          </w:p>
        </w:tc>
        <w:tc>
          <w:tcPr>
            <w:tcW w:w="10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(129.7)%</w:t>
            </w:r>
          </w:p>
        </w:tc>
        <w:tc>
          <w:tcPr>
            <w:tcW w:w="0" w:type="dxa"/>
            <w:vAlign w:val="bottom"/>
          </w:tcPr>
          <w:p>
            <w:pPr>
              <w:spacing w:after="0"/>
              <w:rPr>
                <w:sz w:val="1"/>
                <w:szCs w:val="1"/>
                <w:color w:val="auto"/>
              </w:rPr>
            </w:pPr>
          </w:p>
        </w:tc>
      </w:tr>
      <w:tr>
        <w:trPr>
          <w:trHeight w:val="241"/>
        </w:trPr>
        <w:tc>
          <w:tcPr>
            <w:tcW w:w="5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income, net</w:t>
            </w:r>
          </w:p>
        </w:tc>
        <w:tc>
          <w:tcPr>
            <w:tcW w:w="960" w:type="dxa"/>
            <w:vAlign w:val="bottom"/>
            <w:tcBorders>
              <w:bottom w:val="single" w:sz="8" w:color="auto"/>
            </w:tcBorders>
            <w:shd w:val="clear" w:color="auto" w:fill="CCEEFF"/>
          </w:tcPr>
          <w:p>
            <w:pPr>
              <w:jc w:val="right"/>
              <w:ind w:right="761"/>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shd w:val="clear" w:color="auto" w:fill="CCEEFF"/>
          </w:tcPr>
          <w:p>
            <w:pPr>
              <w:jc w:val="center"/>
              <w:ind w:left="516"/>
              <w:spacing w:after="0"/>
              <w:rPr>
                <w:sz w:val="20"/>
                <w:szCs w:val="20"/>
                <w:color w:val="auto"/>
              </w:rPr>
            </w:pPr>
            <w:r>
              <w:rPr>
                <w:rFonts w:ascii="Times New Roman" w:cs="Times New Roman" w:eastAsia="Times New Roman" w:hAnsi="Times New Roman"/>
                <w:sz w:val="17"/>
                <w:szCs w:val="17"/>
                <w:color w:val="auto"/>
              </w:rPr>
              <w:t>6.6</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shd w:val="clear" w:color="auto" w:fill="CCEEFF"/>
          </w:tcPr>
          <w:p>
            <w:pPr>
              <w:jc w:val="center"/>
              <w:ind w:left="456"/>
              <w:spacing w:after="0"/>
              <w:rPr>
                <w:sz w:val="20"/>
                <w:szCs w:val="20"/>
                <w:color w:val="auto"/>
              </w:rPr>
            </w:pPr>
            <w:r>
              <w:rPr>
                <w:rFonts w:ascii="Times New Roman" w:cs="Times New Roman" w:eastAsia="Times New Roman" w:hAnsi="Times New Roman"/>
                <w:sz w:val="17"/>
                <w:szCs w:val="17"/>
                <w:color w:val="auto"/>
              </w:rPr>
              <w:t>5.2</w:t>
            </w:r>
          </w:p>
        </w:tc>
        <w:tc>
          <w:tcPr>
            <w:tcW w:w="1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80.1 %</w:t>
            </w:r>
          </w:p>
        </w:tc>
        <w:tc>
          <w:tcPr>
            <w:tcW w:w="0" w:type="dxa"/>
            <w:vAlign w:val="bottom"/>
          </w:tcPr>
          <w:p>
            <w:pPr>
              <w:spacing w:after="0"/>
              <w:rPr>
                <w:sz w:val="1"/>
                <w:szCs w:val="1"/>
                <w:color w:val="auto"/>
              </w:rPr>
            </w:pPr>
          </w:p>
        </w:tc>
      </w:tr>
      <w:tr>
        <w:trPr>
          <w:trHeight w:val="20"/>
        </w:trPr>
        <w:tc>
          <w:tcPr>
            <w:tcW w:w="59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jc w:val="both"/>
        <w:ind w:firstLine="393"/>
        <w:spacing w:after="0" w:line="251" w:lineRule="auto"/>
        <w:rPr>
          <w:sz w:val="20"/>
          <w:szCs w:val="20"/>
          <w:color w:val="auto"/>
        </w:rPr>
      </w:pPr>
      <w:r>
        <w:rPr>
          <w:rFonts w:ascii="Times New Roman" w:cs="Times New Roman" w:eastAsia="Times New Roman" w:hAnsi="Times New Roman"/>
          <w:sz w:val="17"/>
          <w:szCs w:val="17"/>
          <w:color w:val="auto"/>
        </w:rPr>
        <w:t>Other income, net increased by $5.2 million, from $6.6 million for the nine months ended September 30, 2023 to $11.8 million for the nine months ended September 30, 2024. The increase is primarily due to higher yield on our investments of $1.5 million, lower other expenses of $0.6 million, a decrease of $0.6 million in contingent consideration liability related to our June 2022 acquisition of Inbound Media Group, LLC as a result of fair value adjustment during the nine months ended September 30, 2024, and recognition of contingent consideration liability of $2.5 million related to our December 2021 acquisition of Clairvoyant during the nine months ended September 30, 2023.</w:t>
      </w:r>
    </w:p>
    <w:p>
      <w:pPr>
        <w:spacing w:after="0" w:line="193" w:lineRule="exact"/>
        <w:rPr>
          <w:sz w:val="20"/>
          <w:szCs w:val="20"/>
          <w:color w:val="auto"/>
        </w:rPr>
      </w:pPr>
    </w:p>
    <w:p>
      <w:pPr>
        <w:jc w:val="both"/>
        <w:ind w:firstLine="402"/>
        <w:spacing w:after="0"/>
        <w:rPr>
          <w:sz w:val="20"/>
          <w:szCs w:val="20"/>
          <w:color w:val="auto"/>
        </w:rPr>
      </w:pPr>
      <w:r>
        <w:rPr>
          <w:rFonts w:ascii="Times New Roman" w:cs="Times New Roman" w:eastAsia="Times New Roman" w:hAnsi="Times New Roman"/>
          <w:sz w:val="17"/>
          <w:szCs w:val="17"/>
          <w:b w:val="1"/>
          <w:bCs w:val="1"/>
          <w:i w:val="1"/>
          <w:iCs w:val="1"/>
          <w:color w:val="auto"/>
        </w:rPr>
        <w:t xml:space="preserve">Income Tax Expense. </w:t>
      </w:r>
      <w:r>
        <w:rPr>
          <w:rFonts w:ascii="Times New Roman" w:cs="Times New Roman" w:eastAsia="Times New Roman" w:hAnsi="Times New Roman"/>
          <w:sz w:val="17"/>
          <w:szCs w:val="17"/>
          <w:color w:val="auto"/>
        </w:rPr>
        <w:t>The effective tax rate increased from 20.8% during the nine months ended September 30, 2023 to 22.6% during the nine months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ended September 30, 2024. We recorded income tax expense of $43.1 million and $37.8 million for the nine months ended September 30, 2024 and 2023, respectively. The increase in income tax expense was primarily as a result of higher profit during the nine months ended September 30, 2024, compared to the nine months ended September 30, 2023 and lower excess tax benefits related to stock-based compensation during the nine months ended September 30, 2024, compared to the nine months ended September 30, 2023.</w:t>
      </w:r>
    </w:p>
    <w:p>
      <w:pPr>
        <w:spacing w:after="0" w:line="190" w:lineRule="exact"/>
        <w:rPr>
          <w:sz w:val="20"/>
          <w:szCs w:val="20"/>
          <w:color w:val="auto"/>
        </w:rPr>
      </w:pPr>
    </w:p>
    <w:p>
      <w:pPr>
        <w:jc w:val="both"/>
        <w:ind w:firstLine="393"/>
        <w:spacing w:after="0" w:line="256" w:lineRule="auto"/>
        <w:rPr>
          <w:sz w:val="20"/>
          <w:szCs w:val="20"/>
          <w:color w:val="auto"/>
        </w:rPr>
      </w:pPr>
      <w:r>
        <w:rPr>
          <w:rFonts w:ascii="Times New Roman" w:cs="Times New Roman" w:eastAsia="Times New Roman" w:hAnsi="Times New Roman"/>
          <w:sz w:val="17"/>
          <w:szCs w:val="17"/>
          <w:b w:val="1"/>
          <w:bCs w:val="1"/>
          <w:i w:val="1"/>
          <w:iCs w:val="1"/>
          <w:color w:val="auto"/>
        </w:rPr>
        <w:t xml:space="preserve">Net Income. </w:t>
      </w:r>
      <w:r>
        <w:rPr>
          <w:rFonts w:ascii="Times New Roman" w:cs="Times New Roman" w:eastAsia="Times New Roman" w:hAnsi="Times New Roman"/>
          <w:sz w:val="17"/>
          <w:szCs w:val="17"/>
          <w:color w:val="auto"/>
        </w:rPr>
        <w:t>Net income increased from $144.3 million for the nine months ended September 30, 2023 to $147.6 million for the nine months ended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September 30, 2024, primarily due to an increase in income from operations of $7.9 million and higher other income, net of $5.2 million, partially offset by higher income tax expense of $5.3 million, higher interest expense of $4.1 million, loss from equity-method investment of $0.3 million and lower foreign exchange gain, net of $0.1 million.</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Liquidity and Capital Resources</w:t>
      </w:r>
    </w:p>
    <w:p>
      <w:pPr>
        <w:spacing w:after="0" w:line="274" w:lineRule="exact"/>
        <w:rPr>
          <w:sz w:val="20"/>
          <w:szCs w:val="20"/>
          <w:color w:val="auto"/>
        </w:rPr>
      </w:pPr>
    </w:p>
    <w:tbl>
      <w:tblPr>
        <w:tblLayout w:type="fixed"/>
        <w:tblInd w:w="640" w:type="dxa"/>
        <w:tblCellMar>
          <w:top w:w="0" w:type="dxa"/>
          <w:left w:w="0" w:type="dxa"/>
          <w:bottom w:w="0" w:type="dxa"/>
          <w:right w:w="0" w:type="dxa"/>
        </w:tblCellMar>
      </w:tblPr>
      <w:tr>
        <w:trPr>
          <w:trHeight w:val="185"/>
        </w:trPr>
        <w:tc>
          <w:tcPr>
            <w:tcW w:w="4880" w:type="dxa"/>
            <w:vAlign w:val="bottom"/>
          </w:tcPr>
          <w:p>
            <w:pPr>
              <w:spacing w:after="0"/>
              <w:rPr>
                <w:sz w:val="16"/>
                <w:szCs w:val="16"/>
                <w:color w:val="auto"/>
              </w:rPr>
            </w:pPr>
          </w:p>
        </w:tc>
        <w:tc>
          <w:tcPr>
            <w:tcW w:w="2700" w:type="dxa"/>
            <w:vAlign w:val="bottom"/>
            <w:gridSpan w:val="5"/>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88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Dollar Change</w:t>
            </w:r>
          </w:p>
        </w:tc>
        <w:tc>
          <w:tcPr>
            <w:tcW w:w="1440" w:type="dxa"/>
            <w:vAlign w:val="bottom"/>
            <w:vMerge w:val="restart"/>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Percentage Change</w:t>
            </w:r>
          </w:p>
        </w:tc>
        <w:tc>
          <w:tcPr>
            <w:tcW w:w="0" w:type="dxa"/>
            <w:vAlign w:val="bottom"/>
          </w:tcPr>
          <w:p>
            <w:pPr>
              <w:spacing w:after="0"/>
              <w:rPr>
                <w:sz w:val="1"/>
                <w:szCs w:val="1"/>
                <w:color w:val="auto"/>
              </w:rPr>
            </w:pPr>
          </w:p>
        </w:tc>
      </w:tr>
      <w:tr>
        <w:trPr>
          <w:trHeight w:val="184"/>
        </w:trPr>
        <w:tc>
          <w:tcPr>
            <w:tcW w:w="48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880" w:type="dxa"/>
            <w:vAlign w:val="bottom"/>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Opening cash, cash equivalents and restricted cash</w:t>
            </w:r>
          </w:p>
        </w:tc>
        <w:tc>
          <w:tcPr>
            <w:tcW w:w="820" w:type="dxa"/>
            <w:vAlign w:val="bottom"/>
            <w:shd w:val="clear" w:color="auto" w:fill="CCEEFF"/>
          </w:tcPr>
          <w:p>
            <w:pPr>
              <w:jc w:val="right"/>
              <w:ind w:right="621"/>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19.8</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15.7 %</w:t>
            </w:r>
          </w:p>
        </w:tc>
        <w:tc>
          <w:tcPr>
            <w:tcW w:w="0" w:type="dxa"/>
            <w:vAlign w:val="bottom"/>
          </w:tcPr>
          <w:p>
            <w:pPr>
              <w:spacing w:after="0"/>
              <w:rPr>
                <w:sz w:val="1"/>
                <w:szCs w:val="1"/>
                <w:color w:val="auto"/>
              </w:rPr>
            </w:pPr>
          </w:p>
        </w:tc>
      </w:tr>
      <w:tr>
        <w:trPr>
          <w:trHeight w:val="223"/>
        </w:trPr>
        <w:tc>
          <w:tcPr>
            <w:tcW w:w="4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cash provided by operating activities</w:t>
            </w:r>
          </w:p>
        </w:tc>
        <w:tc>
          <w:tcPr>
            <w:tcW w:w="8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163.2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132.2</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31.0</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23.5 %</w:t>
            </w:r>
          </w:p>
        </w:tc>
        <w:tc>
          <w:tcPr>
            <w:tcW w:w="0" w:type="dxa"/>
            <w:vAlign w:val="bottom"/>
          </w:tcPr>
          <w:p>
            <w:pPr>
              <w:spacing w:after="0"/>
              <w:rPr>
                <w:sz w:val="1"/>
                <w:szCs w:val="1"/>
                <w:color w:val="auto"/>
              </w:rPr>
            </w:pPr>
          </w:p>
        </w:tc>
      </w:tr>
      <w:tr>
        <w:trPr>
          <w:trHeight w:val="223"/>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(used for)/provided by investing activities</w:t>
            </w:r>
          </w:p>
        </w:tc>
        <w:tc>
          <w:tcPr>
            <w:tcW w:w="8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(105.9)</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(926.0)%</w:t>
            </w:r>
          </w:p>
        </w:tc>
        <w:tc>
          <w:tcPr>
            <w:tcW w:w="0" w:type="dxa"/>
            <w:vAlign w:val="bottom"/>
          </w:tcPr>
          <w:p>
            <w:pPr>
              <w:spacing w:after="0"/>
              <w:rPr>
                <w:sz w:val="1"/>
                <w:szCs w:val="1"/>
                <w:color w:val="auto"/>
              </w:rPr>
            </w:pPr>
          </w:p>
        </w:tc>
      </w:tr>
      <w:tr>
        <w:trPr>
          <w:trHeight w:val="223"/>
        </w:trPr>
        <w:tc>
          <w:tcPr>
            <w:tcW w:w="4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cash used for financing activities</w:t>
            </w:r>
          </w:p>
        </w:tc>
        <w:tc>
          <w:tcPr>
            <w:tcW w:w="8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(141.0)</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88.8</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(63.0)%</w:t>
            </w:r>
          </w:p>
        </w:tc>
        <w:tc>
          <w:tcPr>
            <w:tcW w:w="0" w:type="dxa"/>
            <w:vAlign w:val="bottom"/>
          </w:tcPr>
          <w:p>
            <w:pPr>
              <w:spacing w:after="0"/>
              <w:rPr>
                <w:sz w:val="1"/>
                <w:szCs w:val="1"/>
                <w:color w:val="auto"/>
              </w:rPr>
            </w:pPr>
          </w:p>
        </w:tc>
      </w:tr>
      <w:tr>
        <w:trPr>
          <w:trHeight w:val="223"/>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Effect of exchange rate changes</w:t>
            </w:r>
          </w:p>
        </w:tc>
        <w:tc>
          <w:tcPr>
            <w:tcW w:w="82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w:t>
            </w: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10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(561.8)%</w:t>
            </w:r>
          </w:p>
        </w:tc>
        <w:tc>
          <w:tcPr>
            <w:tcW w:w="0" w:type="dxa"/>
            <w:vAlign w:val="bottom"/>
          </w:tcPr>
          <w:p>
            <w:pPr>
              <w:spacing w:after="0"/>
              <w:rPr>
                <w:sz w:val="1"/>
                <w:szCs w:val="1"/>
                <w:color w:val="auto"/>
              </w:rPr>
            </w:pPr>
          </w:p>
        </w:tc>
      </w:tr>
      <w:tr>
        <w:trPr>
          <w:trHeight w:val="216"/>
        </w:trPr>
        <w:tc>
          <w:tcPr>
            <w:tcW w:w="4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Closing cash, cash equivalents and restricted cash</w:t>
            </w:r>
          </w:p>
        </w:tc>
        <w:tc>
          <w:tcPr>
            <w:tcW w:w="820" w:type="dxa"/>
            <w:vAlign w:val="bottom"/>
            <w:tcBorders>
              <w:bottom w:val="single" w:sz="8" w:color="auto"/>
            </w:tcBorders>
          </w:tcPr>
          <w:p>
            <w:pPr>
              <w:jc w:val="right"/>
              <w:ind w:right="621"/>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163.3</w:t>
            </w:r>
          </w:p>
        </w:tc>
        <w:tc>
          <w:tcPr>
            <w:tcW w:w="100" w:type="dxa"/>
            <w:vAlign w:val="bottom"/>
          </w:tcPr>
          <w:p>
            <w:pPr>
              <w:spacing w:after="0"/>
              <w:rPr>
                <w:sz w:val="18"/>
                <w:szCs w:val="18"/>
                <w:color w:val="auto"/>
              </w:rPr>
            </w:pPr>
          </w:p>
        </w:tc>
        <w:tc>
          <w:tcPr>
            <w:tcW w:w="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127.9</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35.4</w:t>
            </w:r>
          </w:p>
        </w:tc>
        <w:tc>
          <w:tcPr>
            <w:tcW w:w="100" w:type="dxa"/>
            <w:vAlign w:val="bottom"/>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27.6 %</w:t>
            </w: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0" w:lineRule="exact"/>
        <w:rPr>
          <w:sz w:val="20"/>
          <w:szCs w:val="20"/>
          <w:color w:val="auto"/>
        </w:rPr>
      </w:pPr>
    </w:p>
    <w:p>
      <w:pPr>
        <w:jc w:val="both"/>
        <w:ind w:firstLine="393"/>
        <w:spacing w:after="0" w:line="246" w:lineRule="auto"/>
        <w:rPr>
          <w:sz w:val="20"/>
          <w:szCs w:val="20"/>
          <w:color w:val="auto"/>
        </w:rPr>
      </w:pPr>
      <w:r>
        <w:rPr>
          <w:rFonts w:ascii="Times New Roman" w:cs="Times New Roman" w:eastAsia="Times New Roman" w:hAnsi="Times New Roman"/>
          <w:sz w:val="17"/>
          <w:szCs w:val="17"/>
          <w:color w:val="auto"/>
        </w:rPr>
        <w:t>As of September 30, 2024 and 2023, we had $325.8 million and $274.2 million, respectively, in cash, cash equivalents and short-term investments, of which $288.5 million and $256.5 million, respectively, is located in foreign jurisdictions that upon distribution may be subject to withholding and other taxes. We periodically evaluate opportunities to distribute cash among our group entities to fund our operations, expand our business and make strategic acquisitions in the United States and other geographies, and as and when we decide to distribute, we may have to accrue in the year of distribution any additional taxes required in accordance with local tax laws, rules and regulations in the relevant foreign jurisdictions. During the nine months ended September 30, 2024, one of our subsidiaries in India repatriated $18.3 million (net of $1.0 million withholding taxes) to the United States.</w:t>
      </w:r>
    </w:p>
    <w:p>
      <w:pPr>
        <w:spacing w:after="0" w:line="199" w:lineRule="exact"/>
        <w:rPr>
          <w:sz w:val="20"/>
          <w:szCs w:val="20"/>
          <w:color w:val="auto"/>
        </w:rPr>
      </w:pPr>
    </w:p>
    <w:p>
      <w:pPr>
        <w:jc w:val="both"/>
        <w:ind w:firstLine="393"/>
        <w:spacing w:after="0" w:line="250" w:lineRule="auto"/>
        <w:rPr>
          <w:sz w:val="20"/>
          <w:szCs w:val="20"/>
          <w:color w:val="auto"/>
        </w:rPr>
      </w:pPr>
      <w:r>
        <w:rPr>
          <w:rFonts w:ascii="Times New Roman" w:cs="Times New Roman" w:eastAsia="Times New Roman" w:hAnsi="Times New Roman"/>
          <w:sz w:val="17"/>
          <w:szCs w:val="17"/>
          <w:i w:val="1"/>
          <w:iCs w:val="1"/>
          <w:color w:val="auto"/>
        </w:rPr>
        <w:t xml:space="preserve">Operating Activities: </w:t>
      </w:r>
      <w:r>
        <w:rPr>
          <w:rFonts w:ascii="Times New Roman" w:cs="Times New Roman" w:eastAsia="Times New Roman" w:hAnsi="Times New Roman"/>
          <w:sz w:val="17"/>
          <w:szCs w:val="17"/>
          <w:color w:val="auto"/>
        </w:rPr>
        <w:t>Cash provided by operating activities were $163.2 million during the nine months ended September 30, 2024, compared to $132.2</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million during nine months ended September 30, 2023, reflecting higher cash earnings and lower working capital needs. The major drivers contributing to the increase of $31.0 million year-over-year included the following:</w:t>
      </w:r>
    </w:p>
    <w:p>
      <w:pPr>
        <w:spacing w:after="0" w:line="1" w:lineRule="exact"/>
        <w:rPr>
          <w:sz w:val="20"/>
          <w:szCs w:val="20"/>
          <w:color w:val="auto"/>
        </w:rPr>
      </w:pPr>
    </w:p>
    <w:p>
      <w:pPr>
        <w:jc w:val="both"/>
        <w:ind w:left="640" w:hanging="320"/>
        <w:spacing w:after="0" w:line="246" w:lineRule="auto"/>
        <w:tabs>
          <w:tab w:leader="none" w:pos="635"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 in cash earnings including adjustments for non-cash and other items contributed higher cash flow of $4.5 million during the nine months ended September 30, 2024, compared to the nine months ended September 30, 2023. These adjustments include fair value mark-to-market of investments, unrealized foreign currency exchange (gain)/loss, net, stock-based compensation expense, fair value changes in contingent consideration, depreciation and amortization of long-lived assets and intangibles acquired in business combination, among others.</w:t>
      </w:r>
    </w:p>
    <w:p>
      <w:pPr>
        <w:spacing w:after="0" w:line="201" w:lineRule="exact"/>
        <w:rPr>
          <w:rFonts w:ascii="Times New Roman" w:cs="Times New Roman" w:eastAsia="Times New Roman" w:hAnsi="Times New Roman"/>
          <w:sz w:val="17"/>
          <w:szCs w:val="17"/>
          <w:color w:val="auto"/>
        </w:rPr>
      </w:pPr>
    </w:p>
    <w:p>
      <w:pPr>
        <w:jc w:val="both"/>
        <w:ind w:left="640" w:hanging="320"/>
        <w:spacing w:after="0" w:line="253" w:lineRule="auto"/>
        <w:tabs>
          <w:tab w:leader="none" w:pos="635"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accounts receivable, including advance billings, contributed higher cash flow of $15.3 million in the nine months ended September 30, 2024, compared to the nine months ended September 30, 2023. Collections in accounts receivable, including advance billings, was driven by revenue growth during the nine months ended September 30, 2024. Our days sales outstanding remained flat at 64 days as of September 30, 2024 and 2023.</w:t>
      </w:r>
    </w:p>
    <w:p>
      <w:pPr>
        <w:spacing w:after="0" w:line="194" w:lineRule="exact"/>
        <w:rPr>
          <w:rFonts w:ascii="Times New Roman" w:cs="Times New Roman" w:eastAsia="Times New Roman" w:hAnsi="Times New Roman"/>
          <w:sz w:val="17"/>
          <w:szCs w:val="17"/>
          <w:color w:val="auto"/>
        </w:rPr>
      </w:pPr>
    </w:p>
    <w:p>
      <w:pPr>
        <w:ind w:left="640" w:hanging="320"/>
        <w:spacing w:after="0" w:line="281" w:lineRule="auto"/>
        <w:tabs>
          <w:tab w:leader="none" w:pos="635"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Payment of contingent consideration related to our December 2021 acquisition of Clairvoyant contributed to a higher cash payout of $11.0 million for the nine months ended September 30, 2024, compared to the nine months ended September 30, 2023.</w:t>
      </w:r>
    </w:p>
    <w:p>
      <w:pPr>
        <w:spacing w:after="0" w:line="171" w:lineRule="exact"/>
        <w:rPr>
          <w:rFonts w:ascii="Times New Roman" w:cs="Times New Roman" w:eastAsia="Times New Roman" w:hAnsi="Times New Roman"/>
          <w:sz w:val="17"/>
          <w:szCs w:val="17"/>
          <w:color w:val="auto"/>
        </w:rPr>
      </w:pPr>
    </w:p>
    <w:p>
      <w:pPr>
        <w:ind w:left="640" w:hanging="320"/>
        <w:spacing w:after="0" w:line="281" w:lineRule="auto"/>
        <w:tabs>
          <w:tab w:leader="none" w:pos="635"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other assets, accounts payables including other liabilities contributed to a higher cash flow of $22.2 million for the nine months ended September 30, 2024, compared to the nine months ended September 30, 2023.</w:t>
      </w:r>
    </w:p>
    <w:p>
      <w:pPr>
        <w:spacing w:after="0" w:line="170" w:lineRule="exact"/>
        <w:rPr>
          <w:sz w:val="20"/>
          <w:szCs w:val="20"/>
          <w:color w:val="auto"/>
        </w:rPr>
      </w:pPr>
    </w:p>
    <w:p>
      <w:pPr>
        <w:jc w:val="both"/>
        <w:ind w:firstLine="393"/>
        <w:spacing w:after="0" w:line="249" w:lineRule="auto"/>
        <w:rPr>
          <w:sz w:val="20"/>
          <w:szCs w:val="20"/>
          <w:color w:val="auto"/>
        </w:rPr>
      </w:pPr>
      <w:r>
        <w:rPr>
          <w:rFonts w:ascii="Times New Roman" w:cs="Times New Roman" w:eastAsia="Times New Roman" w:hAnsi="Times New Roman"/>
          <w:sz w:val="17"/>
          <w:szCs w:val="17"/>
          <w:i w:val="1"/>
          <w:iCs w:val="1"/>
          <w:color w:val="auto"/>
        </w:rPr>
        <w:t xml:space="preserve">Investing Activities: </w:t>
      </w:r>
      <w:r>
        <w:rPr>
          <w:rFonts w:ascii="Times New Roman" w:cs="Times New Roman" w:eastAsia="Times New Roman" w:hAnsi="Times New Roman"/>
          <w:sz w:val="17"/>
          <w:szCs w:val="17"/>
          <w:color w:val="auto"/>
        </w:rPr>
        <w:t>Cash used for investing activities were $94.5 million for the nine months ended September 30, 2024, compared to cash provided by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investing activities of $11.4 million for the nine months ended September 30, 2023. The decrease of $105.9 million was primarily due to net purchase of investments of $33.4 million and net cash used for business acquisition of $24.5 million during the nine months ended September 30, 2024, compared to net redemption of investments $52.5 million during the nine months ended September 30, 2023. This was partially offset by lower cash paid for purchase of long-lived assets, including investments in infrastructure, technology assets, digital capabilities of $4.9 million during the nine months ended September 30, 2024, compared to the nine months ended September 30,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ind w:firstLine="393"/>
        <w:spacing w:after="0" w:line="252" w:lineRule="auto"/>
        <w:rPr>
          <w:sz w:val="20"/>
          <w:szCs w:val="20"/>
          <w:color w:val="auto"/>
        </w:rPr>
      </w:pPr>
      <w:r>
        <w:rPr>
          <w:rFonts w:ascii="Times New Roman" w:cs="Times New Roman" w:eastAsia="Times New Roman" w:hAnsi="Times New Roman"/>
          <w:sz w:val="17"/>
          <w:szCs w:val="17"/>
          <w:i w:val="1"/>
          <w:iCs w:val="1"/>
          <w:color w:val="auto"/>
        </w:rPr>
        <w:t xml:space="preserve">Financing Activities: </w:t>
      </w:r>
      <w:r>
        <w:rPr>
          <w:rFonts w:ascii="Times New Roman" w:cs="Times New Roman" w:eastAsia="Times New Roman" w:hAnsi="Times New Roman"/>
          <w:sz w:val="17"/>
          <w:szCs w:val="17"/>
          <w:color w:val="auto"/>
        </w:rPr>
        <w:t>Cash used for financing activities were $52.2 million during the nine months ended September 30, 2024, compared to $141.0 million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during the nine months ended September 30, 2023. The decrease of $88.8 million was primarily due to net proceeds from borrowings under our revolving credit facility and new term loan facility of $145.0 million during the nine months ended September 30, 2024, compared to net repayment of our borrowings of $40.0 million during the nine months ended September 30, 2023. This was partially offset by higher purchases of treasury stock of $95.3 million under our share repurchase programs for the nine months ended September 30, 2024, compared to the nine months ended September 30, 2023.</w:t>
      </w:r>
    </w:p>
    <w:p>
      <w:pPr>
        <w:spacing w:after="0" w:line="208" w:lineRule="exact"/>
        <w:rPr>
          <w:sz w:val="20"/>
          <w:szCs w:val="20"/>
          <w:color w:val="auto"/>
        </w:rPr>
      </w:pPr>
    </w:p>
    <w:p>
      <w:pPr>
        <w:jc w:val="both"/>
        <w:ind w:firstLine="393"/>
        <w:spacing w:after="0" w:line="261" w:lineRule="auto"/>
        <w:rPr>
          <w:sz w:val="20"/>
          <w:szCs w:val="20"/>
          <w:color w:val="auto"/>
        </w:rPr>
      </w:pPr>
      <w:r>
        <w:rPr>
          <w:rFonts w:ascii="Times New Roman" w:cs="Times New Roman" w:eastAsia="Times New Roman" w:hAnsi="Times New Roman"/>
          <w:sz w:val="17"/>
          <w:szCs w:val="17"/>
          <w:color w:val="auto"/>
        </w:rPr>
        <w:t>We expect to use cash from operating activities to maintain and expand our business by making investments, primarily related to building new digital capabilities, including generative AI and purchase telecommunications equipment and computer hardware and software in connection with managing client operations.</w:t>
      </w:r>
    </w:p>
    <w:p>
      <w:pPr>
        <w:spacing w:after="0" w:line="201" w:lineRule="exact"/>
        <w:rPr>
          <w:sz w:val="20"/>
          <w:szCs w:val="20"/>
          <w:color w:val="auto"/>
        </w:rPr>
      </w:pPr>
    </w:p>
    <w:p>
      <w:pPr>
        <w:jc w:val="both"/>
        <w:ind w:firstLine="393"/>
        <w:spacing w:after="0" w:line="261" w:lineRule="auto"/>
        <w:rPr>
          <w:sz w:val="20"/>
          <w:szCs w:val="20"/>
          <w:color w:val="auto"/>
        </w:rPr>
      </w:pPr>
      <w:r>
        <w:rPr>
          <w:rFonts w:ascii="Times New Roman" w:cs="Times New Roman" w:eastAsia="Times New Roman" w:hAnsi="Times New Roman"/>
          <w:sz w:val="17"/>
          <w:szCs w:val="17"/>
          <w:color w:val="auto"/>
        </w:rPr>
        <w:t>We incurred $36.2 million of capital expenditures during the nine months ended September 30, 2024. We expect to incur total capital expenditures of between $48.0 million to $52.0 million in fiscal 2024, primarily to meet our growth requirements, including additions to our facilities as well as investments in technology applications, product development, digital technology, advanced automation, robotics and infrastructure.</w:t>
      </w:r>
    </w:p>
    <w:p>
      <w:pPr>
        <w:spacing w:after="0" w:line="201" w:lineRule="exact"/>
        <w:rPr>
          <w:sz w:val="20"/>
          <w:szCs w:val="20"/>
          <w:color w:val="auto"/>
        </w:rPr>
      </w:pPr>
    </w:p>
    <w:p>
      <w:pPr>
        <w:jc w:val="both"/>
        <w:ind w:firstLine="393"/>
        <w:spacing w:after="0" w:line="261" w:lineRule="auto"/>
        <w:rPr>
          <w:sz w:val="20"/>
          <w:szCs w:val="20"/>
          <w:color w:val="auto"/>
        </w:rPr>
      </w:pPr>
      <w:r>
        <w:rPr>
          <w:rFonts w:ascii="Times New Roman" w:cs="Times New Roman" w:eastAsia="Times New Roman" w:hAnsi="Times New Roman"/>
          <w:sz w:val="17"/>
          <w:szCs w:val="17"/>
          <w:color w:val="auto"/>
        </w:rPr>
        <w:t>In connection with any tax assessment orders that have been issued, or may be issued against us or our subsidiaries, we may be required to deposit additional amounts with the relevant authorities with respect to such assessment orders. See Note 25 - Commitments and Contingencies to our unaudited consolidated financial statements under Part I, Item 1, “Financial Statements” for further details.</w:t>
      </w:r>
    </w:p>
    <w:p>
      <w:pPr>
        <w:spacing w:after="0" w:line="188" w:lineRule="exact"/>
        <w:rPr>
          <w:sz w:val="20"/>
          <w:szCs w:val="20"/>
          <w:color w:val="auto"/>
        </w:rPr>
      </w:pPr>
    </w:p>
    <w:p>
      <w:pPr>
        <w:jc w:val="both"/>
        <w:ind w:firstLine="393"/>
        <w:spacing w:after="0" w:line="246" w:lineRule="auto"/>
        <w:rPr>
          <w:sz w:val="20"/>
          <w:szCs w:val="20"/>
          <w:color w:val="auto"/>
        </w:rPr>
      </w:pPr>
      <w:r>
        <w:rPr>
          <w:rFonts w:ascii="Times New Roman" w:cs="Times New Roman" w:eastAsia="Times New Roman" w:hAnsi="Times New Roman"/>
          <w:sz w:val="17"/>
          <w:szCs w:val="17"/>
          <w:color w:val="auto"/>
        </w:rPr>
        <w:t>We believe that our existing cash, cash equivalents and short-term investments and sources of liquidity will be sufficient to satisfy our cash requirements over the next 12 months. Our future cash requirements will depend on many factors, including our rate of revenue growth, our investments in strategic initiatives, applications or technologies, operation centers and acquisition of complementary businesses, continued stock repurchases under our board-authorized stock repurchase program, which may require the use of significant cash resources and/or additional financing. We anticipate that we will continue to rely upon cash from operating activities to finance most of our above-mentioned requirements, although if we have significant growth through acquisitions or significant stock repurchases, including any shares purchased under an accelerated stock repurchase program, we may need to obtain additional financing.</w:t>
      </w:r>
    </w:p>
    <w:p>
      <w:pPr>
        <w:spacing w:after="0" w:line="214" w:lineRule="exact"/>
        <w:rPr>
          <w:sz w:val="20"/>
          <w:szCs w:val="20"/>
          <w:color w:val="auto"/>
        </w:rPr>
      </w:pPr>
    </w:p>
    <w:p>
      <w:pPr>
        <w:jc w:val="both"/>
        <w:ind w:firstLine="393"/>
        <w:spacing w:after="0" w:line="255" w:lineRule="auto"/>
        <w:rPr>
          <w:sz w:val="20"/>
          <w:szCs w:val="20"/>
          <w:color w:val="auto"/>
        </w:rPr>
      </w:pPr>
      <w:r>
        <w:rPr>
          <w:rFonts w:ascii="Times New Roman" w:cs="Times New Roman" w:eastAsia="Times New Roman" w:hAnsi="Times New Roman"/>
          <w:sz w:val="17"/>
          <w:szCs w:val="17"/>
          <w:color w:val="auto"/>
        </w:rPr>
        <w:t>In the ordinary course of business, we enter into contracts and commitments that obligate us to make payments in the future. These obligations include borrowings, including interest obligations, purchase commitments, operating and finance lease commitments, employee benefit payments under gratuity plans, payments for contingent consideration and uncertain tax positions. See Note 16 - Fair Value Measurements - Fair Value of Contingent Consideration, Note 18 - Borrowings, Note 21 - Leases and Note 25 - Commitments and Contingencies to our unaudited consolidated financial statements under Part I, Item 1, “Financial Statements” for further information on material cash requirements from known contractual and other obligations.</w:t>
      </w:r>
    </w:p>
    <w:p>
      <w:pPr>
        <w:spacing w:after="0" w:line="207" w:lineRule="exact"/>
        <w:rPr>
          <w:sz w:val="20"/>
          <w:szCs w:val="20"/>
          <w:color w:val="auto"/>
        </w:rPr>
      </w:pPr>
    </w:p>
    <w:p>
      <w:pPr>
        <w:jc w:val="both"/>
        <w:ind w:firstLine="393"/>
        <w:spacing w:after="0" w:line="260" w:lineRule="auto"/>
        <w:rPr>
          <w:sz w:val="20"/>
          <w:szCs w:val="20"/>
          <w:color w:val="auto"/>
        </w:rPr>
      </w:pPr>
      <w:r>
        <w:rPr>
          <w:rFonts w:ascii="Times New Roman" w:cs="Times New Roman" w:eastAsia="Times New Roman" w:hAnsi="Times New Roman"/>
          <w:sz w:val="17"/>
          <w:szCs w:val="17"/>
          <w:color w:val="auto"/>
        </w:rPr>
        <w:t>In the ordinary course of business, we provide standby letters of credit to third parties primarily for facility leases. As of September 30, 2024 and December 31, 2023, we had outstanding letters of credit of $0.7 million and $0.5 million, respectively, that were not recognized in our consolidated balance sheets. These are unlikely to have, a current or future material effect on our financial condition, revenues or expenses, results of operations, liquidity, capital expenditures or capital resources. We had no other off-balance sheet arrangements or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Financing Arrangements (Debt Facility)</w:t>
      </w:r>
    </w:p>
    <w:p>
      <w:pPr>
        <w:spacing w:after="0" w:line="21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The following table summarizes our debt position:</w:t>
      </w:r>
    </w:p>
    <w:p>
      <w:pPr>
        <w:spacing w:after="0" w:line="109" w:lineRule="exact"/>
        <w:rPr>
          <w:sz w:val="20"/>
          <w:szCs w:val="20"/>
          <w:color w:val="auto"/>
        </w:rPr>
      </w:pPr>
    </w:p>
    <w:tbl>
      <w:tblPr>
        <w:tblLayout w:type="fixed"/>
        <w:tblInd w:w="400" w:type="dxa"/>
        <w:tblCellMar>
          <w:top w:w="0" w:type="dxa"/>
          <w:left w:w="0" w:type="dxa"/>
          <w:bottom w:w="0" w:type="dxa"/>
          <w:right w:w="0" w:type="dxa"/>
        </w:tblCellMar>
      </w:tblPr>
      <w:tr>
        <w:trPr>
          <w:trHeight w:val="210"/>
        </w:trPr>
        <w:tc>
          <w:tcPr>
            <w:tcW w:w="26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As of</w:t>
            </w:r>
          </w:p>
        </w:tc>
        <w:tc>
          <w:tcPr>
            <w:tcW w:w="9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6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60" w:type="dxa"/>
            <w:vAlign w:val="bottom"/>
            <w:tcBorders>
              <w:bottom w:val="single" w:sz="8" w:color="auto"/>
            </w:tcBorders>
            <w:gridSpan w:val="5"/>
          </w:tcPr>
          <w:p>
            <w:pPr>
              <w:ind w:left="1060"/>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December 31, 2023</w:t>
            </w: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1"/>
        </w:trPr>
        <w:tc>
          <w:tcPr>
            <w:tcW w:w="2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00" w:type="dxa"/>
            <w:vAlign w:val="bottom"/>
            <w:gridSpan w:val="2"/>
            <w:shd w:val="clear" w:color="auto" w:fill="CCEEFF"/>
          </w:tcPr>
          <w:p>
            <w:pPr>
              <w:jc w:val="center"/>
              <w:ind w:right="200"/>
              <w:spacing w:after="0" w:line="152" w:lineRule="exact"/>
              <w:rPr>
                <w:sz w:val="20"/>
                <w:szCs w:val="20"/>
                <w:color w:val="auto"/>
              </w:rPr>
            </w:pPr>
            <w:r>
              <w:rPr>
                <w:rFonts w:ascii="Times New Roman" w:cs="Times New Roman" w:eastAsia="Times New Roman" w:hAnsi="Times New Roman"/>
                <w:sz w:val="16"/>
                <w:szCs w:val="16"/>
                <w:b w:val="1"/>
                <w:bCs w:val="1"/>
                <w:color w:val="auto"/>
                <w:w w:val="97"/>
              </w:rPr>
              <w:t>Revolving credit</w:t>
            </w:r>
          </w:p>
        </w:tc>
        <w:tc>
          <w:tcPr>
            <w:tcW w:w="14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center"/>
              <w:ind w:right="220"/>
              <w:spacing w:after="0" w:line="152" w:lineRule="exact"/>
              <w:rPr>
                <w:sz w:val="20"/>
                <w:szCs w:val="20"/>
                <w:color w:val="auto"/>
              </w:rPr>
            </w:pPr>
            <w:r>
              <w:rPr>
                <w:rFonts w:ascii="Times New Roman" w:cs="Times New Roman" w:eastAsia="Times New Roman" w:hAnsi="Times New Roman"/>
                <w:sz w:val="16"/>
                <w:szCs w:val="16"/>
                <w:b w:val="1"/>
                <w:bCs w:val="1"/>
                <w:color w:val="auto"/>
                <w:w w:val="94"/>
              </w:rPr>
              <w:t>Term loan</w:t>
            </w:r>
          </w:p>
        </w:tc>
        <w:tc>
          <w:tcPr>
            <w:tcW w:w="22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ind w:right="233"/>
              <w:spacing w:after="0"/>
              <w:rPr>
                <w:sz w:val="20"/>
                <w:szCs w:val="20"/>
                <w:color w:val="auto"/>
              </w:rPr>
            </w:pPr>
            <w:r>
              <w:rPr>
                <w:rFonts w:ascii="Times New Roman" w:cs="Times New Roman" w:eastAsia="Times New Roman" w:hAnsi="Times New Roman"/>
                <w:sz w:val="17"/>
                <w:szCs w:val="17"/>
                <w:b w:val="1"/>
                <w:bCs w:val="1"/>
                <w:color w:val="auto"/>
              </w:rPr>
              <w:t>Total</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20" w:type="dxa"/>
            <w:vAlign w:val="bottom"/>
            <w:gridSpan w:val="2"/>
            <w:shd w:val="clear" w:color="auto" w:fill="CCEEFF"/>
          </w:tcPr>
          <w:p>
            <w:pPr>
              <w:jc w:val="right"/>
              <w:spacing w:after="0" w:line="152" w:lineRule="exact"/>
              <w:rPr>
                <w:sz w:val="20"/>
                <w:szCs w:val="20"/>
                <w:color w:val="auto"/>
              </w:rPr>
            </w:pPr>
            <w:r>
              <w:rPr>
                <w:rFonts w:ascii="Times New Roman" w:cs="Times New Roman" w:eastAsia="Times New Roman" w:hAnsi="Times New Roman"/>
                <w:sz w:val="16"/>
                <w:szCs w:val="16"/>
                <w:b w:val="1"/>
                <w:bCs w:val="1"/>
                <w:color w:val="auto"/>
              </w:rPr>
              <w:t>Revolving credit</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center"/>
              <w:ind w:right="260"/>
              <w:spacing w:after="0" w:line="152" w:lineRule="exact"/>
              <w:rPr>
                <w:sz w:val="20"/>
                <w:szCs w:val="20"/>
                <w:color w:val="auto"/>
              </w:rPr>
            </w:pPr>
            <w:r>
              <w:rPr>
                <w:rFonts w:ascii="Times New Roman" w:cs="Times New Roman" w:eastAsia="Times New Roman" w:hAnsi="Times New Roman"/>
                <w:sz w:val="16"/>
                <w:szCs w:val="16"/>
                <w:b w:val="1"/>
                <w:bCs w:val="1"/>
                <w:color w:val="auto"/>
                <w:w w:val="97"/>
              </w:rPr>
              <w:t>Term loan</w:t>
            </w:r>
          </w:p>
        </w:tc>
        <w:tc>
          <w:tcPr>
            <w:tcW w:w="26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ind w:right="333"/>
              <w:spacing w:after="0"/>
              <w:rPr>
                <w:sz w:val="20"/>
                <w:szCs w:val="20"/>
                <w:color w:val="auto"/>
              </w:rPr>
            </w:pPr>
            <w:r>
              <w:rPr>
                <w:rFonts w:ascii="Times New Roman" w:cs="Times New Roman" w:eastAsia="Times New Roman" w:hAnsi="Times New Roman"/>
                <w:sz w:val="17"/>
                <w:szCs w:val="17"/>
                <w:b w:val="1"/>
                <w:bCs w:val="1"/>
                <w:color w:val="auto"/>
              </w:rPr>
              <w:t>Total</w:t>
            </w:r>
          </w:p>
        </w:tc>
        <w:tc>
          <w:tcPr>
            <w:tcW w:w="0" w:type="dxa"/>
            <w:vAlign w:val="bottom"/>
          </w:tcPr>
          <w:p>
            <w:pPr>
              <w:spacing w:after="0"/>
              <w:rPr>
                <w:sz w:val="1"/>
                <w:szCs w:val="1"/>
                <w:color w:val="auto"/>
              </w:rPr>
            </w:pPr>
          </w:p>
        </w:tc>
      </w:tr>
      <w:tr>
        <w:trPr>
          <w:trHeight w:val="131"/>
        </w:trPr>
        <w:tc>
          <w:tcPr>
            <w:tcW w:w="2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300" w:type="dxa"/>
            <w:vAlign w:val="bottom"/>
            <w:gridSpan w:val="2"/>
            <w:vMerge w:val="restart"/>
            <w:shd w:val="clear" w:color="auto" w:fill="CCEEFF"/>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7"/>
              </w:rPr>
              <w:t>facility</w:t>
            </w:r>
          </w:p>
        </w:tc>
        <w:tc>
          <w:tcPr>
            <w:tcW w:w="140" w:type="dxa"/>
            <w:vAlign w:val="bottom"/>
            <w:shd w:val="clear" w:color="auto" w:fill="CCEEFF"/>
          </w:tcPr>
          <w:p>
            <w:pPr>
              <w:spacing w:after="0"/>
              <w:rPr>
                <w:sz w:val="11"/>
                <w:szCs w:val="11"/>
                <w:color w:val="auto"/>
              </w:rPr>
            </w:pPr>
          </w:p>
        </w:tc>
        <w:tc>
          <w:tcPr>
            <w:tcW w:w="1020" w:type="dxa"/>
            <w:vAlign w:val="bottom"/>
            <w:gridSpan w:val="2"/>
            <w:vMerge w:val="restart"/>
            <w:shd w:val="clear" w:color="auto" w:fill="CCEEFF"/>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7"/>
              </w:rPr>
              <w:t>facility</w:t>
            </w:r>
          </w:p>
        </w:tc>
        <w:tc>
          <w:tcPr>
            <w:tcW w:w="220" w:type="dxa"/>
            <w:vAlign w:val="bottom"/>
            <w:shd w:val="clear" w:color="auto" w:fill="CCEEFF"/>
          </w:tcPr>
          <w:p>
            <w:pPr>
              <w:spacing w:after="0"/>
              <w:rPr>
                <w:sz w:val="11"/>
                <w:szCs w:val="11"/>
                <w:color w:val="auto"/>
              </w:rPr>
            </w:pPr>
          </w:p>
        </w:tc>
        <w:tc>
          <w:tcPr>
            <w:tcW w:w="820" w:type="dxa"/>
            <w:vAlign w:val="bottom"/>
            <w:vMerge w:val="continue"/>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920" w:type="dxa"/>
            <w:vAlign w:val="bottom"/>
            <w:vMerge w:val="restart"/>
            <w:shd w:val="clear" w:color="auto" w:fill="CCEEFF"/>
          </w:tcPr>
          <w:p>
            <w:pPr>
              <w:jc w:val="right"/>
              <w:ind w:right="294"/>
              <w:spacing w:after="0"/>
              <w:rPr>
                <w:sz w:val="20"/>
                <w:szCs w:val="20"/>
                <w:color w:val="auto"/>
              </w:rPr>
            </w:pPr>
            <w:r>
              <w:rPr>
                <w:rFonts w:ascii="Times New Roman" w:cs="Times New Roman" w:eastAsia="Times New Roman" w:hAnsi="Times New Roman"/>
                <w:sz w:val="16"/>
                <w:szCs w:val="16"/>
                <w:b w:val="1"/>
                <w:bCs w:val="1"/>
                <w:color w:val="auto"/>
              </w:rPr>
              <w:t>facility</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120" w:type="dxa"/>
            <w:vAlign w:val="bottom"/>
            <w:gridSpan w:val="2"/>
            <w:vMerge w:val="restart"/>
            <w:shd w:val="clear" w:color="auto" w:fill="CCEEFF"/>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7"/>
              </w:rPr>
              <w:t>facility</w:t>
            </w:r>
          </w:p>
        </w:tc>
        <w:tc>
          <w:tcPr>
            <w:tcW w:w="260" w:type="dxa"/>
            <w:vAlign w:val="bottom"/>
            <w:shd w:val="clear" w:color="auto" w:fill="CCEEFF"/>
          </w:tcPr>
          <w:p>
            <w:pPr>
              <w:spacing w:after="0"/>
              <w:rPr>
                <w:sz w:val="11"/>
                <w:szCs w:val="11"/>
                <w:color w:val="auto"/>
              </w:rPr>
            </w:pPr>
          </w:p>
        </w:tc>
        <w:tc>
          <w:tcPr>
            <w:tcW w:w="96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79"/>
        </w:trPr>
        <w:tc>
          <w:tcPr>
            <w:tcW w:w="26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30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020" w:type="dxa"/>
            <w:vAlign w:val="bottom"/>
            <w:gridSpan w:val="2"/>
            <w:vMerge w:val="continue"/>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9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120" w:type="dxa"/>
            <w:vAlign w:val="bottom"/>
            <w:gridSpan w:val="2"/>
            <w:vMerge w:val="continue"/>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62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Current portion of long-term borrowings</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5.0</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5.0</w:t>
            </w:r>
          </w:p>
        </w:tc>
        <w:tc>
          <w:tcPr>
            <w:tcW w:w="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jc w:val="center"/>
              <w:ind w:right="116"/>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65.0</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top w:val="single" w:sz="8" w:color="auto"/>
            </w:tcBorders>
          </w:tcPr>
          <w:p>
            <w:pPr>
              <w:ind w:left="80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8"/>
                <w:szCs w:val="18"/>
                <w:color w:val="auto"/>
              </w:rPr>
            </w:pPr>
          </w:p>
        </w:tc>
        <w:tc>
          <w:tcPr>
            <w:tcW w:w="260" w:type="dxa"/>
            <w:vAlign w:val="bottom"/>
            <w:tcBorders>
              <w:top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65.0</w:t>
            </w:r>
          </w:p>
        </w:tc>
        <w:tc>
          <w:tcPr>
            <w:tcW w:w="0" w:type="dxa"/>
            <w:vAlign w:val="bottom"/>
          </w:tcPr>
          <w:p>
            <w:pPr>
              <w:spacing w:after="0"/>
              <w:rPr>
                <w:sz w:val="1"/>
                <w:szCs w:val="1"/>
                <w:color w:val="auto"/>
              </w:rPr>
            </w:pPr>
          </w:p>
        </w:tc>
      </w:tr>
      <w:tr>
        <w:trPr>
          <w:trHeight w:val="223"/>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Unamortized debt issuance costs</w:t>
            </w:r>
          </w:p>
        </w:tc>
        <w:tc>
          <w:tcPr>
            <w:tcW w:w="1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37"/>
        </w:trPr>
        <w:tc>
          <w:tcPr>
            <w:tcW w:w="2620" w:type="dxa"/>
            <w:vAlign w:val="bottom"/>
          </w:tcPr>
          <w:p>
            <w:pPr>
              <w:ind w:left="20"/>
              <w:spacing w:after="0" w:line="138" w:lineRule="exact"/>
              <w:rPr>
                <w:sz w:val="20"/>
                <w:szCs w:val="20"/>
                <w:color w:val="auto"/>
              </w:rPr>
            </w:pPr>
            <w:r>
              <w:rPr>
                <w:rFonts w:ascii="Times New Roman" w:cs="Times New Roman" w:eastAsia="Times New Roman" w:hAnsi="Times New Roman"/>
                <w:sz w:val="15"/>
                <w:szCs w:val="15"/>
                <w:b w:val="1"/>
                <w:bCs w:val="1"/>
                <w:color w:val="auto"/>
              </w:rPr>
              <w:t>Total current portion of long-term</w:t>
            </w:r>
          </w:p>
        </w:tc>
        <w:tc>
          <w:tcPr>
            <w:tcW w:w="100" w:type="dxa"/>
            <w:vAlign w:val="bottom"/>
          </w:tcPr>
          <w:p>
            <w:pPr>
              <w:spacing w:after="0"/>
              <w:rPr>
                <w:sz w:val="11"/>
                <w:szCs w:val="11"/>
                <w:color w:val="auto"/>
              </w:rPr>
            </w:pPr>
          </w:p>
        </w:tc>
        <w:tc>
          <w:tcPr>
            <w:tcW w:w="13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4.9</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4.9</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65.0</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gridSpan w:val="2"/>
            <w:vMerge w:val="restart"/>
          </w:tcPr>
          <w:p>
            <w:pPr>
              <w:ind w:left="80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65.0</w:t>
            </w:r>
          </w:p>
        </w:tc>
        <w:tc>
          <w:tcPr>
            <w:tcW w:w="0" w:type="dxa"/>
            <w:vAlign w:val="bottom"/>
          </w:tcPr>
          <w:p>
            <w:pPr>
              <w:spacing w:after="0"/>
              <w:rPr>
                <w:sz w:val="1"/>
                <w:szCs w:val="1"/>
                <w:color w:val="auto"/>
              </w:rPr>
            </w:pPr>
          </w:p>
        </w:tc>
      </w:tr>
      <w:tr>
        <w:trPr>
          <w:trHeight w:val="242"/>
        </w:trPr>
        <w:tc>
          <w:tcPr>
            <w:tcW w:w="2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borrowings</w:t>
            </w:r>
          </w:p>
        </w:tc>
        <w:tc>
          <w:tcPr>
            <w:tcW w:w="100" w:type="dxa"/>
            <w:vAlign w:val="bottom"/>
            <w:tcBorders>
              <w:bottom w:val="single" w:sz="8" w:color="CCEEFF"/>
            </w:tcBorders>
          </w:tcPr>
          <w:p>
            <w:pPr>
              <w:spacing w:after="0"/>
              <w:rPr>
                <w:sz w:val="21"/>
                <w:szCs w:val="21"/>
                <w:color w:val="auto"/>
              </w:rPr>
            </w:pPr>
          </w:p>
        </w:tc>
        <w:tc>
          <w:tcPr>
            <w:tcW w:w="1300" w:type="dxa"/>
            <w:vAlign w:val="bottom"/>
            <w:tcBorders>
              <w:bottom w:val="single" w:sz="8" w:color="CCEEFF"/>
            </w:tcBorders>
            <w:gridSpan w:val="2"/>
            <w:vMerge w:val="continue"/>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920" w:type="dxa"/>
            <w:vAlign w:val="bottom"/>
            <w:tcBorders>
              <w:bottom w:val="single" w:sz="8" w:color="CCEEFF"/>
            </w:tcBorders>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820" w:type="dxa"/>
            <w:vAlign w:val="bottom"/>
            <w:tcBorders>
              <w:bottom w:val="single" w:sz="8" w:color="CCEEFF"/>
            </w:tcBorders>
            <w:vMerge w:val="continue"/>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CCEEFF"/>
            </w:tcBorders>
          </w:tcPr>
          <w:p>
            <w:pPr>
              <w:spacing w:after="0"/>
              <w:rPr>
                <w:sz w:val="21"/>
                <w:szCs w:val="21"/>
                <w:color w:val="auto"/>
              </w:rPr>
            </w:pPr>
          </w:p>
        </w:tc>
        <w:tc>
          <w:tcPr>
            <w:tcW w:w="920" w:type="dxa"/>
            <w:vAlign w:val="bottom"/>
            <w:tcBorders>
              <w:bottom w:val="single" w:sz="8" w:color="CCEEFF"/>
            </w:tcBorders>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1120" w:type="dxa"/>
            <w:vAlign w:val="bottom"/>
            <w:tcBorders>
              <w:bottom w:val="single" w:sz="8" w:color="CCEEFF"/>
            </w:tcBorders>
            <w:gridSpan w:val="2"/>
            <w:vMerge w:val="continue"/>
          </w:tcPr>
          <w:p>
            <w:pPr>
              <w:spacing w:after="0"/>
              <w:rPr>
                <w:sz w:val="21"/>
                <w:szCs w:val="21"/>
                <w:color w:val="auto"/>
              </w:rPr>
            </w:pPr>
          </w:p>
        </w:tc>
        <w:tc>
          <w:tcPr>
            <w:tcW w:w="260" w:type="dxa"/>
            <w:vAlign w:val="bottom"/>
            <w:tcBorders>
              <w:bottom w:val="single" w:sz="8" w:color="CCEEFF"/>
            </w:tcBorders>
          </w:tcPr>
          <w:p>
            <w:pPr>
              <w:spacing w:after="0"/>
              <w:rPr>
                <w:sz w:val="21"/>
                <w:szCs w:val="21"/>
                <w:color w:val="auto"/>
              </w:rPr>
            </w:pPr>
          </w:p>
        </w:tc>
        <w:tc>
          <w:tcPr>
            <w:tcW w:w="960" w:type="dxa"/>
            <w:vAlign w:val="bottom"/>
            <w:tcBorders>
              <w:bottom w:val="single" w:sz="8" w:color="CCEEFF"/>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2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borrowings</w:t>
            </w:r>
          </w:p>
        </w:tc>
        <w:tc>
          <w:tcPr>
            <w:tcW w:w="1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245.0</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340.0</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135.0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gridSpan w:val="2"/>
          </w:tcPr>
          <w:p>
            <w:pPr>
              <w:ind w:left="80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135.0</w:t>
            </w:r>
          </w:p>
        </w:tc>
        <w:tc>
          <w:tcPr>
            <w:tcW w:w="0" w:type="dxa"/>
            <w:vAlign w:val="bottom"/>
          </w:tcPr>
          <w:p>
            <w:pPr>
              <w:spacing w:after="0"/>
              <w:rPr>
                <w:sz w:val="1"/>
                <w:szCs w:val="1"/>
                <w:color w:val="auto"/>
              </w:rPr>
            </w:pPr>
          </w:p>
        </w:tc>
      </w:tr>
      <w:tr>
        <w:trPr>
          <w:trHeight w:val="236"/>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Unamortized debt issuance costs</w:t>
            </w:r>
          </w:p>
        </w:tc>
        <w:tc>
          <w:tcPr>
            <w:tcW w:w="10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6"/>
        </w:trPr>
        <w:tc>
          <w:tcPr>
            <w:tcW w:w="2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Total long-term borrowings</w:t>
            </w:r>
          </w:p>
        </w:tc>
        <w:tc>
          <w:tcPr>
            <w:tcW w:w="10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245.0</w:t>
            </w:r>
          </w:p>
        </w:tc>
        <w:tc>
          <w:tcPr>
            <w:tcW w:w="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94.8</w:t>
            </w:r>
          </w:p>
        </w:tc>
        <w:tc>
          <w:tcPr>
            <w:tcW w:w="1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339.8</w:t>
            </w:r>
          </w:p>
        </w:tc>
        <w:tc>
          <w:tcPr>
            <w:tcW w:w="20" w:type="dxa"/>
            <w:vAlign w:val="bottom"/>
            <w:tcBorders>
              <w:top w:val="single" w:sz="8" w:color="auto"/>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135.0</w:t>
            </w:r>
          </w:p>
        </w:tc>
        <w:tc>
          <w:tcPr>
            <w:tcW w:w="1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ind w:left="80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135.0</w:t>
            </w:r>
          </w:p>
        </w:tc>
        <w:tc>
          <w:tcPr>
            <w:tcW w:w="0" w:type="dxa"/>
            <w:vAlign w:val="bottom"/>
          </w:tcPr>
          <w:p>
            <w:pPr>
              <w:spacing w:after="0"/>
              <w:rPr>
                <w:sz w:val="1"/>
                <w:szCs w:val="1"/>
                <w:color w:val="auto"/>
              </w:rPr>
            </w:pPr>
          </w:p>
        </w:tc>
      </w:tr>
      <w:tr>
        <w:trPr>
          <w:trHeight w:val="241"/>
        </w:trPr>
        <w:tc>
          <w:tcPr>
            <w:tcW w:w="2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borrowings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245.0</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344.7</w:t>
            </w: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center"/>
              <w:ind w:right="116"/>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200.0</w:t>
            </w:r>
          </w:p>
        </w:tc>
        <w:tc>
          <w:tcPr>
            <w:tcW w:w="0" w:type="dxa"/>
            <w:vAlign w:val="bottom"/>
          </w:tcPr>
          <w:p>
            <w:pPr>
              <w:spacing w:after="0"/>
              <w:rPr>
                <w:sz w:val="1"/>
                <w:szCs w:val="1"/>
                <w:color w:val="auto"/>
              </w:rPr>
            </w:pPr>
          </w:p>
        </w:tc>
      </w:tr>
      <w:tr>
        <w:trPr>
          <w:trHeight w:val="20"/>
        </w:trPr>
        <w:tc>
          <w:tcPr>
            <w:tcW w:w="2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8" w:lineRule="exact"/>
        <w:rPr>
          <w:sz w:val="20"/>
          <w:szCs w:val="20"/>
          <w:color w:val="auto"/>
        </w:rPr>
      </w:pPr>
    </w:p>
    <w:p>
      <w:pPr>
        <w:ind w:firstLine="393"/>
        <w:spacing w:after="0" w:line="297" w:lineRule="auto"/>
        <w:rPr>
          <w:sz w:val="20"/>
          <w:szCs w:val="20"/>
          <w:color w:val="auto"/>
        </w:rPr>
      </w:pPr>
      <w:r>
        <w:rPr>
          <w:rFonts w:ascii="Times New Roman" w:cs="Times New Roman" w:eastAsia="Times New Roman" w:hAnsi="Times New Roman"/>
          <w:sz w:val="17"/>
          <w:szCs w:val="17"/>
          <w:color w:val="auto"/>
        </w:rPr>
        <w:t>As of September 30, 2024 and December 31, 2023, we were in compliance with the financial and non-financial covenants under the applicable credit agreement.</w:t>
      </w:r>
    </w:p>
    <w:p>
      <w:pPr>
        <w:spacing w:after="0" w:line="9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Recent Accounting Pronouncements</w:t>
      </w:r>
    </w:p>
    <w:p>
      <w:pPr>
        <w:spacing w:after="0" w:line="121" w:lineRule="exact"/>
        <w:rPr>
          <w:sz w:val="20"/>
          <w:szCs w:val="20"/>
          <w:color w:val="auto"/>
        </w:rPr>
      </w:pPr>
    </w:p>
    <w:p>
      <w:pPr>
        <w:ind w:firstLine="433"/>
        <w:spacing w:after="0" w:line="297" w:lineRule="auto"/>
        <w:rPr>
          <w:sz w:val="20"/>
          <w:szCs w:val="20"/>
          <w:color w:val="auto"/>
        </w:rPr>
      </w:pPr>
      <w:r>
        <w:rPr>
          <w:rFonts w:ascii="Times New Roman" w:cs="Times New Roman" w:eastAsia="Times New Roman" w:hAnsi="Times New Roman"/>
          <w:sz w:val="17"/>
          <w:szCs w:val="17"/>
          <w:color w:val="auto"/>
        </w:rPr>
        <w:t>For a description of recent accounting pronouncements, see Note 2 - Summary of Significant Accounting Policies - Recent Accounting Pronouncements to our unaudited consolidated financial statements under Part I, Item 1, “Financial Statements.”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5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7"/>
          <w:szCs w:val="17"/>
          <w:b w:val="1"/>
          <w:bCs w:val="1"/>
          <w:color w:val="auto"/>
        </w:rPr>
        <w:t>ITEM 3.</w:t>
        <w:tab/>
        <w:t>Quantitative and Qualitative Disclosures About Market Risk</w:t>
      </w:r>
    </w:p>
    <w:p>
      <w:pPr>
        <w:spacing w:after="0" w:line="239" w:lineRule="exact"/>
        <w:rPr>
          <w:sz w:val="20"/>
          <w:szCs w:val="20"/>
          <w:color w:val="auto"/>
        </w:rPr>
      </w:pPr>
    </w:p>
    <w:p>
      <w:pPr>
        <w:jc w:val="both"/>
        <w:ind w:firstLine="433"/>
        <w:spacing w:after="0" w:line="261" w:lineRule="auto"/>
        <w:rPr>
          <w:sz w:val="20"/>
          <w:szCs w:val="20"/>
          <w:color w:val="auto"/>
        </w:rPr>
      </w:pPr>
      <w:r>
        <w:rPr>
          <w:rFonts w:ascii="Times New Roman" w:cs="Times New Roman" w:eastAsia="Times New Roman" w:hAnsi="Times New Roman"/>
          <w:sz w:val="17"/>
          <w:szCs w:val="17"/>
          <w:color w:val="auto"/>
        </w:rPr>
        <w:t>During the three months ended September 30, 2024, there were no material changes in our market risk exposure. For a discussion of our market risk associated with exchange rate risk and interest rate risk, see Part II, Item 7A “Quantitative and Qualitative Disclosures About Market Risk” in our Annual Report on Form 10-K for the fiscal year ended December 31, 2023.</w:t>
      </w:r>
    </w:p>
    <w:p>
      <w:pPr>
        <w:spacing w:after="0" w:line="200" w:lineRule="exact"/>
        <w:rPr>
          <w:sz w:val="20"/>
          <w:szCs w:val="20"/>
          <w:color w:val="auto"/>
        </w:rPr>
      </w:pPr>
    </w:p>
    <w:p>
      <w:pPr>
        <w:spacing w:after="0" w:line="340"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7"/>
          <w:szCs w:val="17"/>
          <w:b w:val="1"/>
          <w:bCs w:val="1"/>
          <w:color w:val="auto"/>
        </w:rPr>
        <w:t>ITEM 4.</w:t>
        <w:tab/>
        <w:t>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Evaluation of Disclosure Controls and Procedures</w:t>
      </w:r>
    </w:p>
    <w:p>
      <w:pPr>
        <w:spacing w:after="0" w:line="359" w:lineRule="exact"/>
        <w:rPr>
          <w:sz w:val="20"/>
          <w:szCs w:val="20"/>
          <w:color w:val="auto"/>
        </w:rPr>
      </w:pPr>
    </w:p>
    <w:p>
      <w:pPr>
        <w:jc w:val="both"/>
        <w:ind w:firstLine="472"/>
        <w:spacing w:after="0" w:line="264" w:lineRule="auto"/>
        <w:rPr>
          <w:sz w:val="20"/>
          <w:szCs w:val="20"/>
          <w:color w:val="auto"/>
        </w:rPr>
      </w:pPr>
      <w:r>
        <w:rPr>
          <w:rFonts w:ascii="Times New Roman" w:cs="Times New Roman" w:eastAsia="Times New Roman" w:hAnsi="Times New Roman"/>
          <w:sz w:val="17"/>
          <w:szCs w:val="17"/>
          <w:color w:val="auto"/>
        </w:rPr>
        <w:t>We maintain disclosure controls and procedures that are designed to ensure that information required to be disclosed in the reports we file or submit under the Securities Exchange Act of 1934, as amended (the “Exchange Act”) is recorded, processed, summarized and reported within the time periods specified in the U.S. Securities and Exchange Commission’s rules and forms, and that such information is accumulated and communicated to our management, including our Chief Executive Officer (“CEO”) and our Chief Financial Officer (“CFO”), to allow timely decisions regarding required disclosure. In connection with the preparation of this Quarterly Report on Form 10-Q, our management carried out an evaluation, under the supervision and with the participation of the CEO and CFO, of the effectiveness and operation of our disclosure controls and procedures as of September 30, 2024. Based upon that evaluation, our CEO and CFO have concluded that the Company’s disclosure controls and procedures, as of September 30, 2024, were effective.</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Changes in Internal Control over Financial Reporting</w:t>
      </w:r>
    </w:p>
    <w:p>
      <w:pPr>
        <w:spacing w:after="0" w:line="254" w:lineRule="exact"/>
        <w:rPr>
          <w:sz w:val="20"/>
          <w:szCs w:val="20"/>
          <w:color w:val="auto"/>
        </w:rPr>
      </w:pPr>
    </w:p>
    <w:p>
      <w:pPr>
        <w:jc w:val="both"/>
        <w:ind w:firstLine="393"/>
        <w:spacing w:after="0" w:line="281" w:lineRule="auto"/>
        <w:rPr>
          <w:sz w:val="20"/>
          <w:szCs w:val="20"/>
          <w:color w:val="auto"/>
        </w:rPr>
      </w:pPr>
      <w:r>
        <w:rPr>
          <w:rFonts w:ascii="Times New Roman" w:cs="Times New Roman" w:eastAsia="Times New Roman" w:hAnsi="Times New Roman"/>
          <w:sz w:val="17"/>
          <w:szCs w:val="17"/>
          <w:color w:val="auto"/>
        </w:rPr>
        <w:t>During the three months ended September 30, 2024, there were no changes in our internal control over financial reporting (as defined in Rules 13a-15(f) and 15d-15(f) under the Exchange Act) that have materially affected, or are reasonably likely to materially affect, our internal control over financial reporting.</w:t>
      </w:r>
    </w:p>
    <w:p>
      <w:pPr>
        <w:spacing w:after="0" w:line="172" w:lineRule="exact"/>
        <w:rPr>
          <w:sz w:val="20"/>
          <w:szCs w:val="20"/>
          <w:color w:val="auto"/>
        </w:rPr>
      </w:pPr>
    </w:p>
    <w:p>
      <w:pPr>
        <w:jc w:val="both"/>
        <w:ind w:firstLine="393"/>
        <w:spacing w:after="0" w:line="262" w:lineRule="auto"/>
        <w:rPr>
          <w:sz w:val="20"/>
          <w:szCs w:val="20"/>
          <w:color w:val="auto"/>
        </w:rPr>
      </w:pPr>
      <w:r>
        <w:rPr>
          <w:rFonts w:ascii="Times New Roman" w:cs="Times New Roman" w:eastAsia="Times New Roman" w:hAnsi="Times New Roman"/>
          <w:sz w:val="17"/>
          <w:szCs w:val="17"/>
          <w:color w:val="auto"/>
        </w:rPr>
        <w:t>In making its assessment of the changes in internal control over financial reporting during the three months ended September 30, 2024, our management excluded an evaluation of the disclosure controls and procedures of ITI Data, which we acquired on August 1, 2024. See Note 10 - Business Combinations, Goodwill and Other Intangible Assets to our unaudited consolidated financial statements under Part I, Item 1, “Financial Statements” for details of our acquisition.</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7"/>
          <w:szCs w:val="17"/>
          <w:b w:val="1"/>
          <w:bCs w:val="1"/>
          <w:color w:val="auto"/>
        </w:rPr>
        <w:t>PART II.</w:t>
        <w:tab/>
        <w:t>OTHER INFORMATION</w:t>
      </w:r>
    </w:p>
    <w:p>
      <w:pPr>
        <w:spacing w:after="0" w:line="368"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7"/>
          <w:szCs w:val="17"/>
          <w:b w:val="1"/>
          <w:bCs w:val="1"/>
          <w:color w:val="auto"/>
        </w:rPr>
        <w:t>ITEM 1.</w:t>
        <w:tab/>
        <w:t>Legal Proceedings</w:t>
      </w:r>
    </w:p>
    <w:p>
      <w:pPr>
        <w:spacing w:after="0" w:line="252" w:lineRule="exact"/>
        <w:rPr>
          <w:sz w:val="20"/>
          <w:szCs w:val="20"/>
          <w:color w:val="auto"/>
        </w:rPr>
      </w:pPr>
    </w:p>
    <w:p>
      <w:pPr>
        <w:jc w:val="both"/>
        <w:ind w:firstLine="393"/>
        <w:spacing w:after="0" w:line="281" w:lineRule="auto"/>
        <w:rPr>
          <w:sz w:val="20"/>
          <w:szCs w:val="20"/>
          <w:color w:val="auto"/>
        </w:rPr>
      </w:pPr>
      <w:r>
        <w:rPr>
          <w:rFonts w:ascii="Times New Roman" w:cs="Times New Roman" w:eastAsia="Times New Roman" w:hAnsi="Times New Roman"/>
          <w:sz w:val="17"/>
          <w:szCs w:val="17"/>
          <w:color w:val="auto"/>
        </w:rPr>
        <w:t>In the course of our normal business activities, various lawsuits, claims and proceedings may be instituted or asserted against us. Although there can be no assurance, we believe that the disposition of matters currently instituted or asserted will not have a material adverse effect on our consolidated financial</w:t>
      </w:r>
    </w:p>
    <w:p>
      <w:pPr>
        <w:spacing w:after="0" w:line="1" w:lineRule="exact"/>
        <w:rPr>
          <w:sz w:val="20"/>
          <w:szCs w:val="20"/>
          <w:color w:val="auto"/>
        </w:rPr>
      </w:pPr>
    </w:p>
    <w:p>
      <w:pPr>
        <w:jc w:val="both"/>
        <w:spacing w:after="0" w:line="313" w:lineRule="auto"/>
        <w:rPr>
          <w:sz w:val="20"/>
          <w:szCs w:val="20"/>
          <w:color w:val="auto"/>
        </w:rPr>
      </w:pPr>
      <w:r>
        <w:rPr>
          <w:rFonts w:ascii="Times New Roman" w:cs="Times New Roman" w:eastAsia="Times New Roman" w:hAnsi="Times New Roman"/>
          <w:sz w:val="17"/>
          <w:szCs w:val="17"/>
          <w:color w:val="auto"/>
        </w:rPr>
        <w:t>position, results of operations or cash flows. See Note 25 - Commitments and Contingencies to our unaudited consolidated financial statements under Part I, Item 1, “Financial Statements” for details regarding our tax proceedings.</w:t>
      </w:r>
    </w:p>
    <w:p>
      <w:pPr>
        <w:spacing w:after="0" w:line="157"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7"/>
          <w:szCs w:val="17"/>
          <w:b w:val="1"/>
          <w:bCs w:val="1"/>
          <w:color w:val="auto"/>
        </w:rPr>
        <w:t>ITEM 1A.</w:t>
        <w:tab/>
        <w:t>Risk Factors</w:t>
      </w:r>
    </w:p>
    <w:p>
      <w:pPr>
        <w:spacing w:after="0" w:line="252" w:lineRule="exact"/>
        <w:rPr>
          <w:sz w:val="20"/>
          <w:szCs w:val="20"/>
          <w:color w:val="auto"/>
        </w:rPr>
      </w:pPr>
    </w:p>
    <w:p>
      <w:pPr>
        <w:jc w:val="both"/>
        <w:ind w:firstLine="433"/>
        <w:spacing w:after="0" w:line="267" w:lineRule="auto"/>
        <w:rPr>
          <w:sz w:val="20"/>
          <w:szCs w:val="20"/>
          <w:color w:val="auto"/>
        </w:rPr>
      </w:pPr>
      <w:r>
        <w:rPr>
          <w:rFonts w:ascii="Times New Roman" w:cs="Times New Roman" w:eastAsia="Times New Roman" w:hAnsi="Times New Roman"/>
          <w:sz w:val="17"/>
          <w:szCs w:val="17"/>
          <w:color w:val="auto"/>
        </w:rPr>
        <w:t>We have disclosed under the heading “Risk Factors” in our Annual Report on Form 10-K for the fiscal year ended December 31, 2023, a number of risks which may materially affect our business, financial condition or results of operations. You should carefully consider those risk factors and the other information set forth elsewhere in this Quarterly Report on Form 10-Q. You should be aware that these risk factors and other information may not describe every risk facing our Company. Additional risks and uncertainties not currently known to us may also materially adversely affect our business, financial condition and/or results of operations.</w:t>
      </w:r>
    </w:p>
    <w:p>
      <w:pPr>
        <w:spacing w:after="0" w:line="196"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7"/>
          <w:szCs w:val="17"/>
          <w:b w:val="1"/>
          <w:bCs w:val="1"/>
          <w:color w:val="auto"/>
        </w:rPr>
        <w:t>ITEM 2.</w:t>
        <w:tab/>
        <w:t>Unregistered Sales of Equity Securities and Use of Proceeds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Unregistered Sales of Equity Securities</w:t>
      </w:r>
    </w:p>
    <w:p>
      <w:pPr>
        <w:spacing w:after="0" w:line="3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None.</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Use of Proceeds</w:t>
      </w:r>
    </w:p>
    <w:p>
      <w:pPr>
        <w:spacing w:after="0" w:line="25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None.</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Purchases of Equity Securities by the Issuer</w:t>
      </w:r>
    </w:p>
    <w:p>
      <w:pPr>
        <w:spacing w:after="0" w:line="12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During the three months ended September 30, 2024, purchases of common stock were as follows:</w:t>
      </w:r>
    </w:p>
    <w:p>
      <w:pPr>
        <w:spacing w:after="0" w:line="144" w:lineRule="exact"/>
        <w:rPr>
          <w:sz w:val="20"/>
          <w:szCs w:val="20"/>
          <w:color w:val="auto"/>
        </w:rPr>
      </w:pPr>
    </w:p>
    <w:tbl>
      <w:tblPr>
        <w:tblLayout w:type="fixed"/>
        <w:tblInd w:w="450" w:type="dxa"/>
        <w:tblCellMar>
          <w:top w:w="0" w:type="dxa"/>
          <w:left w:w="0" w:type="dxa"/>
          <w:bottom w:w="0" w:type="dxa"/>
          <w:right w:w="0" w:type="dxa"/>
        </w:tblCellMar>
      </w:tblPr>
      <w:tr>
        <w:trPr>
          <w:trHeight w:val="225"/>
        </w:trPr>
        <w:tc>
          <w:tcPr>
            <w:tcW w:w="2240" w:type="dxa"/>
            <w:vAlign w:val="bottom"/>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3180" w:type="dxa"/>
            <w:vAlign w:val="bottom"/>
            <w:tcBorders>
              <w:top w:val="single" w:sz="8" w:color="auto"/>
              <w:right w:val="single" w:sz="8" w:color="auto"/>
            </w:tcBorders>
            <w:gridSpan w:val="4"/>
          </w:tcPr>
          <w:p>
            <w:pPr>
              <w:jc w:val="right"/>
              <w:ind w:right="78"/>
              <w:spacing w:after="0"/>
              <w:rPr>
                <w:sz w:val="20"/>
                <w:szCs w:val="20"/>
                <w:color w:val="auto"/>
              </w:rPr>
            </w:pPr>
            <w:r>
              <w:rPr>
                <w:rFonts w:ascii="Times New Roman" w:cs="Times New Roman" w:eastAsia="Times New Roman" w:hAnsi="Times New Roman"/>
                <w:sz w:val="14"/>
                <w:szCs w:val="14"/>
                <w:b w:val="1"/>
                <w:bCs w:val="1"/>
                <w:color w:val="auto"/>
              </w:rPr>
              <w:t>Shares Purchased from Employees in connection</w:t>
            </w:r>
          </w:p>
        </w:tc>
        <w:tc>
          <w:tcPr>
            <w:tcW w:w="100" w:type="dxa"/>
            <w:vAlign w:val="bottom"/>
            <w:tcBorders>
              <w:right w:val="single" w:sz="8" w:color="auto"/>
            </w:tcBorders>
          </w:tcPr>
          <w:p>
            <w:pPr>
              <w:spacing w:after="0"/>
              <w:rPr>
                <w:sz w:val="19"/>
                <w:szCs w:val="19"/>
                <w:color w:val="auto"/>
              </w:rPr>
            </w:pPr>
          </w:p>
        </w:tc>
        <w:tc>
          <w:tcPr>
            <w:tcW w:w="2480" w:type="dxa"/>
            <w:vAlign w:val="bottom"/>
            <w:tcBorders>
              <w:top w:val="single" w:sz="8" w:color="auto"/>
              <w:right w:val="single" w:sz="8" w:color="auto"/>
            </w:tcBorders>
            <w:gridSpan w:val="4"/>
          </w:tcPr>
          <w:p>
            <w:pPr>
              <w:jc w:val="right"/>
              <w:ind w:right="78"/>
              <w:spacing w:after="0"/>
              <w:rPr>
                <w:sz w:val="20"/>
                <w:szCs w:val="20"/>
                <w:color w:val="auto"/>
              </w:rPr>
            </w:pPr>
            <w:r>
              <w:rPr>
                <w:rFonts w:ascii="Times New Roman" w:cs="Times New Roman" w:eastAsia="Times New Roman" w:hAnsi="Times New Roman"/>
                <w:sz w:val="14"/>
                <w:szCs w:val="14"/>
                <w:b w:val="1"/>
                <w:bCs w:val="1"/>
                <w:color w:val="auto"/>
              </w:rPr>
              <w:t>Shares Purchased as Part of Publicly</w:t>
            </w:r>
          </w:p>
        </w:tc>
        <w:tc>
          <w:tcPr>
            <w:tcW w:w="120" w:type="dxa"/>
            <w:vAlign w:val="bottom"/>
            <w:tcBorders>
              <w:right w:val="single" w:sz="8" w:color="auto"/>
            </w:tcBorders>
          </w:tcPr>
          <w:p>
            <w:pPr>
              <w:spacing w:after="0"/>
              <w:rPr>
                <w:sz w:val="19"/>
                <w:szCs w:val="19"/>
                <w:color w:val="auto"/>
              </w:rPr>
            </w:pPr>
          </w:p>
        </w:tc>
        <w:tc>
          <w:tcPr>
            <w:tcW w:w="1180" w:type="dxa"/>
            <w:vAlign w:val="bottom"/>
            <w:tcBorders>
              <w:top w:val="single" w:sz="8" w:color="auto"/>
              <w:right w:val="single" w:sz="8" w:color="auto"/>
            </w:tcBorders>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1400" w:type="dxa"/>
            <w:vAlign w:val="bottom"/>
            <w:tcBorders>
              <w:top w:val="single" w:sz="8" w:color="auto"/>
            </w:tcBorders>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Approximate Dollar Va</w:t>
            </w:r>
          </w:p>
        </w:tc>
        <w:tc>
          <w:tcPr>
            <w:tcW w:w="0" w:type="dxa"/>
            <w:vAlign w:val="bottom"/>
          </w:tcPr>
          <w:p>
            <w:pPr>
              <w:spacing w:after="0"/>
              <w:rPr>
                <w:sz w:val="1"/>
                <w:szCs w:val="1"/>
                <w:color w:val="auto"/>
              </w:rPr>
            </w:pPr>
          </w:p>
        </w:tc>
      </w:tr>
      <w:tr>
        <w:trPr>
          <w:trHeight w:val="143"/>
        </w:trPr>
        <w:tc>
          <w:tcPr>
            <w:tcW w:w="224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3180" w:type="dxa"/>
            <w:vAlign w:val="bottom"/>
            <w:tcBorders>
              <w:right w:val="single" w:sz="8" w:color="auto"/>
            </w:tcBorders>
            <w:gridSpan w:val="4"/>
          </w:tcPr>
          <w:p>
            <w:pPr>
              <w:jc w:val="right"/>
              <w:ind w:right="78"/>
              <w:spacing w:after="0" w:line="143" w:lineRule="exact"/>
              <w:rPr>
                <w:sz w:val="20"/>
                <w:szCs w:val="20"/>
                <w:color w:val="auto"/>
              </w:rPr>
            </w:pPr>
            <w:r>
              <w:rPr>
                <w:rFonts w:ascii="Times New Roman" w:cs="Times New Roman" w:eastAsia="Times New Roman" w:hAnsi="Times New Roman"/>
                <w:sz w:val="14"/>
                <w:szCs w:val="14"/>
                <w:b w:val="1"/>
                <w:bCs w:val="1"/>
                <w:color w:val="auto"/>
              </w:rPr>
              <w:t>with satisfaction of Withholding Tax Obligations</w:t>
            </w:r>
          </w:p>
        </w:tc>
        <w:tc>
          <w:tcPr>
            <w:tcW w:w="100" w:type="dxa"/>
            <w:vAlign w:val="bottom"/>
            <w:tcBorders>
              <w:right w:val="single" w:sz="8" w:color="auto"/>
            </w:tcBorders>
          </w:tcPr>
          <w:p>
            <w:pPr>
              <w:spacing w:after="0"/>
              <w:rPr>
                <w:sz w:val="12"/>
                <w:szCs w:val="12"/>
                <w:color w:val="auto"/>
              </w:rPr>
            </w:pPr>
          </w:p>
        </w:tc>
        <w:tc>
          <w:tcPr>
            <w:tcW w:w="2480" w:type="dxa"/>
            <w:vAlign w:val="bottom"/>
            <w:tcBorders>
              <w:right w:val="single" w:sz="8" w:color="auto"/>
            </w:tcBorders>
            <w:gridSpan w:val="4"/>
          </w:tcPr>
          <w:p>
            <w:pPr>
              <w:jc w:val="right"/>
              <w:ind w:right="518"/>
              <w:spacing w:after="0" w:line="143" w:lineRule="exact"/>
              <w:rPr>
                <w:sz w:val="20"/>
                <w:szCs w:val="20"/>
                <w:color w:val="auto"/>
              </w:rPr>
            </w:pPr>
            <w:r>
              <w:rPr>
                <w:rFonts w:ascii="Times New Roman" w:cs="Times New Roman" w:eastAsia="Times New Roman" w:hAnsi="Times New Roman"/>
                <w:sz w:val="14"/>
                <w:szCs w:val="14"/>
                <w:b w:val="1"/>
                <w:bCs w:val="1"/>
                <w:color w:val="auto"/>
              </w:rPr>
              <w:t>Announced Programs</w:t>
            </w:r>
          </w:p>
        </w:tc>
        <w:tc>
          <w:tcPr>
            <w:tcW w:w="120" w:type="dxa"/>
            <w:vAlign w:val="bottom"/>
            <w:tcBorders>
              <w:right w:val="single" w:sz="8" w:color="auto"/>
            </w:tcBorders>
          </w:tcPr>
          <w:p>
            <w:pPr>
              <w:spacing w:after="0"/>
              <w:rPr>
                <w:sz w:val="12"/>
                <w:szCs w:val="12"/>
                <w:color w:val="auto"/>
              </w:rPr>
            </w:pPr>
          </w:p>
        </w:tc>
        <w:tc>
          <w:tcPr>
            <w:tcW w:w="1180" w:type="dxa"/>
            <w:vAlign w:val="bottom"/>
            <w:tcBorders>
              <w:right w:val="single" w:sz="8" w:color="auto"/>
            </w:tcBorders>
            <w:vMerge w:val="restart"/>
          </w:tcPr>
          <w:p>
            <w:pPr>
              <w:jc w:val="right"/>
              <w:ind w:right="18"/>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00" w:type="dxa"/>
            <w:vAlign w:val="bottom"/>
            <w:tcBorders>
              <w:right w:val="single" w:sz="8" w:color="auto"/>
            </w:tcBorders>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224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1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60" w:type="dxa"/>
            <w:vAlign w:val="bottom"/>
            <w:tcBorders>
              <w:right w:val="single" w:sz="8" w:color="auto"/>
            </w:tcBorders>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1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Borders>
              <w:right w:val="single" w:sz="8" w:color="auto"/>
            </w:tcBorders>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1180" w:type="dxa"/>
            <w:vAlign w:val="bottom"/>
            <w:tcBorders>
              <w:right w:val="single" w:sz="8" w:color="auto"/>
            </w:tcBorders>
            <w:vMerge w:val="continue"/>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1400" w:type="dxa"/>
            <w:vAlign w:val="bottom"/>
            <w:gridSpan w:val="2"/>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of Shares That May Yet</w:t>
            </w:r>
          </w:p>
        </w:tc>
        <w:tc>
          <w:tcPr>
            <w:tcW w:w="0" w:type="dxa"/>
            <w:vAlign w:val="bottom"/>
          </w:tcPr>
          <w:p>
            <w:pPr>
              <w:spacing w:after="0"/>
              <w:rPr>
                <w:sz w:val="1"/>
                <w:szCs w:val="1"/>
                <w:color w:val="auto"/>
              </w:rPr>
            </w:pPr>
          </w:p>
        </w:tc>
      </w:tr>
      <w:tr>
        <w:trPr>
          <w:trHeight w:val="26"/>
        </w:trPr>
        <w:tc>
          <w:tcPr>
            <w:tcW w:w="2240" w:type="dxa"/>
            <w:vAlign w:val="bottom"/>
            <w:tcBorders>
              <w:bottom w:val="single" w:sz="8" w:color="auto"/>
            </w:tcBorders>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180" w:type="dxa"/>
            <w:vAlign w:val="bottom"/>
            <w:tcBorders>
              <w:right w:val="single" w:sz="8" w:color="auto"/>
            </w:tcBorders>
            <w:vMerge w:val="restart"/>
          </w:tcPr>
          <w:p>
            <w:pPr>
              <w:jc w:val="right"/>
              <w:spacing w:after="0" w:line="145" w:lineRule="exact"/>
              <w:rPr>
                <w:sz w:val="20"/>
                <w:szCs w:val="20"/>
                <w:color w:val="auto"/>
              </w:rPr>
            </w:pPr>
            <w:r>
              <w:rPr>
                <w:rFonts w:ascii="Times New Roman" w:cs="Times New Roman" w:eastAsia="Times New Roman" w:hAnsi="Times New Roman"/>
                <w:sz w:val="14"/>
                <w:szCs w:val="14"/>
                <w:b w:val="1"/>
                <w:bCs w:val="1"/>
                <w:color w:val="auto"/>
              </w:rPr>
              <w:t>Shares Purchased</w:t>
            </w:r>
          </w:p>
        </w:tc>
        <w:tc>
          <w:tcPr>
            <w:tcW w:w="100" w:type="dxa"/>
            <w:vAlign w:val="bottom"/>
            <w:tcBorders>
              <w:righ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vMerge w:val="restart"/>
          </w:tcPr>
          <w:p>
            <w:pPr>
              <w:jc w:val="right"/>
              <w:spacing w:after="0" w:line="145" w:lineRule="exact"/>
              <w:rPr>
                <w:sz w:val="20"/>
                <w:szCs w:val="20"/>
                <w:color w:val="auto"/>
              </w:rPr>
            </w:pPr>
            <w:r>
              <w:rPr>
                <w:rFonts w:ascii="Times New Roman" w:cs="Times New Roman" w:eastAsia="Times New Roman" w:hAnsi="Times New Roman"/>
                <w:sz w:val="14"/>
                <w:szCs w:val="14"/>
                <w:b w:val="1"/>
                <w:bCs w:val="1"/>
                <w:color w:val="auto"/>
              </w:rPr>
              <w:t>Purchased Under th</w:t>
            </w:r>
          </w:p>
        </w:tc>
        <w:tc>
          <w:tcPr>
            <w:tcW w:w="0" w:type="dxa"/>
            <w:vAlign w:val="bottom"/>
          </w:tcPr>
          <w:p>
            <w:pPr>
              <w:spacing w:after="0"/>
              <w:rPr>
                <w:sz w:val="1"/>
                <w:szCs w:val="1"/>
                <w:color w:val="auto"/>
              </w:rPr>
            </w:pPr>
          </w:p>
        </w:tc>
      </w:tr>
      <w:tr>
        <w:trPr>
          <w:trHeight w:val="98"/>
        </w:trPr>
        <w:tc>
          <w:tcPr>
            <w:tcW w:w="2240" w:type="dxa"/>
            <w:vAlign w:val="bottom"/>
            <w:tcBorders>
              <w:left w:val="single" w:sz="8" w:color="auto"/>
              <w:right w:val="single" w:sz="8" w:color="auto"/>
            </w:tcBorders>
          </w:tcPr>
          <w:p>
            <w:pPr>
              <w:spacing w:after="0"/>
              <w:rPr>
                <w:sz w:val="8"/>
                <w:szCs w:val="8"/>
                <w:color w:val="auto"/>
              </w:rPr>
            </w:pPr>
          </w:p>
        </w:tc>
        <w:tc>
          <w:tcPr>
            <w:tcW w:w="100" w:type="dxa"/>
            <w:vAlign w:val="bottom"/>
            <w:tcBorders>
              <w:right w:val="single" w:sz="8" w:color="auto"/>
            </w:tcBorders>
          </w:tcPr>
          <w:p>
            <w:pPr>
              <w:spacing w:after="0"/>
              <w:rPr>
                <w:sz w:val="8"/>
                <w:szCs w:val="8"/>
                <w:color w:val="auto"/>
              </w:rPr>
            </w:pPr>
          </w:p>
        </w:tc>
        <w:tc>
          <w:tcPr>
            <w:tcW w:w="1500" w:type="dxa"/>
            <w:vAlign w:val="bottom"/>
            <w:tcBorders>
              <w:right w:val="single" w:sz="8" w:color="auto"/>
            </w:tcBorders>
            <w:vMerge w:val="restart"/>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Borders>
              <w:right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360" w:type="dxa"/>
            <w:vAlign w:val="bottom"/>
            <w:tcBorders>
              <w:right w:val="single" w:sz="8" w:color="auto"/>
            </w:tcBorders>
            <w:vMerge w:val="restart"/>
          </w:tcPr>
          <w:p>
            <w:pPr>
              <w:jc w:val="right"/>
              <w:ind w:right="298"/>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100" w:type="dxa"/>
            <w:vAlign w:val="bottom"/>
            <w:tcBorders>
              <w:right w:val="single" w:sz="8" w:color="auto"/>
            </w:tcBorders>
          </w:tcPr>
          <w:p>
            <w:pPr>
              <w:spacing w:after="0"/>
              <w:rPr>
                <w:sz w:val="8"/>
                <w:szCs w:val="8"/>
                <w:color w:val="auto"/>
              </w:rPr>
            </w:pPr>
          </w:p>
        </w:tc>
        <w:tc>
          <w:tcPr>
            <w:tcW w:w="1160" w:type="dxa"/>
            <w:vAlign w:val="bottom"/>
            <w:tcBorders>
              <w:right w:val="single" w:sz="8" w:color="auto"/>
            </w:tcBorders>
            <w:vMerge w:val="restart"/>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Borders>
              <w:right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100" w:type="dxa"/>
            <w:vAlign w:val="bottom"/>
            <w:tcBorders>
              <w:right w:val="single" w:sz="8" w:color="auto"/>
            </w:tcBorders>
            <w:vMerge w:val="restart"/>
          </w:tcPr>
          <w:p>
            <w:pPr>
              <w:jc w:val="right"/>
              <w:ind w:right="118"/>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120" w:type="dxa"/>
            <w:vAlign w:val="bottom"/>
            <w:tcBorders>
              <w:right w:val="single" w:sz="8" w:color="auto"/>
            </w:tcBorders>
          </w:tcPr>
          <w:p>
            <w:pPr>
              <w:spacing w:after="0"/>
              <w:rPr>
                <w:sz w:val="8"/>
                <w:szCs w:val="8"/>
                <w:color w:val="auto"/>
              </w:rPr>
            </w:pPr>
          </w:p>
        </w:tc>
        <w:tc>
          <w:tcPr>
            <w:tcW w:w="1180" w:type="dxa"/>
            <w:vAlign w:val="bottom"/>
            <w:tcBorders>
              <w:right w:val="single" w:sz="8" w:color="auto"/>
            </w:tcBorders>
            <w:vMerge w:val="continue"/>
          </w:tcPr>
          <w:p>
            <w:pPr>
              <w:spacing w:after="0"/>
              <w:rPr>
                <w:sz w:val="8"/>
                <w:szCs w:val="8"/>
                <w:color w:val="auto"/>
              </w:rPr>
            </w:pPr>
          </w:p>
        </w:tc>
        <w:tc>
          <w:tcPr>
            <w:tcW w:w="100" w:type="dxa"/>
            <w:vAlign w:val="bottom"/>
            <w:tcBorders>
              <w:right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0"/>
        </w:trPr>
        <w:tc>
          <w:tcPr>
            <w:tcW w:w="22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00" w:type="dxa"/>
            <w:vAlign w:val="bottom"/>
            <w:tcBorders>
              <w:right w:val="single" w:sz="8" w:color="auto"/>
            </w:tcBorders>
          </w:tcPr>
          <w:p>
            <w:pPr>
              <w:spacing w:after="0"/>
              <w:rPr>
                <w:sz w:val="14"/>
                <w:szCs w:val="14"/>
                <w:color w:val="auto"/>
              </w:rPr>
            </w:pPr>
          </w:p>
        </w:tc>
        <w:tc>
          <w:tcPr>
            <w:tcW w:w="1500" w:type="dxa"/>
            <w:vAlign w:val="bottom"/>
            <w:tcBorders>
              <w:right w:val="single" w:sz="8" w:color="auto"/>
            </w:tcBorders>
            <w:vMerge w:val="continue"/>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Borders>
              <w:right w:val="single" w:sz="8" w:color="auto"/>
            </w:tcBorders>
            <w:vMerge w:val="continue"/>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1160" w:type="dxa"/>
            <w:vAlign w:val="bottom"/>
            <w:tcBorders>
              <w:right w:val="single" w:sz="8" w:color="auto"/>
            </w:tcBorders>
            <w:vMerge w:val="continue"/>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Borders>
              <w:right w:val="single" w:sz="8" w:color="auto"/>
            </w:tcBorders>
            <w:vMerge w:val="continue"/>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1180" w:type="dxa"/>
            <w:vAlign w:val="bottom"/>
            <w:tcBorders>
              <w:right w:val="single" w:sz="8" w:color="auto"/>
            </w:tcBorders>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Plans or Programs</w:t>
            </w:r>
          </w:p>
        </w:tc>
        <w:tc>
          <w:tcPr>
            <w:tcW w:w="0" w:type="dxa"/>
            <w:vAlign w:val="bottom"/>
          </w:tcPr>
          <w:p>
            <w:pPr>
              <w:spacing w:after="0"/>
              <w:rPr>
                <w:sz w:val="1"/>
                <w:szCs w:val="1"/>
                <w:color w:val="auto"/>
              </w:rPr>
            </w:pPr>
          </w:p>
        </w:tc>
      </w:tr>
      <w:tr>
        <w:trPr>
          <w:trHeight w:val="185"/>
        </w:trPr>
        <w:tc>
          <w:tcPr>
            <w:tcW w:w="2240" w:type="dxa"/>
            <w:vAlign w:val="bottom"/>
            <w:tcBorders>
              <w:left w:val="single" w:sz="8" w:color="auto"/>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1500" w:type="dxa"/>
            <w:vAlign w:val="bottom"/>
            <w:tcBorders>
              <w:right w:val="single" w:sz="8" w:color="auto"/>
            </w:tcBorders>
          </w:tcPr>
          <w:p>
            <w:pPr>
              <w:jc w:val="right"/>
              <w:ind w:right="141"/>
              <w:spacing w:after="0"/>
              <w:rPr>
                <w:sz w:val="20"/>
                <w:szCs w:val="20"/>
                <w:color w:val="auto"/>
              </w:rPr>
            </w:pPr>
            <w:r>
              <w:rPr>
                <w:rFonts w:ascii="Times New Roman" w:cs="Times New Roman" w:eastAsia="Times New Roman" w:hAnsi="Times New Roman"/>
                <w:sz w:val="14"/>
                <w:szCs w:val="14"/>
                <w:b w:val="1"/>
                <w:bCs w:val="1"/>
                <w:color w:val="auto"/>
              </w:rPr>
              <w:t>Shares Purchased</w:t>
            </w:r>
          </w:p>
        </w:tc>
        <w:tc>
          <w:tcPr>
            <w:tcW w:w="12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Borders>
              <w:right w:val="single" w:sz="8" w:color="auto"/>
            </w:tcBorders>
          </w:tcPr>
          <w:p>
            <w:pPr>
              <w:jc w:val="right"/>
              <w:ind w:right="278"/>
              <w:spacing w:after="0"/>
              <w:rPr>
                <w:sz w:val="20"/>
                <w:szCs w:val="20"/>
                <w:color w:val="auto"/>
              </w:rPr>
            </w:pPr>
            <w:r>
              <w:rPr>
                <w:rFonts w:ascii="Times New Roman" w:cs="Times New Roman" w:eastAsia="Times New Roman" w:hAnsi="Times New Roman"/>
                <w:sz w:val="14"/>
                <w:szCs w:val="14"/>
                <w:b w:val="1"/>
                <w:bCs w:val="1"/>
                <w:color w:val="auto"/>
              </w:rPr>
              <w:t>Paid per share</w:t>
            </w:r>
          </w:p>
        </w:tc>
        <w:tc>
          <w:tcPr>
            <w:tcW w:w="100" w:type="dxa"/>
            <w:vAlign w:val="bottom"/>
            <w:tcBorders>
              <w:right w:val="single" w:sz="8" w:color="auto"/>
            </w:tcBorders>
          </w:tcPr>
          <w:p>
            <w:pPr>
              <w:spacing w:after="0"/>
              <w:rPr>
                <w:sz w:val="16"/>
                <w:szCs w:val="16"/>
                <w:color w:val="auto"/>
              </w:rPr>
            </w:pPr>
          </w:p>
        </w:tc>
        <w:tc>
          <w:tcPr>
            <w:tcW w:w="11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Shares Purchased</w:t>
            </w:r>
          </w:p>
        </w:tc>
        <w:tc>
          <w:tcPr>
            <w:tcW w:w="10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Borders>
              <w:right w:val="single" w:sz="8" w:color="auto"/>
            </w:tcBorders>
          </w:tcPr>
          <w:p>
            <w:pPr>
              <w:jc w:val="right"/>
              <w:ind w:right="98"/>
              <w:spacing w:after="0"/>
              <w:rPr>
                <w:sz w:val="20"/>
                <w:szCs w:val="20"/>
                <w:color w:val="auto"/>
              </w:rPr>
            </w:pPr>
            <w:r>
              <w:rPr>
                <w:rFonts w:ascii="Times New Roman" w:cs="Times New Roman" w:eastAsia="Times New Roman" w:hAnsi="Times New Roman"/>
                <w:sz w:val="14"/>
                <w:szCs w:val="14"/>
                <w:b w:val="1"/>
                <w:bCs w:val="1"/>
                <w:color w:val="auto"/>
              </w:rPr>
              <w:t>Paid per share</w:t>
            </w:r>
          </w:p>
        </w:tc>
        <w:tc>
          <w:tcPr>
            <w:tcW w:w="120" w:type="dxa"/>
            <w:vAlign w:val="bottom"/>
            <w:tcBorders>
              <w:right w:val="single" w:sz="8" w:color="auto"/>
            </w:tcBorders>
          </w:tcPr>
          <w:p>
            <w:pPr>
              <w:spacing w:after="0"/>
              <w:rPr>
                <w:sz w:val="16"/>
                <w:szCs w:val="16"/>
                <w:color w:val="auto"/>
              </w:rPr>
            </w:pPr>
          </w:p>
        </w:tc>
        <w:tc>
          <w:tcPr>
            <w:tcW w:w="1180" w:type="dxa"/>
            <w:vAlign w:val="bottom"/>
            <w:tcBorders>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2240" w:type="dxa"/>
            <w:vAlign w:val="bottom"/>
            <w:tcBorders>
              <w:left w:val="single" w:sz="8" w:color="auto"/>
              <w:bottom w:val="single" w:sz="8" w:color="auto"/>
              <w:right w:val="single" w:sz="8" w:color="auto"/>
            </w:tcBorders>
          </w:tcPr>
          <w:p>
            <w:pPr>
              <w:spacing w:after="0"/>
              <w:rPr>
                <w:sz w:val="3"/>
                <w:szCs w:val="3"/>
                <w:color w:val="auto"/>
              </w:rPr>
            </w:pPr>
          </w:p>
        </w:tc>
        <w:tc>
          <w:tcPr>
            <w:tcW w:w="100" w:type="dxa"/>
            <w:vAlign w:val="bottom"/>
            <w:tcBorders>
              <w:bottom w:val="single" w:sz="8" w:color="CCEEFF"/>
              <w:right w:val="single" w:sz="8" w:color="auto"/>
            </w:tcBorders>
          </w:tcPr>
          <w:p>
            <w:pPr>
              <w:spacing w:after="0"/>
              <w:rPr>
                <w:sz w:val="3"/>
                <w:szCs w:val="3"/>
                <w:color w:val="auto"/>
              </w:rPr>
            </w:pPr>
          </w:p>
        </w:tc>
        <w:tc>
          <w:tcPr>
            <w:tcW w:w="1500" w:type="dxa"/>
            <w:vAlign w:val="bottom"/>
            <w:tcBorders>
              <w:bottom w:val="single" w:sz="8" w:color="auto"/>
              <w:right w:val="single" w:sz="8" w:color="auto"/>
            </w:tcBorders>
          </w:tcPr>
          <w:p>
            <w:pPr>
              <w:spacing w:after="0"/>
              <w:rPr>
                <w:sz w:val="3"/>
                <w:szCs w:val="3"/>
                <w:color w:val="auto"/>
              </w:rPr>
            </w:pPr>
          </w:p>
        </w:tc>
        <w:tc>
          <w:tcPr>
            <w:tcW w:w="120" w:type="dxa"/>
            <w:vAlign w:val="bottom"/>
            <w:tcBorders>
              <w:bottom w:val="single" w:sz="8" w:color="auto"/>
              <w:right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60" w:type="dxa"/>
            <w:vAlign w:val="bottom"/>
            <w:tcBorders>
              <w:bottom w:val="single" w:sz="8" w:color="auto"/>
              <w:right w:val="single" w:sz="8" w:color="auto"/>
            </w:tcBorders>
          </w:tcPr>
          <w:p>
            <w:pPr>
              <w:spacing w:after="0"/>
              <w:rPr>
                <w:sz w:val="3"/>
                <w:szCs w:val="3"/>
                <w:color w:val="auto"/>
              </w:rPr>
            </w:pPr>
          </w:p>
        </w:tc>
        <w:tc>
          <w:tcPr>
            <w:tcW w:w="100" w:type="dxa"/>
            <w:vAlign w:val="bottom"/>
            <w:tcBorders>
              <w:bottom w:val="single" w:sz="8" w:color="CCEEFF"/>
              <w:right w:val="single" w:sz="8" w:color="auto"/>
            </w:tcBorders>
          </w:tcPr>
          <w:p>
            <w:pPr>
              <w:spacing w:after="0"/>
              <w:rPr>
                <w:sz w:val="3"/>
                <w:szCs w:val="3"/>
                <w:color w:val="auto"/>
              </w:rPr>
            </w:pPr>
          </w:p>
        </w:tc>
        <w:tc>
          <w:tcPr>
            <w:tcW w:w="1160" w:type="dxa"/>
            <w:vAlign w:val="bottom"/>
            <w:tcBorders>
              <w:bottom w:val="single" w:sz="8" w:color="auto"/>
              <w:right w:val="single" w:sz="8" w:color="auto"/>
            </w:tcBorders>
          </w:tcPr>
          <w:p>
            <w:pPr>
              <w:spacing w:after="0"/>
              <w:rPr>
                <w:sz w:val="3"/>
                <w:szCs w:val="3"/>
                <w:color w:val="auto"/>
              </w:rPr>
            </w:pPr>
          </w:p>
        </w:tc>
        <w:tc>
          <w:tcPr>
            <w:tcW w:w="100" w:type="dxa"/>
            <w:vAlign w:val="bottom"/>
            <w:tcBorders>
              <w:bottom w:val="single" w:sz="8" w:color="auto"/>
              <w:right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00" w:type="dxa"/>
            <w:vAlign w:val="bottom"/>
            <w:tcBorders>
              <w:bottom w:val="single" w:sz="8" w:color="auto"/>
              <w:right w:val="single" w:sz="8" w:color="auto"/>
            </w:tcBorders>
          </w:tcPr>
          <w:p>
            <w:pPr>
              <w:spacing w:after="0"/>
              <w:rPr>
                <w:sz w:val="3"/>
                <w:szCs w:val="3"/>
                <w:color w:val="auto"/>
              </w:rPr>
            </w:pPr>
          </w:p>
        </w:tc>
        <w:tc>
          <w:tcPr>
            <w:tcW w:w="120" w:type="dxa"/>
            <w:vAlign w:val="bottom"/>
            <w:tcBorders>
              <w:bottom w:val="single" w:sz="8" w:color="CCEEFF"/>
              <w:right w:val="single" w:sz="8" w:color="auto"/>
            </w:tcBorders>
          </w:tcPr>
          <w:p>
            <w:pPr>
              <w:spacing w:after="0"/>
              <w:rPr>
                <w:sz w:val="3"/>
                <w:szCs w:val="3"/>
                <w:color w:val="auto"/>
              </w:rPr>
            </w:pPr>
          </w:p>
        </w:tc>
        <w:tc>
          <w:tcPr>
            <w:tcW w:w="1180" w:type="dxa"/>
            <w:vAlign w:val="bottom"/>
            <w:tcBorders>
              <w:bottom w:val="single" w:sz="8" w:color="auto"/>
              <w:right w:val="single" w:sz="8" w:color="auto"/>
            </w:tcBorders>
          </w:tcPr>
          <w:p>
            <w:pPr>
              <w:spacing w:after="0"/>
              <w:rPr>
                <w:sz w:val="3"/>
                <w:szCs w:val="3"/>
                <w:color w:val="auto"/>
              </w:rPr>
            </w:pPr>
          </w:p>
        </w:tc>
        <w:tc>
          <w:tcPr>
            <w:tcW w:w="100" w:type="dxa"/>
            <w:vAlign w:val="bottom"/>
            <w:tcBorders>
              <w:bottom w:val="single" w:sz="8" w:color="CCEEFF"/>
              <w:right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240" w:type="dxa"/>
            <w:vAlign w:val="bottom"/>
            <w:tcBorders>
              <w:left w:val="single" w:sz="8" w:color="CCEEFF"/>
              <w:right w:val="single" w:sz="8" w:color="CCEEFF"/>
            </w:tcBorders>
            <w:shd w:val="clear" w:color="auto" w:fill="CCEEFF"/>
          </w:tcPr>
          <w:p>
            <w:pPr>
              <w:ind w:left="20"/>
              <w:spacing w:after="0" w:line="163" w:lineRule="exact"/>
              <w:rPr>
                <w:sz w:val="20"/>
                <w:szCs w:val="20"/>
                <w:color w:val="auto"/>
              </w:rPr>
            </w:pPr>
            <w:r>
              <w:rPr>
                <w:rFonts w:ascii="Times New Roman" w:cs="Times New Roman" w:eastAsia="Times New Roman" w:hAnsi="Times New Roman"/>
                <w:sz w:val="17"/>
                <w:szCs w:val="17"/>
                <w:color w:val="auto"/>
              </w:rPr>
              <w:t>July 1, 2024 through July 31,</w:t>
            </w:r>
          </w:p>
        </w:tc>
        <w:tc>
          <w:tcPr>
            <w:tcW w:w="100" w:type="dxa"/>
            <w:vAlign w:val="bottom"/>
            <w:tcBorders>
              <w:right w:val="single" w:sz="8" w:color="CCEEFF"/>
            </w:tcBorders>
            <w:shd w:val="clear" w:color="auto" w:fill="CCEEFF"/>
          </w:tcPr>
          <w:p>
            <w:pPr>
              <w:spacing w:after="0"/>
              <w:rPr>
                <w:sz w:val="14"/>
                <w:szCs w:val="14"/>
                <w:color w:val="auto"/>
              </w:rPr>
            </w:pPr>
          </w:p>
        </w:tc>
        <w:tc>
          <w:tcPr>
            <w:tcW w:w="1500" w:type="dxa"/>
            <w:vAlign w:val="bottom"/>
            <w:tcBorders>
              <w:right w:val="single" w:sz="8" w:color="CCEEFF"/>
            </w:tcBorders>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60" w:type="dxa"/>
            <w:vAlign w:val="bottom"/>
            <w:tcBorders>
              <w:right w:val="single" w:sz="8" w:color="CCEEFF"/>
            </w:tcBorders>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1160" w:type="dxa"/>
            <w:vAlign w:val="bottom"/>
            <w:tcBorders>
              <w:right w:val="single" w:sz="8" w:color="CCEEFF"/>
            </w:tcBorders>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tcBorders>
              <w:right w:val="single" w:sz="8" w:color="CCEEFF"/>
            </w:tcBorders>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1180" w:type="dxa"/>
            <w:vAlign w:val="bottom"/>
            <w:tcBorders>
              <w:right w:val="single" w:sz="8" w:color="CCEEFF"/>
            </w:tcBorders>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2240" w:type="dxa"/>
            <w:vAlign w:val="bottom"/>
            <w:tcBorders>
              <w:left w:val="single" w:sz="8" w:color="CCEEFF"/>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2024</w:t>
            </w:r>
          </w:p>
        </w:tc>
        <w:tc>
          <w:tcPr>
            <w:tcW w:w="100" w:type="dxa"/>
            <w:vAlign w:val="bottom"/>
            <w:tcBorders>
              <w:right w:val="single" w:sz="8" w:color="CCEEFF"/>
            </w:tcBorders>
            <w:shd w:val="clear" w:color="auto" w:fill="CCEEFF"/>
          </w:tcPr>
          <w:p>
            <w:pPr>
              <w:spacing w:after="0"/>
              <w:rPr>
                <w:sz w:val="20"/>
                <w:szCs w:val="20"/>
                <w:color w:val="auto"/>
              </w:rPr>
            </w:pPr>
          </w:p>
        </w:tc>
        <w:tc>
          <w:tcPr>
            <w:tcW w:w="16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Borders>
              <w:right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1,001,207</w:t>
            </w:r>
          </w:p>
        </w:tc>
        <w:tc>
          <w:tcPr>
            <w:tcW w:w="10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30.79</w:t>
            </w:r>
          </w:p>
        </w:tc>
        <w:tc>
          <w:tcPr>
            <w:tcW w:w="120" w:type="dxa"/>
            <w:vAlign w:val="bottom"/>
            <w:tcBorders>
              <w:right w:val="single" w:sz="8" w:color="CCEEFF"/>
            </w:tcBorders>
            <w:shd w:val="clear" w:color="auto" w:fill="CCEEFF"/>
          </w:tcPr>
          <w:p>
            <w:pPr>
              <w:spacing w:after="0"/>
              <w:rPr>
                <w:sz w:val="20"/>
                <w:szCs w:val="20"/>
                <w:color w:val="auto"/>
              </w:rPr>
            </w:pPr>
          </w:p>
        </w:tc>
        <w:tc>
          <w:tcPr>
            <w:tcW w:w="11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1,001,207</w:t>
            </w:r>
          </w:p>
        </w:tc>
        <w:tc>
          <w:tcPr>
            <w:tcW w:w="10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360,347,7</w:t>
            </w:r>
          </w:p>
        </w:tc>
        <w:tc>
          <w:tcPr>
            <w:tcW w:w="0" w:type="dxa"/>
            <w:vAlign w:val="bottom"/>
          </w:tcPr>
          <w:p>
            <w:pPr>
              <w:spacing w:after="0"/>
              <w:rPr>
                <w:sz w:val="1"/>
                <w:szCs w:val="1"/>
                <w:color w:val="auto"/>
              </w:rPr>
            </w:pPr>
          </w:p>
        </w:tc>
      </w:tr>
      <w:tr>
        <w:trPr>
          <w:trHeight w:val="170"/>
        </w:trPr>
        <w:tc>
          <w:tcPr>
            <w:tcW w:w="2340" w:type="dxa"/>
            <w:vAlign w:val="bottom"/>
            <w:gridSpan w:val="2"/>
          </w:tcPr>
          <w:p>
            <w:pPr>
              <w:ind w:left="20"/>
              <w:spacing w:after="0" w:line="171" w:lineRule="exact"/>
              <w:rPr>
                <w:sz w:val="20"/>
                <w:szCs w:val="20"/>
                <w:color w:val="auto"/>
              </w:rPr>
            </w:pPr>
            <w:r>
              <w:rPr>
                <w:rFonts w:ascii="Times New Roman" w:cs="Times New Roman" w:eastAsia="Times New Roman" w:hAnsi="Times New Roman"/>
                <w:sz w:val="17"/>
                <w:szCs w:val="17"/>
                <w:color w:val="auto"/>
              </w:rPr>
              <w:t>August 1, 2024 through</w:t>
            </w: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23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August 31, 2024</w:t>
            </w: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Pr>
          <w:p>
            <w:pPr>
              <w:jc w:val="right"/>
              <w:ind w:right="1"/>
              <w:spacing w:after="0"/>
              <w:rPr>
                <w:sz w:val="20"/>
                <w:szCs w:val="20"/>
                <w:color w:val="auto"/>
              </w:rPr>
            </w:pPr>
            <w:r>
              <w:rPr>
                <w:rFonts w:ascii="Times New Roman" w:cs="Times New Roman" w:eastAsia="Times New Roman" w:hAnsi="Times New Roman"/>
                <w:sz w:val="17"/>
                <w:szCs w:val="17"/>
                <w:color w:val="auto"/>
              </w:rPr>
              <w:t>487,432</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34.26</w:t>
            </w: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487,432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343,647,0</w:t>
            </w:r>
          </w:p>
        </w:tc>
        <w:tc>
          <w:tcPr>
            <w:tcW w:w="0" w:type="dxa"/>
            <w:vAlign w:val="bottom"/>
          </w:tcPr>
          <w:p>
            <w:pPr>
              <w:spacing w:after="0"/>
              <w:rPr>
                <w:sz w:val="1"/>
                <w:szCs w:val="1"/>
                <w:color w:val="auto"/>
              </w:rPr>
            </w:pPr>
          </w:p>
        </w:tc>
      </w:tr>
      <w:tr>
        <w:trPr>
          <w:trHeight w:val="171"/>
        </w:trPr>
        <w:tc>
          <w:tcPr>
            <w:tcW w:w="2340" w:type="dxa"/>
            <w:vAlign w:val="bottom"/>
            <w:tcBorders>
              <w:left w:val="single" w:sz="8" w:color="CCEEFF"/>
              <w:right w:val="single" w:sz="8" w:color="CCEEFF"/>
            </w:tcBorders>
            <w:gridSpan w:val="2"/>
            <w:shd w:val="clear" w:color="auto" w:fill="CCEEFF"/>
          </w:tcPr>
          <w:p>
            <w:pPr>
              <w:ind w:left="20"/>
              <w:spacing w:after="0" w:line="171" w:lineRule="exact"/>
              <w:rPr>
                <w:sz w:val="20"/>
                <w:szCs w:val="20"/>
                <w:color w:val="auto"/>
              </w:rPr>
            </w:pPr>
            <w:r>
              <w:rPr>
                <w:rFonts w:ascii="Times New Roman" w:cs="Times New Roman" w:eastAsia="Times New Roman" w:hAnsi="Times New Roman"/>
                <w:sz w:val="17"/>
                <w:szCs w:val="17"/>
                <w:color w:val="auto"/>
              </w:rPr>
              <w:t>September 1, 2024 through</w:t>
            </w:r>
          </w:p>
        </w:tc>
        <w:tc>
          <w:tcPr>
            <w:tcW w:w="1500" w:type="dxa"/>
            <w:vAlign w:val="bottom"/>
            <w:tcBorders>
              <w:right w:val="single" w:sz="8" w:color="CCEEFF"/>
            </w:tcBorders>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60" w:type="dxa"/>
            <w:vAlign w:val="bottom"/>
            <w:tcBorders>
              <w:right w:val="single" w:sz="8" w:color="CCEEFF"/>
            </w:tcBorders>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1160" w:type="dxa"/>
            <w:vAlign w:val="bottom"/>
            <w:tcBorders>
              <w:right w:val="single" w:sz="8" w:color="CCEEFF"/>
            </w:tcBorders>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tcBorders>
              <w:right w:val="single" w:sz="8" w:color="CCEEFF"/>
            </w:tcBorders>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1180" w:type="dxa"/>
            <w:vAlign w:val="bottom"/>
            <w:tcBorders>
              <w:right w:val="single" w:sz="8" w:color="CCEEFF"/>
            </w:tcBorders>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2340" w:type="dxa"/>
            <w:vAlign w:val="bottom"/>
            <w:tcBorders>
              <w:left w:val="single" w:sz="8" w:color="CCEEFF"/>
              <w:righ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September 30, 2024</w:t>
            </w:r>
          </w:p>
        </w:tc>
        <w:tc>
          <w:tcPr>
            <w:tcW w:w="1500" w:type="dxa"/>
            <w:vAlign w:val="bottom"/>
            <w:tcBorders>
              <w:bottom w:val="single" w:sz="8" w:color="auto"/>
              <w:right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91,565</w:t>
            </w:r>
          </w:p>
        </w:tc>
        <w:tc>
          <w:tcPr>
            <w:tcW w:w="120" w:type="dxa"/>
            <w:vAlign w:val="bottom"/>
            <w:tcBorders>
              <w:right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bottom w:val="single" w:sz="8" w:color="auto"/>
              <w:right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color w:val="auto"/>
              </w:rPr>
              <w:t>36.54</w:t>
            </w:r>
          </w:p>
        </w:tc>
        <w:tc>
          <w:tcPr>
            <w:tcW w:w="100" w:type="dxa"/>
            <w:vAlign w:val="bottom"/>
            <w:tcBorders>
              <w:right w:val="single" w:sz="8" w:color="CCEEFF"/>
            </w:tcBorders>
            <w:shd w:val="clear" w:color="auto" w:fill="CCEEFF"/>
          </w:tcPr>
          <w:p>
            <w:pPr>
              <w:spacing w:after="0"/>
              <w:rPr>
                <w:sz w:val="20"/>
                <w:szCs w:val="20"/>
                <w:color w:val="auto"/>
              </w:rPr>
            </w:pPr>
          </w:p>
        </w:tc>
        <w:tc>
          <w:tcPr>
            <w:tcW w:w="1160" w:type="dxa"/>
            <w:vAlign w:val="bottom"/>
            <w:tcBorders>
              <w:bottom w:val="single" w:sz="8" w:color="auto"/>
              <w:right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249,475</w:t>
            </w:r>
          </w:p>
        </w:tc>
        <w:tc>
          <w:tcPr>
            <w:tcW w:w="100" w:type="dxa"/>
            <w:vAlign w:val="bottom"/>
            <w:tcBorders>
              <w:right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35.89</w:t>
            </w:r>
          </w:p>
        </w:tc>
        <w:tc>
          <w:tcPr>
            <w:tcW w:w="120" w:type="dxa"/>
            <w:vAlign w:val="bottom"/>
            <w:tcBorders>
              <w:right w:val="single" w:sz="8" w:color="CCEEFF"/>
            </w:tcBorders>
            <w:shd w:val="clear" w:color="auto" w:fill="CCEEFF"/>
          </w:tcPr>
          <w:p>
            <w:pPr>
              <w:spacing w:after="0"/>
              <w:rPr>
                <w:sz w:val="20"/>
                <w:szCs w:val="20"/>
                <w:color w:val="auto"/>
              </w:rPr>
            </w:pPr>
          </w:p>
        </w:tc>
        <w:tc>
          <w:tcPr>
            <w:tcW w:w="11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341,040</w:t>
            </w:r>
          </w:p>
        </w:tc>
        <w:tc>
          <w:tcPr>
            <w:tcW w:w="100" w:type="dxa"/>
            <w:vAlign w:val="bottom"/>
            <w:tcBorders>
              <w:right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334,692,8</w:t>
            </w:r>
          </w:p>
        </w:tc>
        <w:tc>
          <w:tcPr>
            <w:tcW w:w="0" w:type="dxa"/>
            <w:vAlign w:val="bottom"/>
          </w:tcPr>
          <w:p>
            <w:pPr>
              <w:spacing w:after="0"/>
              <w:rPr>
                <w:sz w:val="1"/>
                <w:szCs w:val="1"/>
                <w:color w:val="auto"/>
              </w:rPr>
            </w:pPr>
          </w:p>
        </w:tc>
      </w:tr>
      <w:tr>
        <w:trPr>
          <w:trHeight w:val="216"/>
        </w:trPr>
        <w:tc>
          <w:tcPr>
            <w:tcW w:w="23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15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7"/>
                <w:szCs w:val="17"/>
                <w:color w:val="auto"/>
              </w:rPr>
              <w:t>91,565</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7"/>
                <w:szCs w:val="17"/>
                <w:color w:val="auto"/>
              </w:rPr>
              <w:t>36.54</w:t>
            </w:r>
          </w:p>
        </w:tc>
        <w:tc>
          <w:tcPr>
            <w:tcW w:w="100" w:type="dxa"/>
            <w:vAlign w:val="bottom"/>
          </w:tcPr>
          <w:p>
            <w:pPr>
              <w:spacing w:after="0"/>
              <w:rPr>
                <w:sz w:val="18"/>
                <w:szCs w:val="18"/>
                <w:color w:val="auto"/>
              </w:rPr>
            </w:pPr>
          </w:p>
        </w:tc>
        <w:tc>
          <w:tcPr>
            <w:tcW w:w="11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7"/>
                <w:szCs w:val="17"/>
                <w:color w:val="auto"/>
              </w:rPr>
              <w:t>1,738,114</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32.50</w:t>
            </w:r>
          </w:p>
        </w:tc>
        <w:tc>
          <w:tcPr>
            <w:tcW w:w="120" w:type="dxa"/>
            <w:vAlign w:val="bottom"/>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1,829,679</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both"/>
        <w:ind w:right="100" w:firstLine="393"/>
        <w:spacing w:after="0" w:line="281" w:lineRule="auto"/>
        <w:rPr>
          <w:sz w:val="20"/>
          <w:szCs w:val="20"/>
          <w:color w:val="auto"/>
        </w:rPr>
      </w:pPr>
      <w:r>
        <w:rPr>
          <w:rFonts w:ascii="Times New Roman" w:cs="Times New Roman" w:eastAsia="Times New Roman" w:hAnsi="Times New Roman"/>
          <w:sz w:val="17"/>
          <w:szCs w:val="17"/>
          <w:color w:val="auto"/>
        </w:rPr>
        <w:t>On October 5, 2021, our board of directors authorized a $300 million (excluding excise tax) common stock repurchase program beginning January 1, 2022 (the “2022 Repurchase Program”).</w:t>
      </w:r>
    </w:p>
    <w:p>
      <w:pPr>
        <w:spacing w:after="0" w:line="185" w:lineRule="exact"/>
        <w:rPr>
          <w:sz w:val="20"/>
          <w:szCs w:val="20"/>
          <w:color w:val="auto"/>
        </w:rPr>
      </w:pPr>
    </w:p>
    <w:p>
      <w:pPr>
        <w:ind w:right="100" w:firstLine="393"/>
        <w:spacing w:after="0" w:line="281" w:lineRule="auto"/>
        <w:rPr>
          <w:sz w:val="20"/>
          <w:szCs w:val="20"/>
          <w:color w:val="auto"/>
        </w:rPr>
      </w:pPr>
      <w:r>
        <w:rPr>
          <w:rFonts w:ascii="Times New Roman" w:cs="Times New Roman" w:eastAsia="Times New Roman" w:hAnsi="Times New Roman"/>
          <w:sz w:val="17"/>
          <w:szCs w:val="17"/>
          <w:color w:val="auto"/>
        </w:rPr>
        <w:t>On February 26, 2024, our board of directors authorized a $500 million (excluding excise tax) common stock repurchase program beginning March 1, 2024 (the “2024 Repurchase Program”), and terminated the 2022 Repurchase Program on February 29, 2024.</w:t>
      </w:r>
    </w:p>
    <w:p>
      <w:pPr>
        <w:spacing w:after="0" w:line="159" w:lineRule="exact"/>
        <w:rPr>
          <w:sz w:val="20"/>
          <w:szCs w:val="20"/>
          <w:color w:val="auto"/>
        </w:rPr>
      </w:pPr>
    </w:p>
    <w:p>
      <w:pPr>
        <w:jc w:val="both"/>
        <w:ind w:right="100" w:firstLine="393"/>
        <w:spacing w:after="0" w:line="261" w:lineRule="auto"/>
        <w:rPr>
          <w:sz w:val="20"/>
          <w:szCs w:val="20"/>
          <w:color w:val="auto"/>
        </w:rPr>
      </w:pPr>
      <w:r>
        <w:rPr>
          <w:rFonts w:ascii="Times New Roman" w:cs="Times New Roman" w:eastAsia="Times New Roman" w:hAnsi="Times New Roman"/>
          <w:sz w:val="17"/>
          <w:szCs w:val="17"/>
          <w:color w:val="auto"/>
        </w:rPr>
        <w:t>On July 19, 2024, upon final settlement of the 2024 ASR Agreement, we received 820,433 additional shares of our common stock based on a daily volume-weighted average price of $29.97 per share during the term of the 2024 ASR Agreement. See Note 19 – Capital Structure to our unaudited consolidated financial statements under Part I, Item 1, “Financial Statements” for further details.</w:t>
      </w:r>
    </w:p>
    <w:p>
      <w:pPr>
        <w:spacing w:after="0" w:line="201" w:lineRule="exact"/>
        <w:rPr>
          <w:sz w:val="20"/>
          <w:szCs w:val="20"/>
          <w:color w:val="auto"/>
        </w:rPr>
      </w:pPr>
    </w:p>
    <w:p>
      <w:pPr>
        <w:jc w:val="both"/>
        <w:ind w:right="100" w:firstLine="393"/>
        <w:spacing w:after="0" w:line="269" w:lineRule="auto"/>
        <w:rPr>
          <w:sz w:val="20"/>
          <w:szCs w:val="20"/>
          <w:color w:val="auto"/>
        </w:rPr>
      </w:pPr>
      <w:r>
        <w:rPr>
          <w:rFonts w:ascii="Times New Roman" w:cs="Times New Roman" w:eastAsia="Times New Roman" w:hAnsi="Times New Roman"/>
          <w:sz w:val="17"/>
          <w:szCs w:val="17"/>
          <w:color w:val="auto"/>
        </w:rPr>
        <w:t>Under our two repurchase programs, shares may be purchased by us from time to time from the open market and through private transactions, or otherwise, as determined by our management as market conditions warrant. We have structured open market purchases under our two repurchase programs to comply with Rule 10b-18 under the Exchange Act. Repurchases may be discontinued at any time by management.</w:t>
      </w:r>
    </w:p>
    <w:p>
      <w:pPr>
        <w:spacing w:after="0" w:line="154"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7"/>
          <w:szCs w:val="17"/>
          <w:b w:val="1"/>
          <w:bCs w:val="1"/>
          <w:color w:val="auto"/>
        </w:rPr>
        <w:t>ITEM 3.</w:t>
        <w:tab/>
        <w:t>Defaults Upon Senior Securities</w:t>
      </w:r>
    </w:p>
    <w:p>
      <w:pPr>
        <w:spacing w:after="0" w:line="25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None.</w:t>
      </w:r>
    </w:p>
    <w:p>
      <w:pPr>
        <w:spacing w:after="0" w:line="248"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7"/>
          <w:szCs w:val="17"/>
          <w:b w:val="1"/>
          <w:bCs w:val="1"/>
          <w:color w:val="auto"/>
        </w:rPr>
        <w:t>ITEM 4.</w:t>
        <w:tab/>
        <w:t>Mine Safety Disclosures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Not applicable.</w:t>
      </w:r>
    </w:p>
    <w:p>
      <w:pPr>
        <w:spacing w:after="0" w:line="248"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7"/>
          <w:szCs w:val="17"/>
          <w:b w:val="1"/>
          <w:bCs w:val="1"/>
          <w:color w:val="auto"/>
        </w:rPr>
        <w:t>ITEM 5.</w:t>
        <w:tab/>
        <w:t>Other Information</w:t>
      </w:r>
    </w:p>
    <w:p>
      <w:pPr>
        <w:spacing w:after="0" w:line="12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On October 28, 2024, the Company and Anita Mahon, Executive Vice President and Business Head, Healthcare, agreed that effective April 1, 2025, Ms.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Mahon will transition to a new role as Chief Strategy Officer.</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Rule 10b5-1 Trading Plans</w:t>
      </w:r>
    </w:p>
    <w:p>
      <w:pPr>
        <w:spacing w:after="0" w:line="241" w:lineRule="exact"/>
        <w:rPr>
          <w:sz w:val="20"/>
          <w:szCs w:val="20"/>
          <w:color w:val="auto"/>
        </w:rPr>
      </w:pPr>
    </w:p>
    <w:p>
      <w:pPr>
        <w:jc w:val="both"/>
        <w:ind w:right="100" w:firstLine="393"/>
        <w:spacing w:after="0" w:line="281" w:lineRule="auto"/>
        <w:rPr>
          <w:sz w:val="20"/>
          <w:szCs w:val="20"/>
          <w:color w:val="auto"/>
        </w:rPr>
      </w:pPr>
      <w:r>
        <w:rPr>
          <w:rFonts w:ascii="Times New Roman" w:cs="Times New Roman" w:eastAsia="Times New Roman" w:hAnsi="Times New Roman"/>
          <w:sz w:val="17"/>
          <w:szCs w:val="17"/>
          <w:color w:val="auto"/>
        </w:rPr>
        <w:t>During the three months ended September 30, 2024, no director or officer of the Company adopted or terminated a “Rule 10b5-1 trading arrangement” or “non-Rule 10b5-1 trading arrangement,” as each term is defined in Item 408(a) of Regulation S-K, except as set forth below:</w:t>
      </w:r>
    </w:p>
    <w:p>
      <w:pPr>
        <w:spacing w:after="0" w:line="224" w:lineRule="exact"/>
        <w:rPr>
          <w:sz w:val="20"/>
          <w:szCs w:val="20"/>
          <w:color w:val="auto"/>
        </w:rPr>
      </w:pPr>
    </w:p>
    <w:p>
      <w:pPr>
        <w:jc w:val="both"/>
        <w:ind w:right="100" w:firstLine="393"/>
        <w:spacing w:after="0" w:line="277" w:lineRule="auto"/>
        <w:rPr>
          <w:sz w:val="20"/>
          <w:szCs w:val="20"/>
          <w:color w:val="auto"/>
        </w:rPr>
      </w:pPr>
      <w:r>
        <w:rPr>
          <w:rFonts w:ascii="Times New Roman" w:cs="Times New Roman" w:eastAsia="Times New Roman" w:hAnsi="Times New Roman"/>
          <w:sz w:val="17"/>
          <w:szCs w:val="17"/>
          <w:color w:val="auto"/>
        </w:rPr>
        <w:t>On August 7, 2024, Narasimha Kini, Executive Vice President and Business Head, Emerging Business, terminated a Rule 10b5-1 trading arrangement intended to satisfy the affirmative defense of Rule 10b5-1(c), as amended, and originally adopted on March 13, 2024, for the sale of up to 93,190 shares of the Company’s common stock until March 7, 2025.</w:t>
      </w:r>
    </w:p>
    <w:p>
      <w:pPr>
        <w:spacing w:after="0" w:line="200" w:lineRule="exact"/>
        <w:rPr>
          <w:sz w:val="20"/>
          <w:szCs w:val="20"/>
          <w:color w:val="auto"/>
        </w:rPr>
      </w:pPr>
    </w:p>
    <w:p>
      <w:pPr>
        <w:spacing w:after="0" w:line="33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340"/>
          </w:cols>
          <w:pgMar w:left="320" w:top="355" w:right="2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8"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7"/>
          <w:szCs w:val="17"/>
          <w:b w:val="1"/>
          <w:bCs w:val="1"/>
          <w:color w:val="auto"/>
        </w:rPr>
        <w:t>ITEM 6.</w:t>
        <w:tab/>
        <w:t>Exhibits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exhibits are being filed as part of this report or incorporated by reference as indicated therein:</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3.1</w:t>
            </w:r>
          </w:p>
        </w:tc>
        <w:tc>
          <w:tcPr>
            <w:tcW w:w="120" w:type="dxa"/>
            <w:vAlign w:val="bottom"/>
          </w:tcPr>
          <w:p>
            <w:pPr>
              <w:spacing w:after="0"/>
              <w:rPr>
                <w:sz w:val="17"/>
                <w:szCs w:val="17"/>
                <w:color w:val="auto"/>
              </w:rPr>
            </w:pPr>
          </w:p>
        </w:tc>
        <w:tc>
          <w:tcPr>
            <w:tcW w:w="10260" w:type="dxa"/>
            <w:vAlign w:val="bottom"/>
            <w:gridSpan w:val="13"/>
          </w:tcPr>
          <w:p>
            <w:pPr>
              <w:spacing w:after="0"/>
              <w:rPr>
                <w:rFonts w:ascii="Times New Roman" w:cs="Times New Roman" w:eastAsia="Times New Roman" w:hAnsi="Times New Roman"/>
                <w:sz w:val="17"/>
                <w:szCs w:val="17"/>
                <w:color w:val="0000FF"/>
              </w:rPr>
            </w:pPr>
            <w:hyperlink r:id="rId87">
              <w:r>
                <w:rPr>
                  <w:rFonts w:ascii="Times New Roman" w:cs="Times New Roman" w:eastAsia="Times New Roman" w:hAnsi="Times New Roman"/>
                  <w:sz w:val="17"/>
                  <w:szCs w:val="17"/>
                  <w:color w:val="0000FF"/>
                </w:rPr>
                <w:t>Fourth Amended and Restated Certificate of Incorporation of the Company, as in effect as of the date hereof (incorporated by reference to</w:t>
              </w:r>
            </w:hyperlink>
          </w:p>
        </w:tc>
      </w:tr>
      <w:tr>
        <w:trPr>
          <w:trHeight w:val="150"/>
        </w:trPr>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40" w:type="dxa"/>
            <w:vAlign w:val="bottom"/>
            <w:tcBorders>
              <w:top w:val="single" w:sz="8" w:color="0000FF"/>
            </w:tcBorders>
            <w:gridSpan w:val="12"/>
          </w:tcPr>
          <w:p>
            <w:pPr>
              <w:spacing w:after="0" w:line="150" w:lineRule="exact"/>
              <w:rPr>
                <w:rFonts w:ascii="Times New Roman" w:cs="Times New Roman" w:eastAsia="Times New Roman" w:hAnsi="Times New Roman"/>
                <w:sz w:val="17"/>
                <w:szCs w:val="17"/>
                <w:color w:val="0000FF"/>
              </w:rPr>
            </w:pPr>
            <w:hyperlink r:id="rId87">
              <w:r>
                <w:rPr>
                  <w:rFonts w:ascii="Times New Roman" w:cs="Times New Roman" w:eastAsia="Times New Roman" w:hAnsi="Times New Roman"/>
                  <w:sz w:val="17"/>
                  <w:szCs w:val="17"/>
                  <w:color w:val="0000FF"/>
                </w:rPr>
                <w:t>Exhibit 3.1 of the Company’s Current Report on Form 8-K (File No. 1-33089) filed on June 25, 2024).</w:t>
              </w:r>
            </w:hyperlink>
          </w:p>
        </w:tc>
        <w:tc>
          <w:tcPr>
            <w:tcW w:w="20" w:type="dxa"/>
            <w:vAlign w:val="bottom"/>
          </w:tcPr>
          <w:p>
            <w:pPr>
              <w:spacing w:after="0"/>
              <w:rPr>
                <w:sz w:val="13"/>
                <w:szCs w:val="13"/>
                <w:color w:val="auto"/>
              </w:rPr>
            </w:pPr>
          </w:p>
        </w:tc>
      </w:tr>
      <w:tr>
        <w:trPr>
          <w:trHeight w:val="20"/>
        </w:trPr>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380" w:type="dxa"/>
            <w:vAlign w:val="bottom"/>
            <w:tcBorders>
              <w:right w:val="single" w:sz="8" w:color="0000FF"/>
            </w:tcBorders>
            <w:shd w:val="clear" w:color="auto" w:fill="0000FF"/>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08"/>
        </w:trPr>
        <w:tc>
          <w:tcPr>
            <w:tcW w:w="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3.2</w:t>
            </w:r>
          </w:p>
        </w:tc>
        <w:tc>
          <w:tcPr>
            <w:tcW w:w="120" w:type="dxa"/>
            <w:vAlign w:val="bottom"/>
          </w:tcPr>
          <w:p>
            <w:pPr>
              <w:spacing w:after="0"/>
              <w:rPr>
                <w:sz w:val="24"/>
                <w:szCs w:val="24"/>
                <w:color w:val="auto"/>
              </w:rPr>
            </w:pPr>
          </w:p>
        </w:tc>
        <w:tc>
          <w:tcPr>
            <w:tcW w:w="10260" w:type="dxa"/>
            <w:vAlign w:val="bottom"/>
            <w:gridSpan w:val="13"/>
          </w:tcPr>
          <w:p>
            <w:pPr>
              <w:spacing w:after="0"/>
              <w:rPr>
                <w:rFonts w:ascii="Times New Roman" w:cs="Times New Roman" w:eastAsia="Times New Roman" w:hAnsi="Times New Roman"/>
                <w:sz w:val="17"/>
                <w:szCs w:val="17"/>
                <w:color w:val="0000FF"/>
              </w:rPr>
            </w:pPr>
            <w:hyperlink r:id="rId88">
              <w:r>
                <w:rPr>
                  <w:rFonts w:ascii="Times New Roman" w:cs="Times New Roman" w:eastAsia="Times New Roman" w:hAnsi="Times New Roman"/>
                  <w:sz w:val="17"/>
                  <w:szCs w:val="17"/>
                  <w:color w:val="0000FF"/>
                </w:rPr>
                <w:t>Sixth Amended and Restated By-laws of the Company, as in effect as of the date hereof (incorporated by reference to Exhibit 3.2 of the</w:t>
              </w:r>
            </w:hyperlink>
          </w:p>
        </w:tc>
      </w:tr>
      <w:tr>
        <w:trPr>
          <w:trHeight w:val="150"/>
        </w:trPr>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920" w:type="dxa"/>
            <w:vAlign w:val="bottom"/>
            <w:tcBorders>
              <w:top w:val="single" w:sz="8" w:color="0000FF"/>
              <w:bottom w:val="single" w:sz="8" w:color="0000FF"/>
            </w:tcBorders>
            <w:gridSpan w:val="3"/>
          </w:tcPr>
          <w:p>
            <w:pPr>
              <w:spacing w:after="0" w:line="150" w:lineRule="exact"/>
              <w:rPr>
                <w:rFonts w:ascii="Times New Roman" w:cs="Times New Roman" w:eastAsia="Times New Roman" w:hAnsi="Times New Roman"/>
                <w:sz w:val="17"/>
                <w:szCs w:val="17"/>
                <w:color w:val="0000FF"/>
              </w:rPr>
            </w:pPr>
            <w:hyperlink r:id="rId88">
              <w:r>
                <w:rPr>
                  <w:rFonts w:ascii="Times New Roman" w:cs="Times New Roman" w:eastAsia="Times New Roman" w:hAnsi="Times New Roman"/>
                  <w:sz w:val="17"/>
                  <w:szCs w:val="17"/>
                  <w:color w:val="0000FF"/>
                </w:rPr>
                <w:t>Company’s Current Report on Form 8-K (File No. 1-33089) filed on June 21, 2023).</w:t>
              </w:r>
            </w:hyperlink>
          </w:p>
        </w:tc>
        <w:tc>
          <w:tcPr>
            <w:tcW w:w="4200" w:type="dxa"/>
            <w:vAlign w:val="bottom"/>
            <w:tcBorders>
              <w:top w:val="single" w:sz="8" w:color="0000FF"/>
            </w:tcBorders>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68"/>
        </w:trPr>
        <w:tc>
          <w:tcPr>
            <w:tcW w:w="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10.1</w:t>
            </w:r>
          </w:p>
        </w:tc>
        <w:tc>
          <w:tcPr>
            <w:tcW w:w="120" w:type="dxa"/>
            <w:vAlign w:val="bottom"/>
          </w:tcPr>
          <w:p>
            <w:pPr>
              <w:spacing w:after="0"/>
              <w:rPr>
                <w:sz w:val="23"/>
                <w:szCs w:val="23"/>
                <w:color w:val="auto"/>
              </w:rPr>
            </w:pPr>
          </w:p>
        </w:tc>
        <w:tc>
          <w:tcPr>
            <w:tcW w:w="10260" w:type="dxa"/>
            <w:vAlign w:val="bottom"/>
            <w:gridSpan w:val="13"/>
          </w:tcPr>
          <w:p>
            <w:pPr>
              <w:spacing w:after="0"/>
              <w:rPr>
                <w:rFonts w:ascii="Times New Roman" w:cs="Times New Roman" w:eastAsia="Times New Roman" w:hAnsi="Times New Roman"/>
                <w:sz w:val="17"/>
                <w:szCs w:val="17"/>
                <w:color w:val="0000FF"/>
              </w:rPr>
            </w:pPr>
            <w:hyperlink r:id="rId89">
              <w:r>
                <w:rPr>
                  <w:rFonts w:ascii="Times New Roman" w:cs="Times New Roman" w:eastAsia="Times New Roman" w:hAnsi="Times New Roman"/>
                  <w:sz w:val="17"/>
                  <w:szCs w:val="17"/>
                  <w:color w:val="0000FF"/>
                </w:rPr>
                <w:t>First Amendment to Amended and Restated Credit Agreement, dated August 9, 2024, by and among the Company and the other loan parties</w:t>
              </w:r>
            </w:hyperlink>
          </w:p>
        </w:tc>
      </w:tr>
      <w:tr>
        <w:trPr>
          <w:trHeight w:val="150"/>
        </w:trPr>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20" w:type="dxa"/>
            <w:vAlign w:val="bottom"/>
            <w:tcBorders>
              <w:top w:val="single" w:sz="8" w:color="0000FF"/>
            </w:tcBorders>
            <w:gridSpan w:val="11"/>
          </w:tcPr>
          <w:p>
            <w:pPr>
              <w:spacing w:after="0" w:line="150" w:lineRule="exact"/>
              <w:rPr>
                <w:rFonts w:ascii="Times New Roman" w:cs="Times New Roman" w:eastAsia="Times New Roman" w:hAnsi="Times New Roman"/>
                <w:sz w:val="17"/>
                <w:szCs w:val="17"/>
                <w:color w:val="0000FF"/>
              </w:rPr>
            </w:pPr>
            <w:hyperlink r:id="rId89">
              <w:r>
                <w:rPr>
                  <w:rFonts w:ascii="Times New Roman" w:cs="Times New Roman" w:eastAsia="Times New Roman" w:hAnsi="Times New Roman"/>
                  <w:sz w:val="17"/>
                  <w:szCs w:val="17"/>
                  <w:color w:val="0000FF"/>
                </w:rPr>
                <w:t>party thereto, the lenders party thereto, and Citibank, N.A., as administrative agent (incorporated by reference to Exhibit 10.1 of the Company’s</w:t>
              </w:r>
            </w:hyperlink>
          </w:p>
        </w:tc>
        <w:tc>
          <w:tcPr>
            <w:tcW w:w="40" w:type="dxa"/>
            <w:vAlign w:val="bottom"/>
            <w:gridSpan w:val="2"/>
          </w:tcPr>
          <w:p>
            <w:pPr>
              <w:spacing w:after="0"/>
              <w:rPr>
                <w:sz w:val="13"/>
                <w:szCs w:val="13"/>
                <w:color w:val="auto"/>
              </w:rPr>
            </w:pPr>
          </w:p>
        </w:tc>
      </w:tr>
      <w:tr>
        <w:trPr>
          <w:trHeight w:val="164"/>
        </w:trPr>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140" w:type="dxa"/>
            <w:vAlign w:val="bottom"/>
            <w:tcBorders>
              <w:top w:val="single" w:sz="8" w:color="0000FF"/>
            </w:tcBorders>
            <w:gridSpan w:val="7"/>
          </w:tcPr>
          <w:p>
            <w:pPr>
              <w:spacing w:after="0" w:line="163" w:lineRule="exact"/>
              <w:rPr>
                <w:rFonts w:ascii="Times New Roman" w:cs="Times New Roman" w:eastAsia="Times New Roman" w:hAnsi="Times New Roman"/>
                <w:sz w:val="17"/>
                <w:szCs w:val="17"/>
                <w:color w:val="0000FF"/>
              </w:rPr>
            </w:pPr>
            <w:hyperlink r:id="rId89">
              <w:r>
                <w:rPr>
                  <w:rFonts w:ascii="Times New Roman" w:cs="Times New Roman" w:eastAsia="Times New Roman" w:hAnsi="Times New Roman"/>
                  <w:sz w:val="17"/>
                  <w:szCs w:val="17"/>
                  <w:color w:val="0000FF"/>
                </w:rPr>
                <w:t>Current Report on Form 8-K (File No. 1-33089) filed on August 15, 2024).</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r>
      <w:tr>
        <w:trPr>
          <w:trHeight w:val="20"/>
        </w:trPr>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380" w:type="dxa"/>
            <w:vAlign w:val="bottom"/>
            <w:tcBorders>
              <w:right w:val="single" w:sz="8" w:color="0000FF"/>
            </w:tcBorders>
            <w:shd w:val="clear" w:color="auto" w:fill="0000FF"/>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484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55"/>
        </w:trPr>
        <w:tc>
          <w:tcPr>
            <w:tcW w:w="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31.1</w:t>
            </w:r>
          </w:p>
        </w:tc>
        <w:tc>
          <w:tcPr>
            <w:tcW w:w="120" w:type="dxa"/>
            <w:vAlign w:val="bottom"/>
          </w:tcPr>
          <w:p>
            <w:pPr>
              <w:spacing w:after="0"/>
              <w:rPr>
                <w:sz w:val="22"/>
                <w:szCs w:val="22"/>
                <w:color w:val="auto"/>
              </w:rPr>
            </w:pPr>
          </w:p>
        </w:tc>
        <w:tc>
          <w:tcPr>
            <w:tcW w:w="10260" w:type="dxa"/>
            <w:vAlign w:val="bottom"/>
            <w:gridSpan w:val="13"/>
          </w:tcPr>
          <w:p>
            <w:pPr>
              <w:spacing w:after="0"/>
              <w:rPr>
                <w:sz w:val="20"/>
                <w:szCs w:val="20"/>
                <w:color w:val="auto"/>
              </w:rPr>
            </w:pPr>
            <w:r>
              <w:rPr>
                <w:rFonts w:ascii="Times New Roman" w:cs="Times New Roman" w:eastAsia="Times New Roman" w:hAnsi="Times New Roman"/>
                <w:sz w:val="17"/>
                <w:szCs w:val="17"/>
                <w:color w:val="0000FF"/>
              </w:rPr>
              <w:t>Certification of the Chief Executive Officer of ExlService Holdings, pursuant to Rule 13a-14(a) of the Exchange Act, as adopted pursuant to</w:t>
            </w:r>
          </w:p>
        </w:tc>
      </w:tr>
      <w:tr>
        <w:trPr>
          <w:trHeight w:val="150"/>
        </w:trPr>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380" w:type="dxa"/>
            <w:vAlign w:val="bottom"/>
            <w:tcBorders>
              <w:top w:val="single" w:sz="8" w:color="0000FF"/>
              <w:bottom w:val="single" w:sz="8" w:color="0000FF"/>
            </w:tcBorders>
          </w:tcPr>
          <w:p>
            <w:pPr>
              <w:spacing w:after="0" w:line="150" w:lineRule="exact"/>
              <w:rPr>
                <w:sz w:val="20"/>
                <w:szCs w:val="20"/>
                <w:color w:val="auto"/>
              </w:rPr>
            </w:pPr>
            <w:r>
              <w:rPr>
                <w:rFonts w:ascii="Times New Roman" w:cs="Times New Roman" w:eastAsia="Times New Roman" w:hAnsi="Times New Roman"/>
                <w:sz w:val="17"/>
                <w:szCs w:val="17"/>
                <w:color w:val="0000FF"/>
              </w:rPr>
              <w:t>Section 302 of the Sarbanes-Oxley Act of 2002.</w:t>
            </w:r>
          </w:p>
        </w:tc>
        <w:tc>
          <w:tcPr>
            <w:tcW w:w="6780" w:type="dxa"/>
            <w:vAlign w:val="bottom"/>
            <w:tcBorders>
              <w:top w:val="single" w:sz="8" w:color="0000FF"/>
            </w:tcBorders>
            <w:gridSpan w:val="7"/>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68"/>
        </w:trPr>
        <w:tc>
          <w:tcPr>
            <w:tcW w:w="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31.2</w:t>
            </w:r>
          </w:p>
        </w:tc>
        <w:tc>
          <w:tcPr>
            <w:tcW w:w="120" w:type="dxa"/>
            <w:vAlign w:val="bottom"/>
          </w:tcPr>
          <w:p>
            <w:pPr>
              <w:spacing w:after="0"/>
              <w:rPr>
                <w:sz w:val="23"/>
                <w:szCs w:val="23"/>
                <w:color w:val="auto"/>
              </w:rPr>
            </w:pPr>
          </w:p>
        </w:tc>
        <w:tc>
          <w:tcPr>
            <w:tcW w:w="10260" w:type="dxa"/>
            <w:vAlign w:val="bottom"/>
            <w:gridSpan w:val="13"/>
          </w:tcPr>
          <w:p>
            <w:pPr>
              <w:spacing w:after="0"/>
              <w:rPr>
                <w:sz w:val="20"/>
                <w:szCs w:val="20"/>
                <w:color w:val="auto"/>
              </w:rPr>
            </w:pPr>
            <w:r>
              <w:rPr>
                <w:rFonts w:ascii="Times New Roman" w:cs="Times New Roman" w:eastAsia="Times New Roman" w:hAnsi="Times New Roman"/>
                <w:sz w:val="17"/>
                <w:szCs w:val="17"/>
                <w:color w:val="0000FF"/>
              </w:rPr>
              <w:t>Certification of the Chief Financial Officer of ExlService Holdings, pursuant to Rule 13a-14(a) of the Exchange Act, as adopted pursuant to</w:t>
            </w:r>
          </w:p>
        </w:tc>
      </w:tr>
      <w:tr>
        <w:trPr>
          <w:trHeight w:val="150"/>
        </w:trPr>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380" w:type="dxa"/>
            <w:vAlign w:val="bottom"/>
            <w:tcBorders>
              <w:top w:val="single" w:sz="8" w:color="0000FF"/>
              <w:bottom w:val="single" w:sz="8" w:color="0000FF"/>
            </w:tcBorders>
          </w:tcPr>
          <w:p>
            <w:pPr>
              <w:spacing w:after="0" w:line="150" w:lineRule="exact"/>
              <w:rPr>
                <w:sz w:val="20"/>
                <w:szCs w:val="20"/>
                <w:color w:val="auto"/>
              </w:rPr>
            </w:pPr>
            <w:r>
              <w:rPr>
                <w:rFonts w:ascii="Times New Roman" w:cs="Times New Roman" w:eastAsia="Times New Roman" w:hAnsi="Times New Roman"/>
                <w:sz w:val="17"/>
                <w:szCs w:val="17"/>
                <w:color w:val="0000FF"/>
              </w:rPr>
              <w:t>Section 302 of the Sarbanes-Oxley Act of 2002.</w:t>
            </w:r>
          </w:p>
        </w:tc>
        <w:tc>
          <w:tcPr>
            <w:tcW w:w="6820" w:type="dxa"/>
            <w:vAlign w:val="bottom"/>
            <w:tcBorders>
              <w:top w:val="single" w:sz="8" w:color="0000FF"/>
            </w:tcBorders>
            <w:gridSpan w:val="9"/>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68"/>
        </w:trPr>
        <w:tc>
          <w:tcPr>
            <w:tcW w:w="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32.1</w:t>
            </w:r>
          </w:p>
        </w:tc>
        <w:tc>
          <w:tcPr>
            <w:tcW w:w="120" w:type="dxa"/>
            <w:vAlign w:val="bottom"/>
          </w:tcPr>
          <w:p>
            <w:pPr>
              <w:spacing w:after="0"/>
              <w:rPr>
                <w:sz w:val="23"/>
                <w:szCs w:val="23"/>
                <w:color w:val="auto"/>
              </w:rPr>
            </w:pPr>
          </w:p>
        </w:tc>
        <w:tc>
          <w:tcPr>
            <w:tcW w:w="10260" w:type="dxa"/>
            <w:vAlign w:val="bottom"/>
            <w:gridSpan w:val="13"/>
          </w:tcPr>
          <w:p>
            <w:pPr>
              <w:spacing w:after="0"/>
              <w:rPr>
                <w:sz w:val="20"/>
                <w:szCs w:val="20"/>
                <w:color w:val="auto"/>
              </w:rPr>
            </w:pPr>
            <w:r>
              <w:rPr>
                <w:rFonts w:ascii="Times New Roman" w:cs="Times New Roman" w:eastAsia="Times New Roman" w:hAnsi="Times New Roman"/>
                <w:sz w:val="17"/>
                <w:szCs w:val="17"/>
                <w:color w:val="0000FF"/>
              </w:rPr>
              <w:t>Certification of the Chief Executive Officer pursuant to Rule 13a-14(b) of the Exchange Act and 18 U.S.C. Section 1350, as adopted pursuant to</w:t>
            </w:r>
          </w:p>
        </w:tc>
      </w:tr>
      <w:tr>
        <w:trPr>
          <w:trHeight w:val="150"/>
        </w:trPr>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100" w:type="dxa"/>
            <w:vAlign w:val="bottom"/>
            <w:tcBorders>
              <w:top w:val="single" w:sz="8" w:color="0000FF"/>
            </w:tcBorders>
            <w:gridSpan w:val="5"/>
          </w:tcPr>
          <w:p>
            <w:pPr>
              <w:spacing w:after="0" w:line="150" w:lineRule="exact"/>
              <w:rPr>
                <w:sz w:val="20"/>
                <w:szCs w:val="20"/>
                <w:color w:val="auto"/>
              </w:rPr>
            </w:pPr>
            <w:r>
              <w:rPr>
                <w:rFonts w:ascii="Times New Roman" w:cs="Times New Roman" w:eastAsia="Times New Roman" w:hAnsi="Times New Roman"/>
                <w:sz w:val="17"/>
                <w:szCs w:val="17"/>
                <w:color w:val="0000FF"/>
              </w:rPr>
              <w:t>Section 906 of the Sarbanes-Oxley Act of 2002.</w:t>
            </w:r>
            <w:r>
              <w:rPr>
                <w:rFonts w:ascii="Times New Roman" w:cs="Times New Roman" w:eastAsia="Times New Roman" w:hAnsi="Times New Roman"/>
                <w:sz w:val="17"/>
                <w:szCs w:val="17"/>
                <w:color w:val="000000"/>
              </w:rPr>
              <w:t>*</w:t>
            </w:r>
          </w:p>
        </w:tc>
        <w:tc>
          <w:tcPr>
            <w:tcW w:w="80" w:type="dxa"/>
            <w:vAlign w:val="bottom"/>
            <w:gridSpan w:val="4"/>
          </w:tcPr>
          <w:p>
            <w:pPr>
              <w:spacing w:after="0"/>
              <w:rPr>
                <w:sz w:val="13"/>
                <w:szCs w:val="13"/>
                <w:color w:val="auto"/>
              </w:rPr>
            </w:pPr>
          </w:p>
        </w:tc>
        <w:tc>
          <w:tcPr>
            <w:tcW w:w="80" w:type="dxa"/>
            <w:vAlign w:val="bottom"/>
            <w:gridSpan w:val="4"/>
          </w:tcPr>
          <w:p>
            <w:pPr>
              <w:spacing w:after="0"/>
              <w:rPr>
                <w:sz w:val="13"/>
                <w:szCs w:val="13"/>
                <w:color w:val="auto"/>
              </w:rPr>
            </w:pPr>
          </w:p>
        </w:tc>
      </w:tr>
      <w:tr>
        <w:trPr>
          <w:trHeight w:val="20"/>
        </w:trPr>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380" w:type="dxa"/>
            <w:vAlign w:val="bottom"/>
            <w:tcBorders>
              <w:right w:val="single" w:sz="8" w:color="0000FF"/>
            </w:tcBorders>
            <w:shd w:val="clear" w:color="auto" w:fill="0000FF"/>
          </w:tcPr>
          <w:p>
            <w:pPr>
              <w:spacing w:after="0" w:line="20" w:lineRule="exact"/>
              <w:rPr>
                <w:sz w:val="1"/>
                <w:szCs w:val="1"/>
                <w:color w:val="auto"/>
              </w:rPr>
            </w:pPr>
          </w:p>
        </w:tc>
        <w:tc>
          <w:tcPr>
            <w:tcW w:w="6800" w:type="dxa"/>
            <w:vAlign w:val="bottom"/>
            <w:gridSpan w:val="8"/>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268"/>
        </w:trPr>
        <w:tc>
          <w:tcPr>
            <w:tcW w:w="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32.2</w:t>
            </w:r>
          </w:p>
        </w:tc>
        <w:tc>
          <w:tcPr>
            <w:tcW w:w="120" w:type="dxa"/>
            <w:vAlign w:val="bottom"/>
          </w:tcPr>
          <w:p>
            <w:pPr>
              <w:spacing w:after="0"/>
              <w:rPr>
                <w:sz w:val="23"/>
                <w:szCs w:val="23"/>
                <w:color w:val="auto"/>
              </w:rPr>
            </w:pPr>
          </w:p>
        </w:tc>
        <w:tc>
          <w:tcPr>
            <w:tcW w:w="10260" w:type="dxa"/>
            <w:vAlign w:val="bottom"/>
            <w:gridSpan w:val="13"/>
          </w:tcPr>
          <w:p>
            <w:pPr>
              <w:spacing w:after="0"/>
              <w:rPr>
                <w:sz w:val="20"/>
                <w:szCs w:val="20"/>
                <w:color w:val="auto"/>
              </w:rPr>
            </w:pPr>
            <w:r>
              <w:rPr>
                <w:rFonts w:ascii="Times New Roman" w:cs="Times New Roman" w:eastAsia="Times New Roman" w:hAnsi="Times New Roman"/>
                <w:sz w:val="17"/>
                <w:szCs w:val="17"/>
                <w:color w:val="0000FF"/>
              </w:rPr>
              <w:t>Certification of the Chief Financial Officer pursuant to Rule 13a-14(b) of the Exchange Act and 18 U.S.C. Section 1350, as adopted pursuant to</w:t>
            </w:r>
          </w:p>
        </w:tc>
      </w:tr>
      <w:tr>
        <w:trPr>
          <w:trHeight w:val="150"/>
        </w:trPr>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180" w:type="dxa"/>
            <w:vAlign w:val="bottom"/>
            <w:tcBorders>
              <w:top w:val="single" w:sz="8" w:color="0000FF"/>
            </w:tcBorders>
            <w:gridSpan w:val="9"/>
          </w:tcPr>
          <w:p>
            <w:pPr>
              <w:spacing w:after="0" w:line="150" w:lineRule="exact"/>
              <w:rPr>
                <w:sz w:val="20"/>
                <w:szCs w:val="20"/>
                <w:color w:val="auto"/>
              </w:rPr>
            </w:pPr>
            <w:r>
              <w:rPr>
                <w:rFonts w:ascii="Times New Roman" w:cs="Times New Roman" w:eastAsia="Times New Roman" w:hAnsi="Times New Roman"/>
                <w:sz w:val="17"/>
                <w:szCs w:val="17"/>
                <w:color w:val="0000FF"/>
              </w:rPr>
              <w:t>Section 906 of the Sarbanes-Oxley Act of 2002.</w:t>
            </w:r>
            <w:r>
              <w:rPr>
                <w:rFonts w:ascii="Times New Roman" w:cs="Times New Roman" w:eastAsia="Times New Roman" w:hAnsi="Times New Roman"/>
                <w:sz w:val="17"/>
                <w:szCs w:val="17"/>
                <w:color w:val="000000"/>
              </w:rPr>
              <w:t>*</w:t>
            </w:r>
          </w:p>
        </w:tc>
        <w:tc>
          <w:tcPr>
            <w:tcW w:w="80" w:type="dxa"/>
            <w:vAlign w:val="bottom"/>
            <w:gridSpan w:val="4"/>
          </w:tcPr>
          <w:p>
            <w:pPr>
              <w:spacing w:after="0"/>
              <w:rPr>
                <w:sz w:val="13"/>
                <w:szCs w:val="13"/>
                <w:color w:val="auto"/>
              </w:rPr>
            </w:pPr>
          </w:p>
        </w:tc>
      </w:tr>
      <w:tr>
        <w:trPr>
          <w:trHeight w:val="307"/>
        </w:trPr>
        <w:tc>
          <w:tcPr>
            <w:tcW w:w="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101.INS</w:t>
            </w:r>
          </w:p>
        </w:tc>
        <w:tc>
          <w:tcPr>
            <w:tcW w:w="120" w:type="dxa"/>
            <w:vAlign w:val="bottom"/>
          </w:tcPr>
          <w:p>
            <w:pPr>
              <w:spacing w:after="0"/>
              <w:rPr>
                <w:sz w:val="24"/>
                <w:szCs w:val="24"/>
                <w:color w:val="auto"/>
              </w:rPr>
            </w:pPr>
          </w:p>
        </w:tc>
        <w:tc>
          <w:tcPr>
            <w:tcW w:w="338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7"/>
                <w:szCs w:val="17"/>
                <w:color w:val="auto"/>
              </w:rPr>
              <w:t>Inline XBRL Instance Document</w:t>
            </w:r>
          </w:p>
        </w:tc>
        <w:tc>
          <w:tcPr>
            <w:tcW w:w="6880" w:type="dxa"/>
            <w:vAlign w:val="bottom"/>
            <w:gridSpan w:val="12"/>
          </w:tcPr>
          <w:p>
            <w:pPr>
              <w:spacing w:after="0"/>
              <w:rPr>
                <w:sz w:val="24"/>
                <w:szCs w:val="24"/>
                <w:color w:val="auto"/>
              </w:rPr>
            </w:pPr>
          </w:p>
        </w:tc>
      </w:tr>
      <w:tr>
        <w:trPr>
          <w:trHeight w:val="275"/>
        </w:trPr>
        <w:tc>
          <w:tcPr>
            <w:tcW w:w="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101.SCH</w:t>
            </w:r>
          </w:p>
        </w:tc>
        <w:tc>
          <w:tcPr>
            <w:tcW w:w="120" w:type="dxa"/>
            <w:vAlign w:val="bottom"/>
          </w:tcPr>
          <w:p>
            <w:pPr>
              <w:spacing w:after="0"/>
              <w:rPr>
                <w:sz w:val="23"/>
                <w:szCs w:val="23"/>
                <w:color w:val="auto"/>
              </w:rPr>
            </w:pPr>
          </w:p>
        </w:tc>
        <w:tc>
          <w:tcPr>
            <w:tcW w:w="10260" w:type="dxa"/>
            <w:vAlign w:val="bottom"/>
            <w:gridSpan w:val="13"/>
          </w:tcPr>
          <w:p>
            <w:pPr>
              <w:spacing w:after="0"/>
              <w:rPr>
                <w:sz w:val="20"/>
                <w:szCs w:val="20"/>
                <w:color w:val="auto"/>
              </w:rPr>
            </w:pPr>
            <w:r>
              <w:rPr>
                <w:rFonts w:ascii="Times New Roman" w:cs="Times New Roman" w:eastAsia="Times New Roman" w:hAnsi="Times New Roman"/>
                <w:sz w:val="17"/>
                <w:szCs w:val="17"/>
                <w:color w:val="auto"/>
              </w:rPr>
              <w:t>Inline XBRL Taxonomy Extension Schema</w:t>
            </w:r>
          </w:p>
        </w:tc>
      </w:tr>
      <w:tr>
        <w:trPr>
          <w:trHeight w:val="275"/>
        </w:trPr>
        <w:tc>
          <w:tcPr>
            <w:tcW w:w="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101.CAL</w:t>
            </w:r>
          </w:p>
        </w:tc>
        <w:tc>
          <w:tcPr>
            <w:tcW w:w="120" w:type="dxa"/>
            <w:vAlign w:val="bottom"/>
          </w:tcPr>
          <w:p>
            <w:pPr>
              <w:spacing w:after="0"/>
              <w:rPr>
                <w:sz w:val="23"/>
                <w:szCs w:val="23"/>
                <w:color w:val="auto"/>
              </w:rPr>
            </w:pPr>
          </w:p>
        </w:tc>
        <w:tc>
          <w:tcPr>
            <w:tcW w:w="10260" w:type="dxa"/>
            <w:vAlign w:val="bottom"/>
            <w:gridSpan w:val="13"/>
          </w:tcPr>
          <w:p>
            <w:pPr>
              <w:spacing w:after="0"/>
              <w:rPr>
                <w:sz w:val="20"/>
                <w:szCs w:val="20"/>
                <w:color w:val="auto"/>
              </w:rPr>
            </w:pPr>
            <w:r>
              <w:rPr>
                <w:rFonts w:ascii="Times New Roman" w:cs="Times New Roman" w:eastAsia="Times New Roman" w:hAnsi="Times New Roman"/>
                <w:sz w:val="17"/>
                <w:szCs w:val="17"/>
                <w:color w:val="auto"/>
              </w:rPr>
              <w:t>Inline XBRL Taxonomy Extension Calculation Linkbase</w:t>
            </w:r>
          </w:p>
        </w:tc>
      </w:tr>
      <w:tr>
        <w:trPr>
          <w:trHeight w:val="275"/>
        </w:trPr>
        <w:tc>
          <w:tcPr>
            <w:tcW w:w="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101.DEF</w:t>
            </w:r>
          </w:p>
        </w:tc>
        <w:tc>
          <w:tcPr>
            <w:tcW w:w="120" w:type="dxa"/>
            <w:vAlign w:val="bottom"/>
          </w:tcPr>
          <w:p>
            <w:pPr>
              <w:spacing w:after="0"/>
              <w:rPr>
                <w:sz w:val="23"/>
                <w:szCs w:val="23"/>
                <w:color w:val="auto"/>
              </w:rPr>
            </w:pPr>
          </w:p>
        </w:tc>
        <w:tc>
          <w:tcPr>
            <w:tcW w:w="10260" w:type="dxa"/>
            <w:vAlign w:val="bottom"/>
            <w:gridSpan w:val="13"/>
          </w:tcPr>
          <w:p>
            <w:pPr>
              <w:spacing w:after="0"/>
              <w:rPr>
                <w:sz w:val="20"/>
                <w:szCs w:val="20"/>
                <w:color w:val="auto"/>
              </w:rPr>
            </w:pPr>
            <w:r>
              <w:rPr>
                <w:rFonts w:ascii="Times New Roman" w:cs="Times New Roman" w:eastAsia="Times New Roman" w:hAnsi="Times New Roman"/>
                <w:sz w:val="17"/>
                <w:szCs w:val="17"/>
                <w:color w:val="auto"/>
              </w:rPr>
              <w:t>Inline XBRL Taxonomy Extension Definition Linkbase</w:t>
            </w:r>
          </w:p>
        </w:tc>
      </w:tr>
      <w:tr>
        <w:trPr>
          <w:trHeight w:val="275"/>
        </w:trPr>
        <w:tc>
          <w:tcPr>
            <w:tcW w:w="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101.LAB</w:t>
            </w:r>
          </w:p>
        </w:tc>
        <w:tc>
          <w:tcPr>
            <w:tcW w:w="120" w:type="dxa"/>
            <w:vAlign w:val="bottom"/>
          </w:tcPr>
          <w:p>
            <w:pPr>
              <w:spacing w:after="0"/>
              <w:rPr>
                <w:sz w:val="23"/>
                <w:szCs w:val="23"/>
                <w:color w:val="auto"/>
              </w:rPr>
            </w:pPr>
          </w:p>
        </w:tc>
        <w:tc>
          <w:tcPr>
            <w:tcW w:w="10260" w:type="dxa"/>
            <w:vAlign w:val="bottom"/>
            <w:gridSpan w:val="13"/>
          </w:tcPr>
          <w:p>
            <w:pPr>
              <w:spacing w:after="0"/>
              <w:rPr>
                <w:sz w:val="20"/>
                <w:szCs w:val="20"/>
                <w:color w:val="auto"/>
              </w:rPr>
            </w:pPr>
            <w:r>
              <w:rPr>
                <w:rFonts w:ascii="Times New Roman" w:cs="Times New Roman" w:eastAsia="Times New Roman" w:hAnsi="Times New Roman"/>
                <w:sz w:val="17"/>
                <w:szCs w:val="17"/>
                <w:color w:val="auto"/>
              </w:rPr>
              <w:t>Inline XBRL Taxonomy Extension Label Linkbase</w:t>
            </w:r>
          </w:p>
        </w:tc>
      </w:tr>
      <w:tr>
        <w:trPr>
          <w:trHeight w:val="275"/>
        </w:trPr>
        <w:tc>
          <w:tcPr>
            <w:tcW w:w="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101.PRE</w:t>
            </w:r>
          </w:p>
        </w:tc>
        <w:tc>
          <w:tcPr>
            <w:tcW w:w="120" w:type="dxa"/>
            <w:vAlign w:val="bottom"/>
          </w:tcPr>
          <w:p>
            <w:pPr>
              <w:spacing w:after="0"/>
              <w:rPr>
                <w:sz w:val="23"/>
                <w:szCs w:val="23"/>
                <w:color w:val="auto"/>
              </w:rPr>
            </w:pPr>
          </w:p>
        </w:tc>
        <w:tc>
          <w:tcPr>
            <w:tcW w:w="10260" w:type="dxa"/>
            <w:vAlign w:val="bottom"/>
            <w:gridSpan w:val="13"/>
          </w:tcPr>
          <w:p>
            <w:pPr>
              <w:spacing w:after="0"/>
              <w:rPr>
                <w:sz w:val="20"/>
                <w:szCs w:val="20"/>
                <w:color w:val="auto"/>
              </w:rPr>
            </w:pPr>
            <w:r>
              <w:rPr>
                <w:rFonts w:ascii="Times New Roman" w:cs="Times New Roman" w:eastAsia="Times New Roman" w:hAnsi="Times New Roman"/>
                <w:sz w:val="17"/>
                <w:szCs w:val="17"/>
                <w:color w:val="auto"/>
              </w:rPr>
              <w:t>Inline XBRL Extension Presentation Linkbase</w:t>
            </w:r>
          </w:p>
        </w:tc>
      </w:tr>
      <w:tr>
        <w:trPr>
          <w:trHeight w:val="275"/>
        </w:trPr>
        <w:tc>
          <w:tcPr>
            <w:tcW w:w="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104</w:t>
            </w:r>
          </w:p>
        </w:tc>
        <w:tc>
          <w:tcPr>
            <w:tcW w:w="120" w:type="dxa"/>
            <w:vAlign w:val="bottom"/>
          </w:tcPr>
          <w:p>
            <w:pPr>
              <w:spacing w:after="0"/>
              <w:rPr>
                <w:sz w:val="23"/>
                <w:szCs w:val="23"/>
                <w:color w:val="auto"/>
              </w:rPr>
            </w:pPr>
          </w:p>
        </w:tc>
        <w:tc>
          <w:tcPr>
            <w:tcW w:w="10260" w:type="dxa"/>
            <w:vAlign w:val="bottom"/>
            <w:gridSpan w:val="13"/>
          </w:tcPr>
          <w:p>
            <w:pPr>
              <w:spacing w:after="0"/>
              <w:rPr>
                <w:sz w:val="20"/>
                <w:szCs w:val="20"/>
                <w:color w:val="auto"/>
              </w:rPr>
            </w:pPr>
            <w:r>
              <w:rPr>
                <w:rFonts w:ascii="Times New Roman" w:cs="Times New Roman" w:eastAsia="Times New Roman" w:hAnsi="Times New Roman"/>
                <w:sz w:val="17"/>
                <w:szCs w:val="17"/>
                <w:color w:val="auto"/>
              </w:rPr>
              <w:t>Cover Page Interactive Data File (formatted as inline XBRL and contained in Exhibit 101)</w:t>
            </w:r>
          </w:p>
        </w:tc>
      </w:tr>
      <w:tr>
        <w:trPr>
          <w:trHeight w:val="53"/>
        </w:trPr>
        <w:tc>
          <w:tcPr>
            <w:tcW w:w="9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3380" w:type="dxa"/>
            <w:vAlign w:val="bottom"/>
          </w:tcPr>
          <w:p>
            <w:pPr>
              <w:spacing w:after="0"/>
              <w:rPr>
                <w:sz w:val="4"/>
                <w:szCs w:val="4"/>
                <w:color w:val="auto"/>
              </w:rPr>
            </w:pPr>
          </w:p>
        </w:tc>
        <w:tc>
          <w:tcPr>
            <w:tcW w:w="188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60" w:type="dxa"/>
            <w:vAlign w:val="bottom"/>
          </w:tcPr>
          <w:p>
            <w:pPr>
              <w:spacing w:after="0"/>
              <w:rPr>
                <w:sz w:val="4"/>
                <w:szCs w:val="4"/>
                <w:color w:val="auto"/>
              </w:rPr>
            </w:pPr>
          </w:p>
        </w:tc>
        <w:tc>
          <w:tcPr>
            <w:tcW w:w="29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bl>
    <w:p>
      <w:pPr>
        <w:spacing w:after="0" w:line="309"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color w:val="auto"/>
        </w:rPr>
        <w:t>*This exhibit will not be deemed “filed” for purposes of Section 18 of the Exchange Act, or otherwise subject to the liability of that section. Such exhibit will not be deemed to be incorporated by reference into any filing under the Securities Act or the Exchange Act, except to the extent that the Company specifically incorporates it by reference.</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226" w:lineRule="exact"/>
        <w:rPr>
          <w:sz w:val="20"/>
          <w:szCs w:val="20"/>
          <w:color w:val="auto"/>
        </w:rPr>
      </w:pPr>
    </w:p>
    <w:p>
      <w:pPr>
        <w:ind w:right="780" w:firstLine="433"/>
        <w:spacing w:after="0" w:line="297"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280" w:type="dxa"/>
            <w:vAlign w:val="bottom"/>
          </w:tcPr>
          <w:p>
            <w:pPr>
              <w:spacing w:after="0"/>
              <w:rPr>
                <w:sz w:val="20"/>
                <w:szCs w:val="20"/>
                <w:color w:val="auto"/>
              </w:rPr>
            </w:pPr>
            <w:r>
              <w:rPr>
                <w:rFonts w:ascii="Times New Roman" w:cs="Times New Roman" w:eastAsia="Times New Roman" w:hAnsi="Times New Roman"/>
                <w:sz w:val="17"/>
                <w:szCs w:val="17"/>
                <w:color w:val="auto"/>
              </w:rPr>
              <w:t>Date: October 30, 2024</w:t>
            </w:r>
          </w:p>
        </w:tc>
        <w:tc>
          <w:tcPr>
            <w:tcW w:w="7920" w:type="dxa"/>
            <w:vAlign w:val="bottom"/>
            <w:gridSpan w:val="2"/>
          </w:tcPr>
          <w:p>
            <w:pPr>
              <w:ind w:left="1640"/>
              <w:spacing w:after="0"/>
              <w:rPr>
                <w:sz w:val="20"/>
                <w:szCs w:val="20"/>
                <w:color w:val="auto"/>
              </w:rPr>
            </w:pPr>
            <w:r>
              <w:rPr>
                <w:rFonts w:ascii="Times New Roman" w:cs="Times New Roman" w:eastAsia="Times New Roman" w:hAnsi="Times New Roman"/>
                <w:sz w:val="17"/>
                <w:szCs w:val="17"/>
                <w:b w:val="1"/>
                <w:bCs w:val="1"/>
                <w:color w:val="auto"/>
              </w:rPr>
              <w:t>EXLSERVICE HOLDINGS, INC.</w:t>
            </w:r>
          </w:p>
        </w:tc>
      </w:tr>
      <w:tr>
        <w:trPr>
          <w:trHeight w:val="499"/>
        </w:trPr>
        <w:tc>
          <w:tcPr>
            <w:tcW w:w="3280" w:type="dxa"/>
            <w:vAlign w:val="bottom"/>
          </w:tcPr>
          <w:p>
            <w:pPr>
              <w:spacing w:after="0"/>
              <w:rPr>
                <w:sz w:val="24"/>
                <w:szCs w:val="24"/>
                <w:color w:val="auto"/>
              </w:rPr>
            </w:pPr>
          </w:p>
        </w:tc>
        <w:tc>
          <w:tcPr>
            <w:tcW w:w="2240" w:type="dxa"/>
            <w:vAlign w:val="bottom"/>
          </w:tcPr>
          <w:p>
            <w:pPr>
              <w:ind w:left="1640"/>
              <w:spacing w:after="0"/>
              <w:rPr>
                <w:sz w:val="20"/>
                <w:szCs w:val="20"/>
                <w:color w:val="auto"/>
              </w:rPr>
            </w:pPr>
            <w:r>
              <w:rPr>
                <w:rFonts w:ascii="Times New Roman" w:cs="Times New Roman" w:eastAsia="Times New Roman" w:hAnsi="Times New Roman"/>
                <w:sz w:val="17"/>
                <w:szCs w:val="17"/>
                <w:color w:val="auto"/>
              </w:rPr>
              <w:t>By:</w:t>
            </w:r>
          </w:p>
        </w:tc>
        <w:tc>
          <w:tcPr>
            <w:tcW w:w="5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3"/>
                <w:szCs w:val="13"/>
                <w:color w:val="auto"/>
              </w:rPr>
              <w:t>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3"/>
                <w:szCs w:val="13"/>
                <w:color w:val="auto"/>
              </w:rPr>
              <w:t>MAURIZIO NICOLELLI</w:t>
            </w:r>
          </w:p>
        </w:tc>
      </w:tr>
      <w:tr>
        <w:trPr>
          <w:trHeight w:val="124"/>
        </w:trPr>
        <w:tc>
          <w:tcPr>
            <w:tcW w:w="328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5680" w:type="dxa"/>
            <w:vAlign w:val="bottom"/>
          </w:tcPr>
          <w:p>
            <w:pPr>
              <w:ind w:left="20"/>
              <w:spacing w:after="0" w:line="125" w:lineRule="exact"/>
              <w:rPr>
                <w:sz w:val="20"/>
                <w:szCs w:val="20"/>
                <w:color w:val="auto"/>
              </w:rPr>
            </w:pPr>
            <w:r>
              <w:rPr>
                <w:rFonts w:ascii="Times New Roman" w:cs="Times New Roman" w:eastAsia="Times New Roman" w:hAnsi="Times New Roman"/>
                <w:sz w:val="14"/>
                <w:szCs w:val="14"/>
                <w:b w:val="1"/>
                <w:bCs w:val="1"/>
                <w:color w:val="auto"/>
              </w:rPr>
              <w:t>MAURIZIO NICOLELLI</w:t>
            </w:r>
          </w:p>
        </w:tc>
      </w:tr>
      <w:tr>
        <w:trPr>
          <w:trHeight w:val="151"/>
        </w:trPr>
        <w:tc>
          <w:tcPr>
            <w:tcW w:w="328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5680" w:type="dxa"/>
            <w:vAlign w:val="bottom"/>
          </w:tcPr>
          <w:p>
            <w:pPr>
              <w:ind w:left="20"/>
              <w:spacing w:after="0" w:line="151" w:lineRule="exact"/>
              <w:rPr>
                <w:sz w:val="20"/>
                <w:szCs w:val="20"/>
                <w:color w:val="auto"/>
              </w:rPr>
            </w:pPr>
            <w:r>
              <w:rPr>
                <w:rFonts w:ascii="Times New Roman" w:cs="Times New Roman" w:eastAsia="Times New Roman" w:hAnsi="Times New Roman"/>
                <w:sz w:val="14"/>
                <w:szCs w:val="14"/>
                <w:b w:val="1"/>
                <w:bCs w:val="1"/>
                <w:color w:val="auto"/>
              </w:rPr>
              <w:t>Chief Financial Officer</w:t>
            </w:r>
          </w:p>
        </w:tc>
      </w:tr>
    </w:tbl>
    <w:p>
      <w:pPr>
        <w:ind w:left="5560"/>
        <w:spacing w:after="0"/>
        <w:rPr>
          <w:sz w:val="20"/>
          <w:szCs w:val="20"/>
          <w:color w:val="auto"/>
        </w:rPr>
      </w:pPr>
      <w:r>
        <w:rPr>
          <w:rFonts w:ascii="Times New Roman" w:cs="Times New Roman" w:eastAsia="Times New Roman" w:hAnsi="Times New Roman"/>
          <w:sz w:val="14"/>
          <w:szCs w:val="14"/>
          <w:b w:val="1"/>
          <w:bCs w:val="1"/>
          <w:color w:val="auto"/>
        </w:rPr>
        <w:t>(Duly Authorized Signatory, 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58</w:t>
      </w:r>
    </w:p>
    <w:p>
      <w:pPr>
        <w:sectPr>
          <w:pgSz w:w="11900" w:h="16838" w:orient="portrait"/>
          <w:cols w:equalWidth="0" w:num="1">
            <w:col w:w="11220"/>
          </w:cols>
          <w:pgMar w:left="320" w:top="355" w:right="359" w:bottom="1440" w:gutter="0" w:footer="0" w:header="0"/>
        </w:sectPr>
      </w:pPr>
    </w:p>
    <w:bookmarkStart w:id="58" w:name="page59"/>
    <w:bookmarkEnd w:id="58"/>
    <w:p>
      <w:pPr>
        <w:jc w:val="right"/>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SECTION 302 CERTIFICATION</w:t>
      </w:r>
    </w:p>
    <w:p>
      <w:pPr>
        <w:spacing w:after="0" w:line="22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I, Rohit Kapoor, certify that:</w:t>
      </w:r>
    </w:p>
    <w:p>
      <w:pPr>
        <w:spacing w:after="0" w:line="224" w:lineRule="exact"/>
        <w:rPr>
          <w:sz w:val="20"/>
          <w:szCs w:val="20"/>
          <w:color w:val="auto"/>
        </w:rPr>
      </w:pPr>
    </w:p>
    <w:p>
      <w:pPr>
        <w:ind w:left="400" w:hanging="395"/>
        <w:spacing w:after="0"/>
        <w:tabs>
          <w:tab w:leader="none" w:pos="40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of ExlService Holdings, Inc.;</w:t>
      </w:r>
    </w:p>
    <w:p>
      <w:pPr>
        <w:spacing w:after="0" w:line="224" w:lineRule="exact"/>
        <w:rPr>
          <w:rFonts w:ascii="Times New Roman" w:cs="Times New Roman" w:eastAsia="Times New Roman" w:hAnsi="Times New Roman"/>
          <w:sz w:val="17"/>
          <w:szCs w:val="17"/>
          <w:color w:val="auto"/>
        </w:rPr>
      </w:pPr>
    </w:p>
    <w:p>
      <w:pPr>
        <w:ind w:left="400" w:hanging="395"/>
        <w:spacing w:after="0" w:line="297" w:lineRule="auto"/>
        <w:tabs>
          <w:tab w:leader="none" w:pos="40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5" w:lineRule="exact"/>
        <w:rPr>
          <w:rFonts w:ascii="Times New Roman" w:cs="Times New Roman" w:eastAsia="Times New Roman" w:hAnsi="Times New Roman"/>
          <w:sz w:val="17"/>
          <w:szCs w:val="17"/>
          <w:color w:val="auto"/>
        </w:rPr>
      </w:pPr>
    </w:p>
    <w:p>
      <w:pPr>
        <w:ind w:left="400" w:hanging="395"/>
        <w:spacing w:after="0" w:line="297" w:lineRule="auto"/>
        <w:tabs>
          <w:tab w:leader="none" w:pos="40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5" w:lineRule="exact"/>
        <w:rPr>
          <w:rFonts w:ascii="Times New Roman" w:cs="Times New Roman" w:eastAsia="Times New Roman" w:hAnsi="Times New Roman"/>
          <w:sz w:val="17"/>
          <w:szCs w:val="17"/>
          <w:color w:val="auto"/>
        </w:rPr>
      </w:pPr>
    </w:p>
    <w:p>
      <w:pPr>
        <w:jc w:val="both"/>
        <w:ind w:left="400" w:hanging="395"/>
        <w:spacing w:after="0" w:line="277" w:lineRule="auto"/>
        <w:tabs>
          <w:tab w:leader="none" w:pos="40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2" w:lineRule="exact"/>
        <w:rPr>
          <w:rFonts w:ascii="Times New Roman" w:cs="Times New Roman" w:eastAsia="Times New Roman" w:hAnsi="Times New Roman"/>
          <w:sz w:val="17"/>
          <w:szCs w:val="17"/>
          <w:color w:val="auto"/>
        </w:rPr>
      </w:pPr>
    </w:p>
    <w:p>
      <w:pPr>
        <w:jc w:val="both"/>
        <w:ind w:left="720" w:hanging="322"/>
        <w:spacing w:after="0" w:line="277" w:lineRule="auto"/>
        <w:tabs>
          <w:tab w:leader="none" w:pos="717" w:val="left"/>
        </w:tabs>
        <w:numPr>
          <w:ilvl w:val="1"/>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2" w:lineRule="exact"/>
        <w:rPr>
          <w:rFonts w:ascii="Times New Roman" w:cs="Times New Roman" w:eastAsia="Times New Roman" w:hAnsi="Times New Roman"/>
          <w:sz w:val="17"/>
          <w:szCs w:val="17"/>
          <w:color w:val="auto"/>
        </w:rPr>
      </w:pPr>
    </w:p>
    <w:p>
      <w:pPr>
        <w:jc w:val="both"/>
        <w:ind w:left="720" w:hanging="322"/>
        <w:spacing w:after="0" w:line="277" w:lineRule="auto"/>
        <w:tabs>
          <w:tab w:leader="none" w:pos="714" w:val="left"/>
        </w:tabs>
        <w:numPr>
          <w:ilvl w:val="1"/>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2" w:lineRule="exact"/>
        <w:rPr>
          <w:rFonts w:ascii="Times New Roman" w:cs="Times New Roman" w:eastAsia="Times New Roman" w:hAnsi="Times New Roman"/>
          <w:sz w:val="17"/>
          <w:szCs w:val="17"/>
          <w:color w:val="auto"/>
        </w:rPr>
      </w:pPr>
    </w:p>
    <w:p>
      <w:pPr>
        <w:ind w:left="720" w:hanging="322"/>
        <w:spacing w:after="0" w:line="297" w:lineRule="auto"/>
        <w:tabs>
          <w:tab w:leader="none" w:pos="717" w:val="left"/>
        </w:tabs>
        <w:numPr>
          <w:ilvl w:val="1"/>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5" w:lineRule="exact"/>
        <w:rPr>
          <w:rFonts w:ascii="Times New Roman" w:cs="Times New Roman" w:eastAsia="Times New Roman" w:hAnsi="Times New Roman"/>
          <w:sz w:val="17"/>
          <w:szCs w:val="17"/>
          <w:color w:val="auto"/>
        </w:rPr>
      </w:pPr>
    </w:p>
    <w:p>
      <w:pPr>
        <w:jc w:val="both"/>
        <w:ind w:left="720" w:hanging="322"/>
        <w:spacing w:after="0" w:line="277" w:lineRule="auto"/>
        <w:tabs>
          <w:tab w:leader="none" w:pos="714" w:val="left"/>
        </w:tabs>
        <w:numPr>
          <w:ilvl w:val="1"/>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2" w:lineRule="exact"/>
        <w:rPr>
          <w:rFonts w:ascii="Times New Roman" w:cs="Times New Roman" w:eastAsia="Times New Roman" w:hAnsi="Times New Roman"/>
          <w:sz w:val="17"/>
          <w:szCs w:val="17"/>
          <w:color w:val="auto"/>
        </w:rPr>
      </w:pPr>
    </w:p>
    <w:p>
      <w:pPr>
        <w:ind w:left="400" w:hanging="395"/>
        <w:spacing w:after="0" w:line="297" w:lineRule="auto"/>
        <w:tabs>
          <w:tab w:leader="none" w:pos="40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5" w:lineRule="exact"/>
        <w:rPr>
          <w:rFonts w:ascii="Times New Roman" w:cs="Times New Roman" w:eastAsia="Times New Roman" w:hAnsi="Times New Roman"/>
          <w:sz w:val="17"/>
          <w:szCs w:val="17"/>
          <w:color w:val="auto"/>
        </w:rPr>
      </w:pPr>
    </w:p>
    <w:p>
      <w:pPr>
        <w:ind w:left="720" w:hanging="322"/>
        <w:spacing w:after="0" w:line="297" w:lineRule="auto"/>
        <w:tabs>
          <w:tab w:leader="none" w:pos="717" w:val="left"/>
        </w:tabs>
        <w:numPr>
          <w:ilvl w:val="1"/>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5" w:lineRule="exact"/>
        <w:rPr>
          <w:rFonts w:ascii="Times New Roman" w:cs="Times New Roman" w:eastAsia="Times New Roman" w:hAnsi="Times New Roman"/>
          <w:sz w:val="17"/>
          <w:szCs w:val="17"/>
          <w:color w:val="auto"/>
        </w:rPr>
      </w:pPr>
    </w:p>
    <w:p>
      <w:pPr>
        <w:ind w:left="720" w:hanging="322"/>
        <w:spacing w:after="0" w:line="297" w:lineRule="auto"/>
        <w:tabs>
          <w:tab w:leader="none" w:pos="714" w:val="left"/>
        </w:tabs>
        <w:numPr>
          <w:ilvl w:val="1"/>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tbl>
      <w:tblPr>
        <w:tblLayout w:type="fixed"/>
        <w:tblInd w:w="20" w:type="dxa"/>
        <w:tblCellMar>
          <w:top w:w="0" w:type="dxa"/>
          <w:left w:w="0" w:type="dxa"/>
          <w:bottom w:w="0" w:type="dxa"/>
          <w:right w:w="0" w:type="dxa"/>
        </w:tblCellMar>
      </w:tblPr>
      <w:tr>
        <w:trPr>
          <w:trHeight w:val="228"/>
        </w:trPr>
        <w:tc>
          <w:tcPr>
            <w:tcW w:w="6100" w:type="dxa"/>
            <w:vAlign w:val="bottom"/>
          </w:tcPr>
          <w:p>
            <w:pPr>
              <w:spacing w:after="0"/>
              <w:rPr>
                <w:sz w:val="20"/>
                <w:szCs w:val="20"/>
                <w:color w:val="auto"/>
              </w:rPr>
            </w:pPr>
            <w:r>
              <w:rPr>
                <w:rFonts w:ascii="Times New Roman" w:cs="Times New Roman" w:eastAsia="Times New Roman" w:hAnsi="Times New Roman"/>
                <w:sz w:val="17"/>
                <w:szCs w:val="17"/>
                <w:color w:val="auto"/>
              </w:rPr>
              <w:t>Date: October 30, 2024</w:t>
            </w:r>
          </w:p>
        </w:tc>
        <w:tc>
          <w:tcPr>
            <w:tcW w:w="5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Rohit Kapoor</w:t>
            </w:r>
          </w:p>
        </w:tc>
      </w:tr>
      <w:tr>
        <w:trPr>
          <w:trHeight w:val="211"/>
        </w:trPr>
        <w:tc>
          <w:tcPr>
            <w:tcW w:w="6100" w:type="dxa"/>
            <w:vAlign w:val="bottom"/>
          </w:tcPr>
          <w:p>
            <w:pPr>
              <w:spacing w:after="0"/>
              <w:rPr>
                <w:sz w:val="18"/>
                <w:szCs w:val="18"/>
                <w:color w:val="auto"/>
              </w:rPr>
            </w:pPr>
          </w:p>
        </w:tc>
        <w:tc>
          <w:tcPr>
            <w:tcW w:w="5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Rohit Kapoor</w:t>
            </w:r>
          </w:p>
        </w:tc>
      </w:tr>
      <w:tr>
        <w:trPr>
          <w:trHeight w:val="228"/>
        </w:trPr>
        <w:tc>
          <w:tcPr>
            <w:tcW w:w="6100" w:type="dxa"/>
            <w:vAlign w:val="bottom"/>
          </w:tcPr>
          <w:p>
            <w:pPr>
              <w:spacing w:after="0"/>
              <w:rPr>
                <w:sz w:val="19"/>
                <w:szCs w:val="19"/>
                <w:color w:val="auto"/>
              </w:rPr>
            </w:pPr>
          </w:p>
        </w:tc>
        <w:tc>
          <w:tcPr>
            <w:tcW w:w="5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Chairman and Chief Executive Officer</w:t>
            </w:r>
          </w:p>
        </w:tc>
      </w:tr>
    </w:tbl>
    <w:p>
      <w:pPr>
        <w:sectPr>
          <w:pgSz w:w="11900" w:h="16838" w:orient="portrait"/>
          <w:cols w:equalWidth="0" w:num="1">
            <w:col w:w="11240"/>
          </w:cols>
          <w:pgMar w:left="320" w:top="867" w:right="339" w:bottom="1440" w:gutter="0" w:footer="0" w:header="0"/>
        </w:sectPr>
      </w:pPr>
    </w:p>
    <w:bookmarkStart w:id="59" w:name="page60"/>
    <w:bookmarkEnd w:id="59"/>
    <w:p>
      <w:pPr>
        <w:jc w:val="right"/>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SECTION 302 CERTIFICATION</w:t>
      </w:r>
    </w:p>
    <w:p>
      <w:pPr>
        <w:spacing w:after="0" w:line="22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I, Maurizio Nicolelli, certify that:</w:t>
      </w:r>
    </w:p>
    <w:p>
      <w:pPr>
        <w:spacing w:after="0" w:line="355" w:lineRule="exact"/>
        <w:rPr>
          <w:sz w:val="20"/>
          <w:szCs w:val="20"/>
          <w:color w:val="auto"/>
        </w:rPr>
      </w:pPr>
    </w:p>
    <w:p>
      <w:pPr>
        <w:ind w:left="400" w:hanging="395"/>
        <w:spacing w:after="0"/>
        <w:tabs>
          <w:tab w:leader="none" w:pos="40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of ExlService Holdings, Inc.;</w:t>
      </w:r>
    </w:p>
    <w:p>
      <w:pPr>
        <w:spacing w:after="0" w:line="224" w:lineRule="exact"/>
        <w:rPr>
          <w:rFonts w:ascii="Times New Roman" w:cs="Times New Roman" w:eastAsia="Times New Roman" w:hAnsi="Times New Roman"/>
          <w:sz w:val="17"/>
          <w:szCs w:val="17"/>
          <w:color w:val="auto"/>
        </w:rPr>
      </w:pPr>
    </w:p>
    <w:p>
      <w:pPr>
        <w:ind w:left="400" w:hanging="395"/>
        <w:spacing w:after="0" w:line="297" w:lineRule="auto"/>
        <w:tabs>
          <w:tab w:leader="none" w:pos="40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5" w:lineRule="exact"/>
        <w:rPr>
          <w:rFonts w:ascii="Times New Roman" w:cs="Times New Roman" w:eastAsia="Times New Roman" w:hAnsi="Times New Roman"/>
          <w:sz w:val="17"/>
          <w:szCs w:val="17"/>
          <w:color w:val="auto"/>
        </w:rPr>
      </w:pPr>
    </w:p>
    <w:p>
      <w:pPr>
        <w:ind w:left="400" w:hanging="395"/>
        <w:spacing w:after="0" w:line="297" w:lineRule="auto"/>
        <w:tabs>
          <w:tab w:leader="none" w:pos="40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5" w:lineRule="exact"/>
        <w:rPr>
          <w:rFonts w:ascii="Times New Roman" w:cs="Times New Roman" w:eastAsia="Times New Roman" w:hAnsi="Times New Roman"/>
          <w:sz w:val="17"/>
          <w:szCs w:val="17"/>
          <w:color w:val="auto"/>
        </w:rPr>
      </w:pPr>
    </w:p>
    <w:p>
      <w:pPr>
        <w:jc w:val="both"/>
        <w:ind w:left="400" w:hanging="395"/>
        <w:spacing w:after="0" w:line="277" w:lineRule="auto"/>
        <w:tabs>
          <w:tab w:leader="none" w:pos="40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2" w:lineRule="exact"/>
        <w:rPr>
          <w:rFonts w:ascii="Times New Roman" w:cs="Times New Roman" w:eastAsia="Times New Roman" w:hAnsi="Times New Roman"/>
          <w:sz w:val="17"/>
          <w:szCs w:val="17"/>
          <w:color w:val="auto"/>
        </w:rPr>
      </w:pPr>
    </w:p>
    <w:p>
      <w:pPr>
        <w:jc w:val="both"/>
        <w:ind w:left="720" w:hanging="322"/>
        <w:spacing w:after="0" w:line="277" w:lineRule="auto"/>
        <w:tabs>
          <w:tab w:leader="none" w:pos="717" w:val="left"/>
        </w:tabs>
        <w:numPr>
          <w:ilvl w:val="1"/>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2" w:lineRule="exact"/>
        <w:rPr>
          <w:rFonts w:ascii="Times New Roman" w:cs="Times New Roman" w:eastAsia="Times New Roman" w:hAnsi="Times New Roman"/>
          <w:sz w:val="17"/>
          <w:szCs w:val="17"/>
          <w:color w:val="auto"/>
        </w:rPr>
      </w:pPr>
    </w:p>
    <w:p>
      <w:pPr>
        <w:jc w:val="both"/>
        <w:ind w:left="720" w:hanging="322"/>
        <w:spacing w:after="0" w:line="277" w:lineRule="auto"/>
        <w:tabs>
          <w:tab w:leader="none" w:pos="714" w:val="left"/>
        </w:tabs>
        <w:numPr>
          <w:ilvl w:val="1"/>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2" w:lineRule="exact"/>
        <w:rPr>
          <w:rFonts w:ascii="Times New Roman" w:cs="Times New Roman" w:eastAsia="Times New Roman" w:hAnsi="Times New Roman"/>
          <w:sz w:val="17"/>
          <w:szCs w:val="17"/>
          <w:color w:val="auto"/>
        </w:rPr>
      </w:pPr>
    </w:p>
    <w:p>
      <w:pPr>
        <w:ind w:left="720" w:hanging="322"/>
        <w:spacing w:after="0" w:line="297" w:lineRule="auto"/>
        <w:tabs>
          <w:tab w:leader="none" w:pos="717" w:val="left"/>
        </w:tabs>
        <w:numPr>
          <w:ilvl w:val="1"/>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5" w:lineRule="exact"/>
        <w:rPr>
          <w:rFonts w:ascii="Times New Roman" w:cs="Times New Roman" w:eastAsia="Times New Roman" w:hAnsi="Times New Roman"/>
          <w:sz w:val="17"/>
          <w:szCs w:val="17"/>
          <w:color w:val="auto"/>
        </w:rPr>
      </w:pPr>
    </w:p>
    <w:p>
      <w:pPr>
        <w:jc w:val="both"/>
        <w:ind w:left="720" w:hanging="322"/>
        <w:spacing w:after="0" w:line="277" w:lineRule="auto"/>
        <w:tabs>
          <w:tab w:leader="none" w:pos="714" w:val="left"/>
        </w:tabs>
        <w:numPr>
          <w:ilvl w:val="1"/>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2" w:lineRule="exact"/>
        <w:rPr>
          <w:rFonts w:ascii="Times New Roman" w:cs="Times New Roman" w:eastAsia="Times New Roman" w:hAnsi="Times New Roman"/>
          <w:sz w:val="17"/>
          <w:szCs w:val="17"/>
          <w:color w:val="auto"/>
        </w:rPr>
      </w:pPr>
    </w:p>
    <w:p>
      <w:pPr>
        <w:ind w:left="400" w:hanging="395"/>
        <w:spacing w:after="0" w:line="297" w:lineRule="auto"/>
        <w:tabs>
          <w:tab w:leader="none" w:pos="40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5" w:lineRule="exact"/>
        <w:rPr>
          <w:rFonts w:ascii="Times New Roman" w:cs="Times New Roman" w:eastAsia="Times New Roman" w:hAnsi="Times New Roman"/>
          <w:sz w:val="17"/>
          <w:szCs w:val="17"/>
          <w:color w:val="auto"/>
        </w:rPr>
      </w:pPr>
    </w:p>
    <w:p>
      <w:pPr>
        <w:ind w:left="720" w:hanging="322"/>
        <w:spacing w:after="0" w:line="297" w:lineRule="auto"/>
        <w:tabs>
          <w:tab w:leader="none" w:pos="717" w:val="left"/>
        </w:tabs>
        <w:numPr>
          <w:ilvl w:val="1"/>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5" w:lineRule="exact"/>
        <w:rPr>
          <w:rFonts w:ascii="Times New Roman" w:cs="Times New Roman" w:eastAsia="Times New Roman" w:hAnsi="Times New Roman"/>
          <w:sz w:val="17"/>
          <w:szCs w:val="17"/>
          <w:color w:val="auto"/>
        </w:rPr>
      </w:pPr>
    </w:p>
    <w:p>
      <w:pPr>
        <w:ind w:left="720" w:hanging="322"/>
        <w:spacing w:after="0" w:line="297" w:lineRule="auto"/>
        <w:tabs>
          <w:tab w:leader="none" w:pos="714" w:val="left"/>
        </w:tabs>
        <w:numPr>
          <w:ilvl w:val="1"/>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21" w:lineRule="exact"/>
        <w:rPr>
          <w:sz w:val="20"/>
          <w:szCs w:val="20"/>
          <w:color w:val="auto"/>
        </w:rPr>
      </w:pPr>
    </w:p>
    <w:tbl>
      <w:tblPr>
        <w:tblLayout w:type="fixed"/>
        <w:tblInd w:w="580" w:type="dxa"/>
        <w:tblCellMar>
          <w:top w:w="0" w:type="dxa"/>
          <w:left w:w="0" w:type="dxa"/>
          <w:bottom w:w="0" w:type="dxa"/>
          <w:right w:w="0" w:type="dxa"/>
        </w:tblCellMar>
      </w:tblPr>
      <w:tr>
        <w:trPr>
          <w:trHeight w:val="228"/>
        </w:trPr>
        <w:tc>
          <w:tcPr>
            <w:tcW w:w="5800" w:type="dxa"/>
            <w:vAlign w:val="bottom"/>
          </w:tcPr>
          <w:p>
            <w:pPr>
              <w:spacing w:after="0"/>
              <w:rPr>
                <w:sz w:val="20"/>
                <w:szCs w:val="20"/>
                <w:color w:val="auto"/>
              </w:rPr>
            </w:pPr>
            <w:r>
              <w:rPr>
                <w:rFonts w:ascii="Times New Roman" w:cs="Times New Roman" w:eastAsia="Times New Roman" w:hAnsi="Times New Roman"/>
                <w:sz w:val="17"/>
                <w:szCs w:val="17"/>
                <w:color w:val="auto"/>
              </w:rPr>
              <w:t>Date: October 30, 2024</w:t>
            </w:r>
          </w:p>
        </w:tc>
        <w:tc>
          <w:tcPr>
            <w:tcW w:w="4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Maurizio Nicolelli</w:t>
            </w:r>
          </w:p>
        </w:tc>
      </w:tr>
      <w:tr>
        <w:trPr>
          <w:trHeight w:val="211"/>
        </w:trPr>
        <w:tc>
          <w:tcPr>
            <w:tcW w:w="5800" w:type="dxa"/>
            <w:vAlign w:val="bottom"/>
          </w:tcPr>
          <w:p>
            <w:pPr>
              <w:spacing w:after="0"/>
              <w:rPr>
                <w:sz w:val="18"/>
                <w:szCs w:val="18"/>
                <w:color w:val="auto"/>
              </w:rPr>
            </w:pPr>
          </w:p>
        </w:tc>
        <w:tc>
          <w:tcPr>
            <w:tcW w:w="4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Maurizio Nicolelli</w:t>
            </w:r>
          </w:p>
        </w:tc>
      </w:tr>
      <w:tr>
        <w:trPr>
          <w:trHeight w:val="228"/>
        </w:trPr>
        <w:tc>
          <w:tcPr>
            <w:tcW w:w="5800" w:type="dxa"/>
            <w:vAlign w:val="bottom"/>
          </w:tcPr>
          <w:p>
            <w:pPr>
              <w:spacing w:after="0"/>
              <w:rPr>
                <w:sz w:val="19"/>
                <w:szCs w:val="19"/>
                <w:color w:val="auto"/>
              </w:rPr>
            </w:pPr>
          </w:p>
        </w:tc>
        <w:tc>
          <w:tcPr>
            <w:tcW w:w="4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Chief Financial Officer</w:t>
            </w:r>
          </w:p>
        </w:tc>
      </w:tr>
    </w:tbl>
    <w:p>
      <w:pPr>
        <w:sectPr>
          <w:pgSz w:w="11900" w:h="16838" w:orient="portrait"/>
          <w:cols w:equalWidth="0" w:num="1">
            <w:col w:w="11240"/>
          </w:cols>
          <w:pgMar w:left="320" w:top="867" w:right="339" w:bottom="1440" w:gutter="0" w:footer="0" w:header="0"/>
        </w:sectPr>
      </w:pPr>
    </w:p>
    <w:bookmarkStart w:id="60" w:name="page61"/>
    <w:bookmarkEnd w:id="60"/>
    <w:p>
      <w:pPr>
        <w:jc w:val="right"/>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CERTIFICATION PURSUANT TO</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 U.S.C. SECTION 1350,</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AS ADOPTED PURSUANT TO</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SECTION 906 OF THE SARBANES-OXLEY ACT OF 2002</w:t>
      </w:r>
    </w:p>
    <w:p>
      <w:pPr>
        <w:spacing w:after="0" w:line="22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color w:val="auto"/>
        </w:rPr>
        <w:t>In connection with the Quarterly Report of ExlService Holdings, Inc. (the “Company”) on Form 10-Q for the period ended September 30, 2024 as filed with the Securities and Exchange Commission on the date hereof (the “Report”), I, Rohit Kapoor, Chairman and Chief Executive Officer of the Company, certify, pursuant to 18 U.S.C. Section 1350, as adopted pursuant to Section 906 of the Sarbanes-Oxley Act of 2002, that:</w:t>
      </w:r>
    </w:p>
    <w:p>
      <w:pPr>
        <w:spacing w:after="0" w:line="202" w:lineRule="exact"/>
        <w:rPr>
          <w:sz w:val="20"/>
          <w:szCs w:val="20"/>
          <w:color w:val="auto"/>
        </w:rPr>
      </w:pPr>
    </w:p>
    <w:p>
      <w:pPr>
        <w:ind w:left="320" w:hanging="315"/>
        <w:spacing w:after="0"/>
        <w:tabs>
          <w:tab w:leader="none" w:pos="3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of the Securities Exchange Act of 1934; and</w:t>
      </w:r>
    </w:p>
    <w:p>
      <w:pPr>
        <w:spacing w:after="0" w:line="171" w:lineRule="exact"/>
        <w:rPr>
          <w:rFonts w:ascii="Times New Roman" w:cs="Times New Roman" w:eastAsia="Times New Roman" w:hAnsi="Times New Roman"/>
          <w:sz w:val="17"/>
          <w:szCs w:val="17"/>
          <w:color w:val="auto"/>
        </w:rPr>
      </w:pPr>
    </w:p>
    <w:p>
      <w:pPr>
        <w:ind w:left="320" w:hanging="315"/>
        <w:spacing w:after="0"/>
        <w:tabs>
          <w:tab w:leader="none" w:pos="3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1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/s/ Rohit Kapoor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wp:posOffset>
            </wp:positionV>
            <wp:extent cx="62788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1">
                      <a:extLst>
                        <a:ext uri="{28A0092B-C50C-407E-A947-70E740481C1C}"/>
                      </a:extLst>
                    </a:blip>
                    <a:srcRect/>
                    <a:stretch>
                      <a:fillRect/>
                    </a:stretch>
                  </pic:blipFill>
                  <pic:spPr bwMode="auto">
                    <a:xfrm>
                      <a:off x="0" y="0"/>
                      <a:ext cx="6278880" cy="8255"/>
                    </a:xfrm>
                    <a:prstGeom prst="rect">
                      <a:avLst/>
                    </a:prstGeom>
                    <a:noFill/>
                  </pic:spPr>
                </pic:pic>
              </a:graphicData>
            </a:graphic>
          </wp:anchor>
        </w:drawing>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Rohit Kapoor</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Chairman and Chief Executive Officer</w:t>
      </w:r>
    </w:p>
    <w:p>
      <w:pPr>
        <w:spacing w:after="0" w:line="28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October 30, 2024</w:t>
      </w:r>
    </w:p>
    <w:p>
      <w:pPr>
        <w:sectPr>
          <w:pgSz w:w="11900" w:h="16838" w:orient="portrait"/>
          <w:cols w:equalWidth="0" w:num="1">
            <w:col w:w="11240"/>
          </w:cols>
          <w:pgMar w:left="320" w:top="867" w:right="339" w:bottom="1440" w:gutter="0" w:footer="0" w:header="0"/>
        </w:sectPr>
      </w:pPr>
    </w:p>
    <w:bookmarkStart w:id="61" w:name="page62"/>
    <w:bookmarkEnd w:id="61"/>
    <w:p>
      <w:pPr>
        <w:jc w:val="right"/>
        <w:spacing w:after="0"/>
        <w:rPr>
          <w:sz w:val="20"/>
          <w:szCs w:val="20"/>
          <w:color w:val="auto"/>
        </w:rPr>
      </w:pPr>
      <w:r>
        <w:rPr>
          <w:rFonts w:ascii="Times New Roman" w:cs="Times New Roman" w:eastAsia="Times New Roman" w:hAnsi="Times New Roman"/>
          <w:sz w:val="17"/>
          <w:szCs w:val="17"/>
          <w:b w:val="1"/>
          <w:bCs w:val="1"/>
          <w:color w:val="auto"/>
        </w:rPr>
        <w:t>Exhibit 32.2</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CERTIFICATION PURSUANT TO</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 U.S.C. SECTION 1350,</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AS ADOPTED PURSUANT TO</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SECTION 906 OF THE SARBANES-OXLEY ACT OF 2002</w:t>
      </w:r>
    </w:p>
    <w:p>
      <w:pPr>
        <w:spacing w:after="0" w:line="22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color w:val="auto"/>
        </w:rPr>
        <w:t>In connection with the Quarterly Report of ExlService Holdings, Inc. (the “Company”) on Form 10-Q for the period ended September 30, 2024 as filed with the Securities and Exchange Commission on the date hereof (the “Report”), I, Maurizio Nicolelli, Chief Financial Officer of the Company, certify, pursuant to 18 U.S.C. Section 1350, as adopted pursuant to Section 906 of the Sarbanes-Oxley Act of 2002, that:</w:t>
      </w:r>
    </w:p>
    <w:p>
      <w:pPr>
        <w:spacing w:after="0" w:line="162" w:lineRule="exact"/>
        <w:rPr>
          <w:sz w:val="20"/>
          <w:szCs w:val="20"/>
          <w:color w:val="auto"/>
        </w:rPr>
      </w:pPr>
    </w:p>
    <w:p>
      <w:pPr>
        <w:ind w:left="320" w:hanging="315"/>
        <w:spacing w:after="0"/>
        <w:tabs>
          <w:tab w:leader="none" w:pos="3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of the Securities Exchange Act of 1934; and</w:t>
      </w:r>
    </w:p>
    <w:p>
      <w:pPr>
        <w:spacing w:after="0" w:line="224" w:lineRule="exact"/>
        <w:rPr>
          <w:rFonts w:ascii="Times New Roman" w:cs="Times New Roman" w:eastAsia="Times New Roman" w:hAnsi="Times New Roman"/>
          <w:sz w:val="17"/>
          <w:szCs w:val="17"/>
          <w:color w:val="auto"/>
        </w:rPr>
      </w:pPr>
    </w:p>
    <w:p>
      <w:pPr>
        <w:ind w:left="320" w:hanging="315"/>
        <w:spacing w:after="0"/>
        <w:tabs>
          <w:tab w:leader="none" w:pos="3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2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/s/ Maurizio Nicolelli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wp:posOffset>
            </wp:positionV>
            <wp:extent cx="488823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2">
                      <a:extLst>
                        <a:ext uri="{28A0092B-C50C-407E-A947-70E740481C1C}"/>
                      </a:extLst>
                    </a:blip>
                    <a:srcRect/>
                    <a:stretch>
                      <a:fillRect/>
                    </a:stretch>
                  </pic:blipFill>
                  <pic:spPr bwMode="auto">
                    <a:xfrm>
                      <a:off x="0" y="0"/>
                      <a:ext cx="4888230" cy="8255"/>
                    </a:xfrm>
                    <a:prstGeom prst="rect">
                      <a:avLst/>
                    </a:prstGeom>
                    <a:noFill/>
                  </pic:spPr>
                </pic:pic>
              </a:graphicData>
            </a:graphic>
          </wp:anchor>
        </w:drawing>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Maurizio Nicolelli</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Chief Financial Officer</w:t>
      </w:r>
    </w:p>
    <w:p>
      <w:pPr>
        <w:spacing w:after="0" w:line="28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October 30, 2024</w:t>
      </w:r>
    </w:p>
    <w:sectPr>
      <w:pgSz w:w="11900" w:h="16838" w:orient="portrait"/>
      <w:cols w:equalWidth="0" w:num="1">
        <w:col w:w="11240"/>
      </w:cols>
      <w:pgMar w:left="320" w:top="86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1)"/>
      <w:numFmt w:val="decimal"/>
      <w:start w:val="1"/>
    </w:lvl>
  </w:abstractNum>
  <w:abstractNum w:abstractNumId="3">
    <w:nsid w:val="109CF92E"/>
    <w:multiLevelType w:val="hybridMultilevel"/>
    <w:lvl w:ilvl="0">
      <w:lvlJc w:val="left"/>
      <w:lvlText w:val="(%1)"/>
      <w:numFmt w:val="lowerLetter"/>
      <w:start w:val="4"/>
    </w:lvl>
  </w:abstractNum>
  <w:abstractNum w:abstractNumId="4">
    <w:nsid w:val="DED7263"/>
    <w:multiLevelType w:val="hybridMultilevel"/>
    <w:lvl w:ilvl="0">
      <w:lvlJc w:val="left"/>
      <w:lvlText w:val="$"/>
      <w:numFmt w:val="bullet"/>
      <w:start w:val="1"/>
    </w:lvl>
  </w:abstractNum>
  <w:abstractNum w:abstractNumId="5">
    <w:nsid w:val="7FDCC233"/>
    <w:multiLevelType w:val="hybridMultilevel"/>
    <w:lvl w:ilvl="0">
      <w:lvlJc w:val="left"/>
      <w:lvlText w:val="(%1)"/>
      <w:numFmt w:val="decimal"/>
      <w:start w:val="1"/>
    </w:lvl>
  </w:abstractNum>
  <w:abstractNum w:abstractNumId="6">
    <w:nsid w:val="1BEFD79F"/>
    <w:multiLevelType w:val="hybridMultilevel"/>
    <w:lvl w:ilvl="0">
      <w:lvlJc w:val="left"/>
      <w:lvlText w:val="%1"/>
      <w:numFmt w:val="decimal"/>
      <w:start w:val="1"/>
    </w:lvl>
    <w:lvl w:ilvl="1">
      <w:lvlJc w:val="left"/>
      <w:lvlText w:val="(%2)"/>
      <w:numFmt w:val="decimal"/>
      <w:start w:val="1"/>
    </w:lvl>
  </w:abstractNum>
  <w:abstractNum w:abstractNumId="7">
    <w:nsid w:val="41A7C4C9"/>
    <w:multiLevelType w:val="hybridMultilevel"/>
    <w:lvl w:ilvl="0">
      <w:lvlJc w:val="left"/>
      <w:lvlText w:val="%1."/>
      <w:numFmt w:val="decimal"/>
      <w:start w:val="8"/>
    </w:lvl>
    <w:lvl w:ilvl="1">
      <w:lvlJc w:val="left"/>
      <w:lvlText w:val="%2"/>
      <w:numFmt w:val="decimal"/>
      <w:start w:val="1"/>
    </w:lvl>
  </w:abstractNum>
  <w:abstractNum w:abstractNumId="8">
    <w:nsid w:val="6B68079A"/>
    <w:multiLevelType w:val="hybridMultilevel"/>
    <w:lvl w:ilvl="0">
      <w:lvlJc w:val="left"/>
      <w:lvlText w:val="%1."/>
      <w:numFmt w:val="decimal"/>
      <w:start w:val="10"/>
    </w:lvl>
  </w:abstractNum>
  <w:abstractNum w:abstractNumId="9">
    <w:nsid w:val="4E6AFB66"/>
    <w:multiLevelType w:val="hybridMultilevel"/>
    <w:lvl w:ilvl="0">
      <w:lvlJc w:val="left"/>
      <w:lvlText w:val="(%1)"/>
      <w:numFmt w:val="decimal"/>
      <w:start w:val="1"/>
    </w:lvl>
  </w:abstractNum>
  <w:abstractNum w:abstractNumId="10">
    <w:nsid w:val="25E45D32"/>
    <w:multiLevelType w:val="hybridMultilevel"/>
    <w:lvl w:ilvl="0">
      <w:lvlJc w:val="left"/>
      <w:lvlText w:val="(%1)"/>
      <w:numFmt w:val="decimal"/>
      <w:start w:val="1"/>
    </w:lvl>
  </w:abstractNum>
  <w:abstractNum w:abstractNumId="11">
    <w:nsid w:val="519B500D"/>
    <w:multiLevelType w:val="hybridMultilevel"/>
    <w:lvl w:ilvl="0">
      <w:lvlJc w:val="left"/>
      <w:lvlText w:val="(%1)"/>
      <w:numFmt w:val="decimal"/>
      <w:start w:val="1"/>
    </w:lvl>
  </w:abstractNum>
  <w:abstractNum w:abstractNumId="12">
    <w:nsid w:val="431BD7B7"/>
    <w:multiLevelType w:val="hybridMultilevel"/>
    <w:lvl w:ilvl="0">
      <w:lvlJc w:val="left"/>
      <w:lvlText w:val="(%1)"/>
      <w:numFmt w:val="decimal"/>
      <w:start w:val="1"/>
    </w:lvl>
  </w:abstractNum>
  <w:abstractNum w:abstractNumId="13">
    <w:nsid w:val="3F2DBA31"/>
    <w:multiLevelType w:val="hybridMultilevel"/>
    <w:lvl w:ilvl="0">
      <w:lvlJc w:val="left"/>
      <w:lvlText w:val="*"/>
      <w:numFmt w:val="bullet"/>
      <w:start w:val="1"/>
    </w:lvl>
  </w:abstractNum>
  <w:abstractNum w:abstractNumId="14">
    <w:nsid w:val="7C83E458"/>
    <w:multiLevelType w:val="hybridMultilevel"/>
    <w:lvl w:ilvl="0">
      <w:lvlJc w:val="left"/>
      <w:lvlText w:val="*"/>
      <w:numFmt w:val="bullet"/>
      <w:start w:val="1"/>
    </w:lvl>
  </w:abstractNum>
  <w:abstractNum w:abstractNumId="15">
    <w:nsid w:val="257130A3"/>
    <w:multiLevelType w:val="hybridMultilevel"/>
    <w:lvl w:ilvl="0">
      <w:lvlJc w:val="left"/>
      <w:lvlText w:val="•"/>
      <w:numFmt w:val="bullet"/>
      <w:start w:val="1"/>
    </w:lvl>
  </w:abstractNum>
  <w:abstractNum w:abstractNumId="16">
    <w:nsid w:val="62BBD95A"/>
    <w:multiLevelType w:val="hybridMultilevel"/>
    <w:lvl w:ilvl="0">
      <w:lvlJc w:val="left"/>
      <w:lvlText w:val="•"/>
      <w:numFmt w:val="bullet"/>
      <w:start w:val="1"/>
    </w:lvl>
  </w:abstractNum>
  <w:abstractNum w:abstractNumId="17">
    <w:nsid w:val="436C6125"/>
    <w:multiLevelType w:val="hybridMultilevel"/>
    <w:lvl w:ilvl="0">
      <w:lvlJc w:val="left"/>
      <w:lvlText w:val="•"/>
      <w:numFmt w:val="bullet"/>
      <w:start w:val="1"/>
    </w:lvl>
  </w:abstractNum>
  <w:abstractNum w:abstractNumId="18">
    <w:nsid w:val="628C895D"/>
    <w:multiLevelType w:val="hybridMultilevel"/>
    <w:lvl w:ilvl="0">
      <w:lvlJc w:val="left"/>
      <w:lvlText w:val="•"/>
      <w:numFmt w:val="bullet"/>
      <w:start w:val="1"/>
    </w:lvl>
  </w:abstractNum>
  <w:abstractNum w:abstractNumId="19">
    <w:nsid w:val="333AB105"/>
    <w:multiLevelType w:val="hybridMultilevel"/>
    <w:lvl w:ilvl="0">
      <w:lvlJc w:val="left"/>
      <w:lvlText w:val="%1."/>
      <w:numFmt w:val="decimal"/>
      <w:start w:val="1"/>
    </w:lvl>
    <w:lvl w:ilvl="1">
      <w:lvlJc w:val="left"/>
      <w:lvlText w:val="(%2)"/>
      <w:numFmt w:val="lowerLetter"/>
      <w:start w:val="1"/>
    </w:lvl>
  </w:abstractNum>
  <w:abstractNum w:abstractNumId="20">
    <w:nsid w:val="721DA317"/>
    <w:multiLevelType w:val="hybridMultilevel"/>
    <w:lvl w:ilvl="0">
      <w:lvlJc w:val="left"/>
      <w:lvlText w:val="%1."/>
      <w:numFmt w:val="decimal"/>
      <w:start w:val="1"/>
    </w:lvl>
    <w:lvl w:ilvl="1">
      <w:lvlJc w:val="left"/>
      <w:lvlText w:val="(%2)"/>
      <w:numFmt w:val="lowerLetter"/>
      <w:start w:val="1"/>
    </w:lvl>
  </w:abstractNum>
  <w:abstractNum w:abstractNumId="21">
    <w:nsid w:val="2443A858"/>
    <w:multiLevelType w:val="hybridMultilevel"/>
    <w:lvl w:ilvl="0">
      <w:lvlJc w:val="left"/>
      <w:lvlText w:val="(%1)"/>
      <w:numFmt w:val="lowerLetter"/>
      <w:start w:val="1"/>
    </w:lvl>
  </w:abstractNum>
  <w:abstractNum w:abstractNumId="22">
    <w:nsid w:val="2D1D5AE9"/>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90" Type="http://schemas.openxmlformats.org/officeDocument/2006/relationships/image" Target="media/image80.png"/><Relationship Id="rId91" Type="http://schemas.openxmlformats.org/officeDocument/2006/relationships/image" Target="media/image81.png"/><Relationship Id="rId92" Type="http://schemas.openxmlformats.org/officeDocument/2006/relationships/image" Target="media/image82.png"/><Relationship Id="rId87" Type="http://schemas.openxmlformats.org/officeDocument/2006/relationships/hyperlink" Target="https://www.sec.gov/Archives/edgar/data/1297989/000110465924074734/tm2417789d1_ex3-1.htm" TargetMode="External"/><Relationship Id="rId88" Type="http://schemas.openxmlformats.org/officeDocument/2006/relationships/hyperlink" Target="https://www.sec.gov/Archives/edgar/data/1297989/000119312523171321/d523950dex32.htm" TargetMode="External"/><Relationship Id="rId89" Type="http://schemas.openxmlformats.org/officeDocument/2006/relationships/hyperlink" Target="https://www.sec.gov/Archives/edgar/data/1297989/000110465924089922/tm2421743d1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2024-10-30T15:53:28Z</dcterms:created>
  <dcterms:modified xsi:type="dcterms:W3CDTF">2024-10-30T15:53:28Z</dcterms:modified>
</cp:coreProperties>
</file>