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7,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STATEMENT UNDER THE SECURITIES ACT OF 1933</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ExlService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 w:lineRule="exact"/>
        <w:rPr>
          <w:sz w:val="24"/>
          <w:szCs w:val="24"/>
          <w:color w:val="auto"/>
        </w:rPr>
      </w:pPr>
    </w:p>
    <w:p>
      <w:pPr>
        <w:sectPr>
          <w:pgSz w:w="11900" w:h="16838" w:orient="portrait"/>
          <w:cols w:equalWidth="0" w:num="2">
            <w:col w:w="8000" w:space="720"/>
            <w:col w:w="2520"/>
          </w:cols>
          <w:pgMar w:left="320" w:top="22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320 Park Avenue, 29</w:t>
      </w:r>
      <w:r>
        <w:rPr>
          <w:rFonts w:ascii="Times New Roman" w:cs="Times New Roman" w:eastAsia="Times New Roman" w:hAnsi="Times New Roman"/>
          <w:sz w:val="14"/>
          <w:szCs w:val="14"/>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2018 Omnibus Incentive Plan</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color w:val="auto"/>
        </w:rPr>
        <w:t>(Full title of the plan)</w:t>
      </w:r>
    </w:p>
    <w:p>
      <w:pPr>
        <w:sectPr>
          <w:pgSz w:w="11900" w:h="16838" w:orient="portrait"/>
          <w:cols w:equalWidth="0" w:num="1">
            <w:col w:w="11240"/>
          </w:cols>
          <w:pgMar w:left="320" w:top="225" w:right="339" w:bottom="1440" w:gutter="0" w:footer="0" w:header="0"/>
          <w:type w:val="continuous"/>
        </w:sectPr>
      </w:pP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Ajay Ayyappan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Corporate Secretary</w:t>
      </w:r>
    </w:p>
    <w:p>
      <w:pPr>
        <w:jc w:val="center"/>
        <w:ind w:right="-19"/>
        <w:spacing w:after="0" w:line="192" w:lineRule="auto"/>
        <w:rPr>
          <w:sz w:val="20"/>
          <w:szCs w:val="20"/>
          <w:color w:val="auto"/>
        </w:rPr>
      </w:pPr>
      <w:r>
        <w:rPr>
          <w:rFonts w:ascii="Times New Roman" w:cs="Times New Roman" w:eastAsia="Times New Roman" w:hAnsi="Times New Roman"/>
          <w:sz w:val="18"/>
          <w:szCs w:val="18"/>
          <w:b w:val="1"/>
          <w:bCs w:val="1"/>
          <w:color w:val="auto"/>
        </w:rPr>
        <w:t>320 Park Avenue, 29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277-7100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Rakesh Gopalan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Troutman Pepper Hamilton Sanders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301 S. College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Charlotte, North Carolina 28202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(704) 998-4050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type w:val="continuous"/>
        </w:sectPr>
      </w:pPr>
    </w:p>
    <w:p>
      <w:pPr>
        <w:spacing w:after="0" w:line="135"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260" w:space="720"/>
            <w:col w:w="4260"/>
          </w:cols>
          <w:pgMar w:left="320" w:top="225"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ExlService Holdings, Inc. (the “Registrant”) is filing this Registration Statement on Form S-8 with the Securities and Exchange Commission (the “Commission”) to register an additional 5,172,500 shares of common stock issuable to eligible persons under its 2018 Omnibus Incentive Plan (the “Plan”) that became available for future grant under the Plan, including pursuant to each award that expired or terminated or was forfeited or settled in cash, or pursuant to shares of common stock delivered or withheld in full or partial satisfaction of applicable tax withholding obligations (other than options or stock appreciation rights).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Registrant previously filed with the Commission a Registration Statement on Form S-8 (File No. 333-226527) (the “Prior Registration Statement”). This Registration Statement relates to securities of the same class as those to which the Prior Registration Statement related. Pursuant to General Instruction E of Form S-8, the contents of the Prior Registration Statement are incorporated herein by reference, including all attachments and exhibits thereto, except to the extent supplemented, amended or superseded by the information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The Registrant’s Annual Report on Form 10-K for the year ended December 31, 2023, as filed with the Commission on February 29, 2024 (the</w:t>
        </w:r>
      </w:hyperlink>
      <w:r>
        <w:rPr>
          <w:rFonts w:ascii="Times New Roman" w:cs="Times New Roman" w:eastAsia="Times New Roman" w:hAnsi="Times New Roman"/>
          <w:sz w:val="18"/>
          <w:szCs w:val="18"/>
          <w:u w:val="single" w:color="auto"/>
          <w:color w:val="0000EE"/>
        </w:rPr>
        <w:t xml:space="preserve"> </w:t>
      </w:r>
      <w:hyperlink r:id="rId14">
        <w:r>
          <w:rPr>
            <w:rFonts w:ascii="Times New Roman" w:cs="Times New Roman" w:eastAsia="Times New Roman" w:hAnsi="Times New Roman"/>
            <w:sz w:val="18"/>
            <w:szCs w:val="18"/>
            <w:u w:val="single" w:color="auto"/>
            <w:color w:val="0000EE"/>
          </w:rPr>
          <w:t>“Annual Report”);</w:t>
        </w:r>
      </w:hyperlink>
    </w:p>
    <w:p>
      <w:pPr>
        <w:spacing w:after="0" w:line="161" w:lineRule="exact"/>
        <w:rPr>
          <w:rFonts w:ascii="Times New Roman" w:cs="Times New Roman" w:eastAsia="Times New Roman" w:hAnsi="Times New Roman"/>
          <w:sz w:val="18"/>
          <w:szCs w:val="18"/>
          <w:u w:val="single" w:color="auto"/>
          <w:color w:val="0000EE"/>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The portions of the Registrant’s Definitive Proxy Statement on Schedule 14A, as filed with the Commission on April 29, 2024, that are</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incorporated by reference into the Annual Report;</w:t>
        </w:r>
      </w:hyperlink>
    </w:p>
    <w:p>
      <w:pPr>
        <w:spacing w:after="0" w:line="161" w:lineRule="exact"/>
        <w:rPr>
          <w:rFonts w:ascii="Times New Roman" w:cs="Times New Roman" w:eastAsia="Times New Roman" w:hAnsi="Times New Roman"/>
          <w:sz w:val="18"/>
          <w:szCs w:val="18"/>
          <w:u w:val="single" w:color="auto"/>
          <w:color w:val="0000EE"/>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(i) </w:t>
      </w:r>
      <w:hyperlink r:id="rId16">
        <w:r>
          <w:rPr>
            <w:rFonts w:ascii="Times New Roman" w:cs="Times New Roman" w:eastAsia="Times New Roman" w:hAnsi="Times New Roman"/>
            <w:sz w:val="18"/>
            <w:szCs w:val="18"/>
            <w:u w:val="single" w:color="auto"/>
            <w:color w:val="0000EE"/>
          </w:rPr>
          <w:t>Quarterly Report on Form 10-Q for the quarter ended March 31, 2024, as filed with the Commission on May 2, 2024</w:t>
        </w:r>
      </w:hyperlink>
      <w:r>
        <w:rPr>
          <w:rFonts w:ascii="Times New Roman" w:cs="Times New Roman" w:eastAsia="Times New Roman" w:hAnsi="Times New Roman"/>
          <w:sz w:val="18"/>
          <w:szCs w:val="18"/>
          <w:color w:val="auto"/>
        </w:rPr>
        <w:t xml:space="preserve">, (ii) </w:t>
      </w:r>
      <w:hyperlink r:id="rId17">
        <w:r>
          <w:rPr>
            <w:rFonts w:ascii="Times New Roman" w:cs="Times New Roman" w:eastAsia="Times New Roman" w:hAnsi="Times New Roman"/>
            <w:sz w:val="18"/>
            <w:szCs w:val="18"/>
            <w:u w:val="single" w:color="auto"/>
            <w:color w:val="0000EE"/>
          </w:rPr>
          <w:t>Quarterly Report on Form 10-Q for the quarter ended June 30, 2024, as filed with the Commission on August 1, 2024</w:t>
        </w:r>
        <w:r>
          <w:rPr>
            <w:rFonts w:ascii="Times New Roman" w:cs="Times New Roman" w:eastAsia="Times New Roman" w:hAnsi="Times New Roman"/>
            <w:sz w:val="18"/>
            <w:szCs w:val="18"/>
            <w:color w:val="000000"/>
          </w:rPr>
          <w:t>; and (iii)</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Quarterly Report</w:t>
        </w:r>
      </w:hyperlink>
      <w:r>
        <w:rPr>
          <w:rFonts w:ascii="Times New Roman" w:cs="Times New Roman" w:eastAsia="Times New Roman" w:hAnsi="Times New Roman"/>
          <w:sz w:val="18"/>
          <w:szCs w:val="18"/>
          <w:color w:val="0000EE"/>
        </w:rPr>
        <w:t xml:space="preserve"> </w:t>
      </w:r>
      <w:hyperlink r:id="rId17">
        <w:r>
          <w:rPr>
            <w:rFonts w:ascii="Times New Roman" w:cs="Times New Roman" w:eastAsia="Times New Roman" w:hAnsi="Times New Roman"/>
            <w:sz w:val="18"/>
            <w:szCs w:val="18"/>
            <w:u w:val="single" w:color="auto"/>
            <w:color w:val="0000EE"/>
          </w:rPr>
          <w:t>on Form 10-Q for the quarter ended September 30, 2024, as filed with the Commission on October 30, 2024</w:t>
        </w:r>
        <w:r>
          <w:rPr>
            <w:rFonts w:ascii="Times New Roman" w:cs="Times New Roman" w:eastAsia="Times New Roman" w:hAnsi="Times New Roman"/>
            <w:sz w:val="18"/>
            <w:szCs w:val="18"/>
            <w:color w:val="000000"/>
          </w:rPr>
          <w:t>;</w:t>
        </w:r>
      </w:hyperlink>
    </w:p>
    <w:p>
      <w:pPr>
        <w:spacing w:after="0" w:line="175"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as filed with the Commission on </w:t>
      </w:r>
      <w:hyperlink r:id="rId18">
        <w:r>
          <w:rPr>
            <w:rFonts w:ascii="Times New Roman" w:cs="Times New Roman" w:eastAsia="Times New Roman" w:hAnsi="Times New Roman"/>
            <w:sz w:val="18"/>
            <w:szCs w:val="18"/>
            <w:u w:val="single" w:color="auto"/>
            <w:color w:val="0000EE"/>
          </w:rPr>
          <w:t>March 7,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March 18, 2024</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April 3, 2024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June 25, 2024</w:t>
        </w:r>
      </w:hyperlink>
      <w:r>
        <w:rPr>
          <w:rFonts w:ascii="Times New Roman" w:cs="Times New Roman" w:eastAsia="Times New Roman" w:hAnsi="Times New Roman"/>
          <w:sz w:val="18"/>
          <w:szCs w:val="18"/>
          <w:color w:val="auto"/>
        </w:rPr>
        <w:t xml:space="preserve">, and </w:t>
      </w:r>
      <w:hyperlink r:id="rId22">
        <w:r>
          <w:rPr>
            <w:rFonts w:ascii="Times New Roman" w:cs="Times New Roman" w:eastAsia="Times New Roman" w:hAnsi="Times New Roman"/>
            <w:sz w:val="18"/>
            <w:szCs w:val="18"/>
            <w:u w:val="single" w:color="auto"/>
            <w:color w:val="0000EE"/>
          </w:rPr>
          <w:t>August 15,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for any portions of such Current Reports on Form 8-K furnished pursuant to Item 2.02 and/or Item 7.01 thereof and any corresponding exhibits thereto not filed with the Commission);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Company’s common stock contained in its registration statement filed pursuant to Section 12 of the Exchange Act on October 17, 2006 and all amendments and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Securities Exchange Act of 1934, as amended (the “Exchange Act”)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8"/>
        </w:trPr>
        <w:tc>
          <w:tcPr>
            <w:tcW w:w="13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8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auto"/>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78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Opinion of Troutman Pepper Hamilton Sanders LLP</w:t>
            </w:r>
          </w:p>
        </w:tc>
        <w:tc>
          <w:tcPr>
            <w:tcW w:w="6100" w:type="dxa"/>
            <w:vAlign w:val="bottom"/>
            <w:tcBorders>
              <w:top w:val="single" w:sz="8" w:color="auto"/>
            </w:tcBorders>
            <w:gridSpan w:val="5"/>
          </w:tcPr>
          <w:p>
            <w:pPr>
              <w:spacing w:after="0"/>
              <w:rPr>
                <w:sz w:val="14"/>
                <w:szCs w:val="14"/>
                <w:color w:val="auto"/>
              </w:rPr>
            </w:pPr>
          </w:p>
        </w:tc>
      </w:tr>
      <w:tr>
        <w:trPr>
          <w:trHeight w:val="196"/>
        </w:trPr>
        <w:tc>
          <w:tcPr>
            <w:tcW w:w="7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 Deloitte &amp; Touche LLP</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7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Consent of Troutman Pepper Hamilton Sanders LLP (included in Exhibit 5.1)</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7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in signature page hereof)</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740" w:type="dxa"/>
            <w:vAlign w:val="bottom"/>
            <w:gridSpan w:val="4"/>
          </w:tcPr>
          <w:p>
            <w:pPr>
              <w:jc w:val="center"/>
              <w:ind w:left="330"/>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2018 Omnibus Incentive Plan (incorporated by reference from Exhibit 10.1 to the Company’s Current Report on Form 8-K (File No.</w:t>
              </w:r>
            </w:hyperlink>
          </w:p>
        </w:tc>
      </w:tr>
      <w:tr>
        <w:trPr>
          <w:trHeight w:val="196"/>
        </w:trPr>
        <w:tc>
          <w:tcPr>
            <w:tcW w:w="4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001-33089) filed on June 20, 2018)</w:t>
              </w:r>
            </w:hyperlink>
          </w:p>
        </w:tc>
        <w:tc>
          <w:tcPr>
            <w:tcW w:w="340" w:type="dxa"/>
            <w:vAlign w:val="bottom"/>
          </w:tcPr>
          <w:p>
            <w:pPr>
              <w:spacing w:after="0"/>
              <w:rPr>
                <w:sz w:val="17"/>
                <w:szCs w:val="17"/>
                <w:color w:val="auto"/>
              </w:rPr>
            </w:pPr>
          </w:p>
        </w:tc>
      </w:tr>
      <w:tr>
        <w:trPr>
          <w:trHeight w:val="196"/>
        </w:trPr>
        <w:tc>
          <w:tcPr>
            <w:tcW w:w="7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107</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7340" w:type="dxa"/>
            <w:vAlign w:val="bottom"/>
            <w:gridSpan w:val="6"/>
          </w:tcPr>
          <w:p>
            <w:pPr>
              <w:spacing w:after="0"/>
              <w:rPr>
                <w:sz w:val="17"/>
                <w:szCs w:val="17"/>
                <w:color w:val="auto"/>
              </w:rPr>
            </w:pPr>
          </w:p>
        </w:tc>
      </w:tr>
      <w:tr>
        <w:trPr>
          <w:trHeight w:val="695"/>
        </w:trPr>
        <w:tc>
          <w:tcPr>
            <w:tcW w:w="44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top w:val="single" w:sz="8" w:color="0000EE"/>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2024</w:t>
      </w:r>
      <w:r>
        <w:rPr>
          <w:rFonts w:ascii="Times New Roman" w:cs="Times New Roman" w:eastAsia="Times New Roman" w:hAnsi="Times New Roman"/>
          <w:sz w:val="18"/>
          <w:szCs w:val="18"/>
          <w:b w:val="1"/>
          <w:bCs w:val="1"/>
          <w:color w:val="auto"/>
        </w:rPr>
        <w:t>.</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Maurizio Nicolelli</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Rohit Kapoor, Maurizio Nicolelli and Ajay Ayyappan,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40" w:type="dxa"/>
            <w:vAlign w:val="bottom"/>
          </w:tcPr>
          <w:p>
            <w:pPr>
              <w:spacing w:after="0"/>
              <w:rPr>
                <w:sz w:val="20"/>
                <w:szCs w:val="20"/>
                <w:color w:val="auto"/>
              </w:rPr>
            </w:pP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ROHIT KAPOOR</w:t>
            </w:r>
          </w:p>
        </w:tc>
        <w:tc>
          <w:tcPr>
            <w:tcW w:w="240" w:type="dxa"/>
            <w:vAlign w:val="bottom"/>
          </w:tcPr>
          <w:p>
            <w:pPr>
              <w:spacing w:after="0"/>
              <w:rPr>
                <w:sz w:val="24"/>
                <w:szCs w:val="24"/>
                <w:color w:val="auto"/>
              </w:rPr>
            </w:pPr>
          </w:p>
        </w:tc>
        <w:tc>
          <w:tcPr>
            <w:tcW w:w="5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7, 2024</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Rohit Kapoor</w:t>
            </w:r>
          </w:p>
        </w:tc>
        <w:tc>
          <w:tcPr>
            <w:tcW w:w="240" w:type="dxa"/>
            <w:vAlign w:val="bottom"/>
          </w:tcPr>
          <w:p>
            <w:pPr>
              <w:spacing w:after="0"/>
              <w:rPr>
                <w:sz w:val="19"/>
                <w:szCs w:val="19"/>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MAURIZIO NICOLELLI</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 (Principal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7, 2024</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Maurizio Nicolelli</w:t>
            </w:r>
          </w:p>
        </w:tc>
        <w:tc>
          <w:tcPr>
            <w:tcW w:w="240" w:type="dxa"/>
            <w:vAlign w:val="bottom"/>
          </w:tcPr>
          <w:p>
            <w:pPr>
              <w:spacing w:after="0"/>
              <w:rPr>
                <w:sz w:val="19"/>
                <w:szCs w:val="19"/>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Financial and Accounting Officer)</w:t>
            </w:r>
          </w:p>
        </w:tc>
        <w:tc>
          <w:tcPr>
            <w:tcW w:w="2240" w:type="dxa"/>
            <w:vAlign w:val="bottom"/>
          </w:tcPr>
          <w:p>
            <w:pPr>
              <w:spacing w:after="0"/>
              <w:rPr>
                <w:sz w:val="19"/>
                <w:szCs w:val="19"/>
                <w:color w:val="auto"/>
              </w:rPr>
            </w:pPr>
          </w:p>
        </w:tc>
      </w:tr>
      <w:tr>
        <w:trPr>
          <w:trHeight w:val="400"/>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VIKRAM PANDIT</w:t>
            </w:r>
          </w:p>
        </w:tc>
        <w:tc>
          <w:tcPr>
            <w:tcW w:w="240" w:type="dxa"/>
            <w:vAlign w:val="bottom"/>
          </w:tcPr>
          <w:p>
            <w:pPr>
              <w:spacing w:after="0"/>
              <w:rPr>
                <w:sz w:val="24"/>
                <w:szCs w:val="24"/>
                <w:color w:val="auto"/>
              </w:rPr>
            </w:pPr>
          </w:p>
        </w:tc>
        <w:tc>
          <w:tcPr>
            <w:tcW w:w="5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7, 2024</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Vikram Pandit</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BARTLETT</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7, 2024</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Bartlett</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ANDREAS FIBIG</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7, 2024</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Andreas Fibig</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KRISTY PIPES</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7, 2024</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Kristy Pipes</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NITIN SAHNEY</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7, 2024</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Nitin Sahney</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JAYNIE M. STUDENMUND</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7, 2024</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Jaynie M. Studenmund</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SARAH WILLIAMSON</w:t>
            </w:r>
          </w:p>
        </w:tc>
        <w:tc>
          <w:tcPr>
            <w:tcW w:w="240" w:type="dxa"/>
            <w:vAlign w:val="bottom"/>
          </w:tcPr>
          <w:p>
            <w:pPr>
              <w:spacing w:after="0"/>
              <w:rPr>
                <w:sz w:val="24"/>
                <w:szCs w:val="24"/>
                <w:color w:val="auto"/>
              </w:rPr>
            </w:pPr>
          </w:p>
        </w:tc>
        <w:tc>
          <w:tcPr>
            <w:tcW w:w="5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7, 2024</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Sarah Williamson</w:t>
            </w:r>
          </w:p>
        </w:tc>
        <w:tc>
          <w:tcPr>
            <w:tcW w:w="2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657"/>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-119380</wp:posOffset>
            </wp:positionV>
            <wp:extent cx="1500505"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500505" cy="7200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S. College Street, 34th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05" w:lineRule="auto"/>
        <w:rPr>
          <w:sz w:val="20"/>
          <w:szCs w:val="20"/>
          <w:color w:val="auto"/>
        </w:rPr>
      </w:pPr>
      <w:r>
        <w:rPr>
          <w:rFonts w:ascii="Times New Roman" w:cs="Times New Roman" w:eastAsia="Times New Roman" w:hAnsi="Times New Roman"/>
          <w:sz w:val="18"/>
          <w:szCs w:val="18"/>
          <w:color w:val="auto"/>
        </w:rPr>
        <w:t>320 Park Avenue,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have acted as counsel to ExlService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that is being filed on the date hereof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by the Company pursuant to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the registration of 5,172,500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available for future issuance under the ExlService Holdings, Inc. 2018 Omnibus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opinion letter, 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all purposes of the opinion expressed herein, we have assumed, without independent investigation, the following: (a) to the extent that we have reviewed and relied upon certificates of the Company or authorized representatives thereof and certificates and assurances from public officials, all of such certificates, representations and assurances are accurate with regard to factual matters; (b) all documents submitted to us as originals are authentic, complete and accurate, and all documents submitted to us as copies conform to authentic original documents; (c) the genuineness of all signatures; and (d) the Registration Statement will be effective under the Securities Act.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and the exclusions, qualifications, limitations and other assumptions set forth in this opinion letter, we are of the opinion that the Shares have been validly authorized and, when issued and paid for in accordance with and upon the terms and conditions of the Plan, will be validly issued, fully paid and nonassessable.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 (including statutory provisions, all applicable provisions of the Delaware Constitution and reported judicial decisions interpreting the foregoing), as in effect on the date hereof, and we do not express any opinion concerning any other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-119380</wp:posOffset>
            </wp:positionV>
            <wp:extent cx="116586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16586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opinion is being furnished only for the purpose referred to in the first paragraph of this opinion letter. We hereby consent to the filing of this opinion as Exhibit 5.1 to the Registration Statement. In giving this consent, we do not admit that we are within the category of persons whose consent is required by Section 7 of the Securities Act or the rules and regulations of the SEC promulgated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routman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epper</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amilton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anders</w:t>
      </w:r>
      <w:r>
        <w:rPr>
          <w:rFonts w:ascii="Times New Roman" w:cs="Times New Roman" w:eastAsia="Times New Roman" w:hAnsi="Times New Roman"/>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29, 2024 relating to the financial statements of ExlService Holdings, Inc. and the effectiveness of ExlService Holdings, Inc.'s internal control over financial reporting, appearing in the Annual Report on Form 10-K of ExlService Holdings, Inc.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2840"/>
        <w:spacing w:after="0"/>
        <w:rPr>
          <w:sz w:val="20"/>
          <w:szCs w:val="20"/>
          <w:color w:val="auto"/>
        </w:rPr>
      </w:pPr>
      <w:r>
        <w:rPr>
          <w:rFonts w:ascii="Arial" w:cs="Arial" w:eastAsia="Arial" w:hAnsi="Arial"/>
          <w:sz w:val="35"/>
          <w:szCs w:val="35"/>
          <w:b w:val="1"/>
          <w:bCs w:val="1"/>
          <w:color w:val="auto"/>
        </w:rPr>
        <w:t>Calculation of Filing Fee Tables</w:t>
      </w:r>
    </w:p>
    <w:p>
      <w:pPr>
        <w:spacing w:after="0" w:line="232"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jc w:val="center"/>
        <w:ind w:right="100"/>
        <w:spacing w:after="0"/>
        <w:rPr>
          <w:sz w:val="20"/>
          <w:szCs w:val="20"/>
          <w:color w:val="auto"/>
        </w:rPr>
      </w:pPr>
      <w:r>
        <w:rPr>
          <w:rFonts w:ascii="Arial" w:cs="Arial" w:eastAsia="Arial" w:hAnsi="Arial"/>
          <w:sz w:val="36"/>
          <w:szCs w:val="36"/>
          <w:b w:val="1"/>
          <w:bCs w:val="1"/>
          <w:color w:val="auto"/>
        </w:rPr>
        <w:t>ExlService Holdings, Inc.</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35560</wp:posOffset>
            </wp:positionV>
            <wp:extent cx="6416040" cy="422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6416040" cy="4221480"/>
                    </a:xfrm>
                    <a:prstGeom prst="rect">
                      <a:avLst/>
                    </a:prstGeom>
                    <a:noFill/>
                  </pic:spPr>
                </pic:pic>
              </a:graphicData>
            </a:graphic>
          </wp:anchor>
        </w:drawing>
      </w:r>
    </w:p>
    <w:p>
      <w:pPr>
        <w:sectPr>
          <w:pgSz w:w="11900" w:h="16838" w:orient="portrait"/>
          <w:cols w:equalWidth="0" w:num="1">
            <w:col w:w="11120"/>
          </w:cols>
          <w:pgMar w:left="360" w:top="142" w:right="419" w:bottom="1440" w:gutter="0" w:footer="0" w:header="0"/>
        </w:sectPr>
      </w:pP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567"/>
        </w:trPr>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4"/>
                <w:szCs w:val="24"/>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4"/>
              </w:rPr>
              <w:t>Fee</w:t>
            </w:r>
          </w:p>
        </w:tc>
        <w:tc>
          <w:tcPr>
            <w:tcW w:w="40" w:type="dxa"/>
            <w:vAlign w:val="bottom"/>
          </w:tcPr>
          <w:p>
            <w:pPr>
              <w:spacing w:after="0"/>
              <w:rPr>
                <w:sz w:val="24"/>
                <w:szCs w:val="24"/>
                <w:color w:val="auto"/>
              </w:rPr>
            </w:pPr>
          </w:p>
        </w:tc>
        <w:tc>
          <w:tcPr>
            <w:tcW w:w="1140" w:type="dxa"/>
            <w:vAlign w:val="bottom"/>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Amount</w:t>
            </w:r>
          </w:p>
        </w:tc>
      </w:tr>
      <w:tr>
        <w:trPr>
          <w:trHeight w:val="243"/>
        </w:trPr>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Type</w:t>
            </w:r>
          </w:p>
        </w:tc>
        <w:tc>
          <w:tcPr>
            <w:tcW w:w="20" w:type="dxa"/>
            <w:vAlign w:val="bottom"/>
          </w:tcPr>
          <w:p>
            <w:pPr>
              <w:spacing w:after="0"/>
              <w:rPr>
                <w:sz w:val="21"/>
                <w:szCs w:val="21"/>
                <w:color w:val="auto"/>
              </w:rPr>
            </w:pPr>
          </w:p>
        </w:tc>
        <w:tc>
          <w:tcPr>
            <w:tcW w:w="10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Class</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Calculation</w:t>
            </w:r>
          </w:p>
        </w:tc>
        <w:tc>
          <w:tcPr>
            <w:tcW w:w="40" w:type="dxa"/>
            <w:vAlign w:val="bottom"/>
          </w:tcPr>
          <w:p>
            <w:pPr>
              <w:spacing w:after="0"/>
              <w:rPr>
                <w:sz w:val="21"/>
                <w:szCs w:val="21"/>
                <w:color w:val="auto"/>
              </w:rPr>
            </w:pPr>
          </w:p>
        </w:tc>
        <w:tc>
          <w:tcPr>
            <w:tcW w:w="1140" w:type="dxa"/>
            <w:vAlign w:val="bottom"/>
            <w:shd w:val="clear" w:color="auto" w:fill="9ADAF6"/>
          </w:tcPr>
          <w:p>
            <w:pPr>
              <w:jc w:val="right"/>
              <w:spacing w:after="0" w:line="243" w:lineRule="exact"/>
              <w:rPr>
                <w:sz w:val="20"/>
                <w:szCs w:val="20"/>
                <w:color w:val="auto"/>
              </w:rPr>
            </w:pPr>
            <w:r>
              <w:rPr>
                <w:rFonts w:ascii="Arial" w:cs="Arial" w:eastAsia="Arial" w:hAnsi="Arial"/>
                <w:sz w:val="22"/>
                <w:szCs w:val="22"/>
                <w:b w:val="1"/>
                <w:bCs w:val="1"/>
                <w:color w:val="auto"/>
                <w:w w:val="96"/>
              </w:rPr>
              <w:t>Registered</w:t>
            </w:r>
          </w:p>
        </w:tc>
      </w:tr>
      <w:tr>
        <w:trPr>
          <w:trHeight w:val="297"/>
        </w:trPr>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Title</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rPr>
              <w:t>Rule</w:t>
            </w: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r>
      <w:tr>
        <w:trPr>
          <w:trHeight w:val="135"/>
        </w:trPr>
        <w:tc>
          <w:tcPr>
            <w:tcW w:w="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shd w:val="clear" w:color="auto" w:fill="9ADAF6"/>
          </w:tcPr>
          <w:p>
            <w:pPr>
              <w:spacing w:after="0"/>
              <w:rPr>
                <w:sz w:val="11"/>
                <w:szCs w:val="11"/>
                <w:color w:val="auto"/>
              </w:rPr>
            </w:pPr>
          </w:p>
        </w:tc>
      </w:tr>
      <w:tr>
        <w:trPr>
          <w:trHeight w:val="257"/>
        </w:trPr>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Arial" w:cs="Arial" w:eastAsia="Arial" w:hAnsi="Arial"/>
                <w:sz w:val="22"/>
                <w:szCs w:val="22"/>
                <w:color w:val="auto"/>
              </w:rPr>
              <w:t>Common</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43"/>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ind w:left="20"/>
              <w:spacing w:after="0" w:line="243" w:lineRule="exact"/>
              <w:rPr>
                <w:sz w:val="20"/>
                <w:szCs w:val="20"/>
                <w:color w:val="auto"/>
              </w:rPr>
            </w:pPr>
            <w:r>
              <w:rPr>
                <w:rFonts w:ascii="Arial" w:cs="Arial" w:eastAsia="Arial" w:hAnsi="Arial"/>
                <w:sz w:val="22"/>
                <w:szCs w:val="22"/>
                <w:color w:val="auto"/>
              </w:rPr>
              <w:t>stock,</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$0.001</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ind w:left="20"/>
              <w:spacing w:after="0" w:line="243" w:lineRule="exact"/>
              <w:rPr>
                <w:sz w:val="20"/>
                <w:szCs w:val="20"/>
                <w:color w:val="auto"/>
              </w:rPr>
            </w:pPr>
            <w:r>
              <w:rPr>
                <w:rFonts w:ascii="Arial" w:cs="Arial" w:eastAsia="Arial" w:hAnsi="Arial"/>
                <w:sz w:val="22"/>
                <w:szCs w:val="22"/>
                <w:color w:val="auto"/>
              </w:rPr>
              <w:t>par value</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ind w:left="20"/>
              <w:spacing w:after="0" w:line="243" w:lineRule="exact"/>
              <w:rPr>
                <w:sz w:val="20"/>
                <w:szCs w:val="20"/>
                <w:color w:val="auto"/>
              </w:rPr>
            </w:pPr>
            <w:r>
              <w:rPr>
                <w:rFonts w:ascii="Arial" w:cs="Arial" w:eastAsia="Arial" w:hAnsi="Arial"/>
                <w:sz w:val="22"/>
                <w:szCs w:val="22"/>
                <w:color w:val="auto"/>
              </w:rPr>
              <w:t>per share,</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ind w:left="20"/>
              <w:spacing w:after="0" w:line="243" w:lineRule="exact"/>
              <w:rPr>
                <w:sz w:val="20"/>
                <w:szCs w:val="20"/>
                <w:color w:val="auto"/>
              </w:rPr>
            </w:pPr>
            <w:r>
              <w:rPr>
                <w:rFonts w:ascii="Arial" w:cs="Arial" w:eastAsia="Arial" w:hAnsi="Arial"/>
                <w:sz w:val="22"/>
                <w:szCs w:val="22"/>
                <w:color w:val="auto"/>
              </w:rPr>
              <w:t>reserved</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ind w:left="20"/>
              <w:spacing w:after="0" w:line="243" w:lineRule="exact"/>
              <w:rPr>
                <w:sz w:val="20"/>
                <w:szCs w:val="20"/>
                <w:color w:val="auto"/>
              </w:rPr>
            </w:pPr>
            <w:r>
              <w:rPr>
                <w:rFonts w:ascii="Arial" w:cs="Arial" w:eastAsia="Arial" w:hAnsi="Arial"/>
                <w:sz w:val="22"/>
                <w:szCs w:val="22"/>
                <w:color w:val="auto"/>
              </w:rPr>
              <w:t>for</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ind w:left="20"/>
              <w:spacing w:after="0" w:line="243" w:lineRule="exact"/>
              <w:rPr>
                <w:sz w:val="20"/>
                <w:szCs w:val="20"/>
                <w:color w:val="auto"/>
              </w:rPr>
            </w:pPr>
            <w:r>
              <w:rPr>
                <w:rFonts w:ascii="Arial" w:cs="Arial" w:eastAsia="Arial" w:hAnsi="Arial"/>
                <w:sz w:val="22"/>
                <w:szCs w:val="22"/>
                <w:color w:val="auto"/>
              </w:rPr>
              <w:t>issuance</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2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1 Equity</w:t>
            </w:r>
          </w:p>
        </w:tc>
        <w:tc>
          <w:tcPr>
            <w:tcW w:w="20" w:type="dxa"/>
            <w:vAlign w:val="bottom"/>
          </w:tcPr>
          <w:p>
            <w:pPr>
              <w:spacing w:after="0"/>
              <w:rPr>
                <w:sz w:val="21"/>
                <w:szCs w:val="21"/>
                <w:color w:val="auto"/>
              </w:rPr>
            </w:pPr>
          </w:p>
        </w:tc>
        <w:tc>
          <w:tcPr>
            <w:tcW w:w="1060" w:type="dxa"/>
            <w:vAlign w:val="bottom"/>
          </w:tcPr>
          <w:p>
            <w:pPr>
              <w:ind w:left="20"/>
              <w:spacing w:after="0" w:line="243" w:lineRule="exact"/>
              <w:rPr>
                <w:sz w:val="20"/>
                <w:szCs w:val="20"/>
                <w:color w:val="auto"/>
              </w:rPr>
            </w:pPr>
            <w:r>
              <w:rPr>
                <w:rFonts w:ascii="Arial" w:cs="Arial" w:eastAsia="Arial" w:hAnsi="Arial"/>
                <w:sz w:val="22"/>
                <w:szCs w:val="22"/>
                <w:color w:val="auto"/>
              </w:rPr>
              <w:t>pursuant</w:t>
            </w:r>
          </w:p>
        </w:tc>
        <w:tc>
          <w:tcPr>
            <w:tcW w:w="20" w:type="dxa"/>
            <w:vAlign w:val="bottom"/>
          </w:tcPr>
          <w:p>
            <w:pPr>
              <w:spacing w:after="0"/>
              <w:rPr>
                <w:sz w:val="21"/>
                <w:szCs w:val="21"/>
                <w:color w:val="auto"/>
              </w:rPr>
            </w:pPr>
          </w:p>
        </w:tc>
        <w:tc>
          <w:tcPr>
            <w:tcW w:w="1200" w:type="dxa"/>
            <w:vAlign w:val="bottom"/>
          </w:tcPr>
          <w:p>
            <w:pPr>
              <w:jc w:val="center"/>
              <w:spacing w:after="0" w:line="243" w:lineRule="exact"/>
              <w:rPr>
                <w:sz w:val="20"/>
                <w:szCs w:val="20"/>
                <w:color w:val="auto"/>
              </w:rPr>
            </w:pPr>
            <w:r>
              <w:rPr>
                <w:rFonts w:ascii="Arial" w:cs="Arial" w:eastAsia="Arial" w:hAnsi="Arial"/>
                <w:sz w:val="22"/>
                <w:szCs w:val="22"/>
                <w:color w:val="auto"/>
                <w:w w:val="98"/>
              </w:rPr>
              <w:t>Other</w:t>
            </w:r>
          </w:p>
        </w:tc>
        <w:tc>
          <w:tcPr>
            <w:tcW w:w="11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5,172,500</w:t>
            </w:r>
          </w:p>
        </w:tc>
      </w:tr>
      <w:tr>
        <w:trPr>
          <w:trHeight w:val="263"/>
        </w:trPr>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Arial" w:cs="Arial" w:eastAsia="Arial" w:hAnsi="Arial"/>
                <w:sz w:val="22"/>
                <w:szCs w:val="22"/>
                <w:color w:val="auto"/>
              </w:rPr>
              <w:t>to the</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ind w:left="1740"/>
        <w:spacing w:after="0" w:line="230" w:lineRule="auto"/>
        <w:rPr>
          <w:sz w:val="20"/>
          <w:szCs w:val="20"/>
          <w:color w:val="auto"/>
        </w:rPr>
      </w:pPr>
      <w:r>
        <w:rPr>
          <w:rFonts w:ascii="Arial" w:cs="Arial" w:eastAsia="Arial" w:hAnsi="Arial"/>
          <w:sz w:val="22"/>
          <w:szCs w:val="22"/>
          <w:color w:val="auto"/>
        </w:rPr>
        <w:t>ExlService</w:t>
      </w:r>
    </w:p>
    <w:p>
      <w:pPr>
        <w:ind w:left="1740"/>
        <w:spacing w:after="0" w:line="231" w:lineRule="auto"/>
        <w:rPr>
          <w:sz w:val="20"/>
          <w:szCs w:val="20"/>
          <w:color w:val="auto"/>
        </w:rPr>
      </w:pPr>
      <w:r>
        <w:rPr>
          <w:rFonts w:ascii="Arial" w:cs="Arial" w:eastAsia="Arial" w:hAnsi="Arial"/>
          <w:sz w:val="22"/>
          <w:szCs w:val="22"/>
          <w:color w:val="auto"/>
        </w:rPr>
        <w:t>Holdings,</w:t>
      </w:r>
    </w:p>
    <w:p>
      <w:pPr>
        <w:ind w:left="1740"/>
        <w:spacing w:after="0" w:line="230" w:lineRule="auto"/>
        <w:rPr>
          <w:sz w:val="20"/>
          <w:szCs w:val="20"/>
          <w:color w:val="auto"/>
        </w:rPr>
      </w:pPr>
      <w:r>
        <w:rPr>
          <w:rFonts w:ascii="Arial" w:cs="Arial" w:eastAsia="Arial" w:hAnsi="Arial"/>
          <w:sz w:val="22"/>
          <w:szCs w:val="22"/>
          <w:color w:val="auto"/>
        </w:rPr>
        <w:t>Inc. 2018</w:t>
      </w:r>
    </w:p>
    <w:p>
      <w:pPr>
        <w:ind w:left="1740"/>
        <w:spacing w:after="0" w:line="231" w:lineRule="auto"/>
        <w:rPr>
          <w:sz w:val="20"/>
          <w:szCs w:val="20"/>
          <w:color w:val="auto"/>
        </w:rPr>
      </w:pPr>
      <w:r>
        <w:rPr>
          <w:rFonts w:ascii="Arial" w:cs="Arial" w:eastAsia="Arial" w:hAnsi="Arial"/>
          <w:sz w:val="22"/>
          <w:szCs w:val="22"/>
          <w:color w:val="auto"/>
        </w:rPr>
        <w:t>Omnibus</w:t>
      </w:r>
    </w:p>
    <w:p>
      <w:pPr>
        <w:ind w:left="1740"/>
        <w:spacing w:after="0" w:line="230" w:lineRule="auto"/>
        <w:rPr>
          <w:sz w:val="20"/>
          <w:szCs w:val="20"/>
          <w:color w:val="auto"/>
        </w:rPr>
      </w:pPr>
      <w:r>
        <w:rPr>
          <w:rFonts w:ascii="Arial" w:cs="Arial" w:eastAsia="Arial" w:hAnsi="Arial"/>
          <w:sz w:val="22"/>
          <w:szCs w:val="22"/>
          <w:color w:val="auto"/>
        </w:rPr>
        <w:t>Incentive</w:t>
      </w:r>
    </w:p>
    <w:p>
      <w:pPr>
        <w:ind w:left="1740"/>
        <w:spacing w:after="0" w:line="231" w:lineRule="auto"/>
        <w:rPr>
          <w:sz w:val="20"/>
          <w:szCs w:val="20"/>
          <w:color w:val="auto"/>
        </w:rPr>
      </w:pPr>
      <w:r>
        <w:rPr>
          <w:rFonts w:ascii="Arial" w:cs="Arial" w:eastAsia="Arial" w:hAnsi="Arial"/>
          <w:sz w:val="22"/>
          <w:szCs w:val="22"/>
          <w:color w:val="auto"/>
        </w:rPr>
        <w:t>Plan (the</w:t>
      </w:r>
    </w:p>
    <w:p>
      <w:pPr>
        <w:ind w:left="1740"/>
        <w:spacing w:after="0"/>
        <w:rPr>
          <w:sz w:val="20"/>
          <w:szCs w:val="20"/>
          <w:color w:val="auto"/>
        </w:rPr>
      </w:pPr>
      <w:r>
        <w:rPr>
          <w:rFonts w:ascii="Arial" w:cs="Arial" w:eastAsia="Arial" w:hAnsi="Arial"/>
          <w:sz w:val="22"/>
          <w:szCs w:val="22"/>
          <w:color w:val="auto"/>
        </w:rPr>
        <w:t>"Plan")</w:t>
      </w:r>
    </w:p>
    <w:p>
      <w:pPr>
        <w:spacing w:after="0" w:line="24" w:lineRule="exact"/>
        <w:rPr>
          <w:sz w:val="20"/>
          <w:szCs w:val="20"/>
          <w:color w:val="auto"/>
        </w:rPr>
      </w:pPr>
    </w:p>
    <w:p>
      <w:pPr>
        <w:ind w:left="2920"/>
        <w:spacing w:after="0"/>
        <w:rPr>
          <w:sz w:val="20"/>
          <w:szCs w:val="20"/>
          <w:color w:val="auto"/>
        </w:rPr>
      </w:pPr>
      <w:r>
        <w:rPr>
          <w:rFonts w:ascii="Arial" w:cs="Arial" w:eastAsia="Arial" w:hAnsi="Arial"/>
          <w:sz w:val="21"/>
          <w:szCs w:val="21"/>
          <w:color w:val="auto"/>
        </w:rPr>
        <w:t>Total Offering Amounts:</w:t>
      </w:r>
    </w:p>
    <w:p>
      <w:pPr>
        <w:spacing w:after="0" w:line="299" w:lineRule="exact"/>
        <w:rPr>
          <w:sz w:val="20"/>
          <w:szCs w:val="20"/>
          <w:color w:val="auto"/>
        </w:rPr>
      </w:pPr>
    </w:p>
    <w:p>
      <w:pPr>
        <w:ind w:left="3480"/>
        <w:spacing w:after="0"/>
        <w:rPr>
          <w:sz w:val="20"/>
          <w:szCs w:val="20"/>
          <w:color w:val="auto"/>
        </w:rPr>
      </w:pPr>
      <w:r>
        <w:rPr>
          <w:rFonts w:ascii="Arial" w:cs="Arial" w:eastAsia="Arial" w:hAnsi="Arial"/>
          <w:sz w:val="21"/>
          <w:szCs w:val="21"/>
          <w:color w:val="auto"/>
        </w:rPr>
        <w:t>Total Fee Offsets:</w:t>
      </w:r>
    </w:p>
    <w:p>
      <w:pPr>
        <w:spacing w:after="0" w:line="56"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Net Fee Due: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Proposed</w:t>
            </w:r>
          </w:p>
        </w:tc>
        <w:tc>
          <w:tcPr>
            <w:tcW w:w="40" w:type="dxa"/>
            <w:vAlign w:val="bottom"/>
          </w:tcPr>
          <w:p>
            <w:pPr>
              <w:spacing w:after="0"/>
              <w:rPr>
                <w:sz w:val="21"/>
                <w:szCs w:val="21"/>
                <w:color w:val="auto"/>
              </w:rPr>
            </w:pPr>
          </w:p>
        </w:tc>
        <w:tc>
          <w:tcPr>
            <w:tcW w:w="15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shd w:val="clear" w:color="auto" w:fill="9ADAF6"/>
          </w:tcPr>
          <w:p>
            <w:pPr>
              <w:spacing w:after="0"/>
              <w:rPr>
                <w:sz w:val="21"/>
                <w:szCs w:val="21"/>
                <w:color w:val="auto"/>
              </w:rPr>
            </w:pPr>
          </w:p>
        </w:tc>
      </w:tr>
      <w:tr>
        <w:trPr>
          <w:trHeight w:val="243"/>
        </w:trPr>
        <w:tc>
          <w:tcPr>
            <w:tcW w:w="12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40" w:type="dxa"/>
            <w:vAlign w:val="bottom"/>
          </w:tcPr>
          <w:p>
            <w:pPr>
              <w:spacing w:after="0"/>
              <w:rPr>
                <w:sz w:val="21"/>
                <w:szCs w:val="21"/>
                <w:color w:val="auto"/>
              </w:rPr>
            </w:pPr>
          </w:p>
        </w:tc>
        <w:tc>
          <w:tcPr>
            <w:tcW w:w="15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Amount of</w:t>
            </w:r>
          </w:p>
        </w:tc>
      </w:tr>
      <w:tr>
        <w:trPr>
          <w:trHeight w:val="243"/>
        </w:trPr>
        <w:tc>
          <w:tcPr>
            <w:tcW w:w="12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Offering</w:t>
            </w:r>
          </w:p>
        </w:tc>
        <w:tc>
          <w:tcPr>
            <w:tcW w:w="40" w:type="dxa"/>
            <w:vAlign w:val="bottom"/>
          </w:tcPr>
          <w:p>
            <w:pPr>
              <w:spacing w:after="0"/>
              <w:rPr>
                <w:sz w:val="21"/>
                <w:szCs w:val="21"/>
                <w:color w:val="auto"/>
              </w:rPr>
            </w:pPr>
          </w:p>
        </w:tc>
        <w:tc>
          <w:tcPr>
            <w:tcW w:w="15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9"/>
              </w:rPr>
              <w:t>Aggregate</w:t>
            </w:r>
          </w:p>
        </w:tc>
        <w:tc>
          <w:tcPr>
            <w:tcW w:w="20" w:type="dxa"/>
            <w:vAlign w:val="bottom"/>
          </w:tcPr>
          <w:p>
            <w:pPr>
              <w:spacing w:after="0"/>
              <w:rPr>
                <w:sz w:val="21"/>
                <w:szCs w:val="21"/>
                <w:color w:val="auto"/>
              </w:rPr>
            </w:pPr>
          </w:p>
        </w:tc>
        <w:tc>
          <w:tcPr>
            <w:tcW w:w="1060" w:type="dxa"/>
            <w:vAlign w:val="bottom"/>
            <w:shd w:val="clear" w:color="auto" w:fill="9ADAF6"/>
          </w:tcPr>
          <w:p>
            <w:pPr>
              <w:ind w:left="80"/>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21"/>
                <w:szCs w:val="21"/>
                <w:color w:val="auto"/>
              </w:rPr>
            </w:pPr>
          </w:p>
        </w:tc>
        <w:tc>
          <w:tcPr>
            <w:tcW w:w="14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Registration</w:t>
            </w:r>
          </w:p>
        </w:tc>
      </w:tr>
      <w:tr>
        <w:trPr>
          <w:trHeight w:val="243"/>
        </w:trPr>
        <w:tc>
          <w:tcPr>
            <w:tcW w:w="12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Price Per</w:t>
            </w:r>
          </w:p>
        </w:tc>
        <w:tc>
          <w:tcPr>
            <w:tcW w:w="40" w:type="dxa"/>
            <w:vAlign w:val="bottom"/>
          </w:tcPr>
          <w:p>
            <w:pPr>
              <w:spacing w:after="0"/>
              <w:rPr>
                <w:sz w:val="21"/>
                <w:szCs w:val="21"/>
                <w:color w:val="auto"/>
              </w:rPr>
            </w:pPr>
          </w:p>
        </w:tc>
        <w:tc>
          <w:tcPr>
            <w:tcW w:w="15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Offering Price</w:t>
            </w: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Fee</w:t>
            </w:r>
          </w:p>
        </w:tc>
      </w:tr>
      <w:tr>
        <w:trPr>
          <w:trHeight w:val="285"/>
        </w:trPr>
        <w:tc>
          <w:tcPr>
            <w:tcW w:w="12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4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shd w:val="clear" w:color="auto" w:fill="9ADAF6"/>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760" w:type="dxa"/>
            <w:vAlign w:val="bottom"/>
            <w:vMerge w:val="restart"/>
          </w:tcPr>
          <w:p>
            <w:pPr>
              <w:jc w:val="right"/>
              <w:spacing w:after="0"/>
              <w:rPr>
                <w:sz w:val="20"/>
                <w:szCs w:val="20"/>
                <w:color w:val="auto"/>
              </w:rPr>
            </w:pPr>
            <w:r>
              <w:rPr>
                <w:rFonts w:ascii="Arial" w:cs="Arial" w:eastAsia="Arial" w:hAnsi="Arial"/>
                <w:sz w:val="22"/>
                <w:szCs w:val="22"/>
                <w:color w:val="auto"/>
                <w:w w:val="95"/>
              </w:rPr>
              <w:t>$ 41.52</w:t>
            </w:r>
          </w:p>
        </w:tc>
        <w:tc>
          <w:tcPr>
            <w:tcW w:w="1580" w:type="dxa"/>
            <w:vAlign w:val="bottom"/>
          </w:tcPr>
          <w:p>
            <w:pPr>
              <w:jc w:val="right"/>
              <w:spacing w:after="0"/>
              <w:rPr>
                <w:sz w:val="20"/>
                <w:szCs w:val="20"/>
                <w:color w:val="auto"/>
              </w:rPr>
            </w:pPr>
            <w:r>
              <w:rPr>
                <w:rFonts w:ascii="Arial" w:cs="Arial" w:eastAsia="Arial" w:hAnsi="Arial"/>
                <w:sz w:val="22"/>
                <w:szCs w:val="22"/>
                <w:color w:val="auto"/>
              </w:rPr>
              <w:t>$</w:t>
            </w:r>
          </w:p>
        </w:tc>
        <w:tc>
          <w:tcPr>
            <w:tcW w:w="1220" w:type="dxa"/>
            <w:vAlign w:val="bottom"/>
            <w:vMerge w:val="restart"/>
          </w:tcPr>
          <w:p>
            <w:pPr>
              <w:jc w:val="right"/>
              <w:ind w:right="72"/>
              <w:spacing w:after="0"/>
              <w:rPr>
                <w:sz w:val="20"/>
                <w:szCs w:val="20"/>
                <w:color w:val="auto"/>
              </w:rPr>
            </w:pPr>
            <w:r>
              <w:rPr>
                <w:rFonts w:ascii="Arial" w:cs="Arial" w:eastAsia="Arial" w:hAnsi="Arial"/>
                <w:sz w:val="22"/>
                <w:szCs w:val="22"/>
                <w:color w:val="auto"/>
                <w:w w:val="98"/>
              </w:rPr>
              <w:t>0.0001531</w:t>
            </w: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$ 32,880.09</w:t>
            </w:r>
          </w:p>
        </w:tc>
        <w:tc>
          <w:tcPr>
            <w:tcW w:w="0" w:type="dxa"/>
            <w:vAlign w:val="bottom"/>
          </w:tcPr>
          <w:p>
            <w:pPr>
              <w:spacing w:after="0"/>
              <w:rPr>
                <w:sz w:val="1"/>
                <w:szCs w:val="1"/>
                <w:color w:val="auto"/>
              </w:rPr>
            </w:pPr>
          </w:p>
        </w:tc>
      </w:tr>
      <w:tr>
        <w:trPr>
          <w:trHeight w:val="283"/>
        </w:trPr>
        <w:tc>
          <w:tcPr>
            <w:tcW w:w="76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w w:val="99"/>
              </w:rPr>
              <w:t>214,762,200.00</w:t>
            </w:r>
          </w:p>
        </w:tc>
        <w:tc>
          <w:tcPr>
            <w:tcW w:w="122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700" w:type="dxa"/>
        <w:tblCellMar>
          <w:top w:w="0" w:type="dxa"/>
          <w:left w:w="0" w:type="dxa"/>
          <w:bottom w:w="0" w:type="dxa"/>
          <w:right w:w="0" w:type="dxa"/>
        </w:tblCellMar>
      </w:tblPr>
      <w:tr>
        <w:trPr>
          <w:trHeight w:val="263"/>
        </w:trPr>
        <w:tc>
          <w:tcPr>
            <w:tcW w:w="840" w:type="dxa"/>
            <w:vAlign w:val="bottom"/>
          </w:tcPr>
          <w:p>
            <w:pPr>
              <w:jc w:val="right"/>
              <w:ind w:right="612"/>
              <w:spacing w:after="0"/>
              <w:rPr>
                <w:sz w:val="20"/>
                <w:szCs w:val="20"/>
                <w:color w:val="auto"/>
              </w:rPr>
            </w:pPr>
            <w:r>
              <w:rPr>
                <w:rFonts w:ascii="Arial" w:cs="Arial" w:eastAsia="Arial" w:hAnsi="Arial"/>
                <w:sz w:val="22"/>
                <w:szCs w:val="22"/>
                <w:color w:val="auto"/>
                <w:w w:val="81"/>
              </w:rPr>
              <w:t>$</w:t>
            </w:r>
          </w:p>
        </w:tc>
        <w:tc>
          <w:tcPr>
            <w:tcW w:w="1840" w:type="dxa"/>
            <w:vAlign w:val="bottom"/>
          </w:tcPr>
          <w:p>
            <w:pPr>
              <w:jc w:val="right"/>
              <w:spacing w:after="0"/>
              <w:rPr>
                <w:sz w:val="20"/>
                <w:szCs w:val="20"/>
                <w:color w:val="auto"/>
              </w:rPr>
            </w:pPr>
            <w:r>
              <w:rPr>
                <w:rFonts w:ascii="Arial" w:cs="Arial" w:eastAsia="Arial" w:hAnsi="Arial"/>
                <w:sz w:val="22"/>
                <w:szCs w:val="22"/>
                <w:color w:val="auto"/>
              </w:rPr>
              <w:t>$ 32,880.09</w:t>
            </w:r>
          </w:p>
        </w:tc>
      </w:tr>
    </w:tbl>
    <w:p>
      <w:pPr>
        <w:ind w:left="1320"/>
        <w:spacing w:after="0"/>
        <w:rPr>
          <w:sz w:val="20"/>
          <w:szCs w:val="20"/>
          <w:color w:val="auto"/>
        </w:rPr>
      </w:pPr>
      <w:r>
        <w:rPr>
          <w:rFonts w:ascii="Arial" w:cs="Arial" w:eastAsia="Arial" w:hAnsi="Arial"/>
          <w:sz w:val="22"/>
          <w:szCs w:val="22"/>
          <w:color w:val="auto"/>
        </w:rPr>
        <w:t>214,762,200.00</w:t>
      </w:r>
    </w:p>
    <w:p>
      <w:pPr>
        <w:spacing w:after="0" w:line="24" w:lineRule="exact"/>
        <w:rPr>
          <w:sz w:val="20"/>
          <w:szCs w:val="20"/>
          <w:color w:val="auto"/>
        </w:rPr>
      </w:pPr>
    </w:p>
    <w:p>
      <w:pPr>
        <w:jc w:val="right"/>
        <w:ind w:right="540"/>
        <w:spacing w:after="0"/>
        <w:rPr>
          <w:sz w:val="20"/>
          <w:szCs w:val="20"/>
          <w:color w:val="auto"/>
        </w:rPr>
      </w:pPr>
      <w:r>
        <w:rPr>
          <w:rFonts w:ascii="Arial" w:cs="Arial" w:eastAsia="Arial" w:hAnsi="Arial"/>
          <w:sz w:val="22"/>
          <w:szCs w:val="22"/>
          <w:color w:val="auto"/>
        </w:rPr>
        <w:t>$ 0.00</w:t>
      </w:r>
    </w:p>
    <w:p>
      <w:pPr>
        <w:spacing w:after="0" w:line="44" w:lineRule="exact"/>
        <w:rPr>
          <w:sz w:val="20"/>
          <w:szCs w:val="20"/>
          <w:color w:val="auto"/>
        </w:rPr>
      </w:pPr>
    </w:p>
    <w:p>
      <w:pPr>
        <w:jc w:val="right"/>
        <w:ind w:right="540"/>
        <w:spacing w:after="0"/>
        <w:rPr>
          <w:sz w:val="20"/>
          <w:szCs w:val="20"/>
          <w:color w:val="auto"/>
        </w:rPr>
      </w:pPr>
      <w:r>
        <w:rPr>
          <w:rFonts w:ascii="Arial" w:cs="Arial" w:eastAsia="Arial" w:hAnsi="Arial"/>
          <w:sz w:val="22"/>
          <w:szCs w:val="22"/>
          <w:color w:val="auto"/>
        </w:rPr>
        <w:t>$ 32,880.09</w:t>
      </w:r>
    </w:p>
    <w:p>
      <w:pPr>
        <w:spacing w:after="0" w:line="200" w:lineRule="exact"/>
        <w:rPr>
          <w:sz w:val="20"/>
          <w:szCs w:val="20"/>
          <w:color w:val="auto"/>
        </w:rPr>
      </w:pPr>
    </w:p>
    <w:p>
      <w:pPr>
        <w:sectPr>
          <w:pgSz w:w="11900" w:h="16838" w:orient="portrait"/>
          <w:cols w:equalWidth="0" w:num="2">
            <w:col w:w="5180" w:space="20"/>
            <w:col w:w="5920"/>
          </w:cols>
          <w:pgMar w:left="360" w:top="142" w:right="41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(1) In the event of a stock split, stock dividend or similar transaction involving the Registrant's common stock,</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22"/>
          <w:szCs w:val="22"/>
          <w:color w:val="auto"/>
        </w:rPr>
        <w:t>$0.001 par value per share, the number of shares registered hereby shall automatically be adjusted in accordance with Rule 416 under the Securities Act of 1933, as amended (the "Securities Act").</w:t>
      </w:r>
    </w:p>
    <w:p>
      <w:pPr>
        <w:spacing w:after="0" w:line="203" w:lineRule="exact"/>
        <w:rPr>
          <w:sz w:val="20"/>
          <w:szCs w:val="20"/>
          <w:color w:val="auto"/>
        </w:rPr>
      </w:pPr>
    </w:p>
    <w:p>
      <w:pPr>
        <w:ind w:left="240" w:right="600" w:hanging="2"/>
        <w:spacing w:after="0" w:line="259" w:lineRule="auto"/>
        <w:tabs>
          <w:tab w:leader="none" w:pos="564"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shares of common stock available for future issuance under the Plan by reason of additional shares made available for issuance pursuant to the Plan.</w:t>
      </w:r>
    </w:p>
    <w:p>
      <w:pPr>
        <w:spacing w:after="0" w:line="183" w:lineRule="exact"/>
        <w:rPr>
          <w:rFonts w:ascii="Arial" w:cs="Arial" w:eastAsia="Arial" w:hAnsi="Arial"/>
          <w:sz w:val="22"/>
          <w:szCs w:val="22"/>
          <w:color w:val="auto"/>
        </w:rPr>
      </w:pPr>
    </w:p>
    <w:p>
      <w:pPr>
        <w:ind w:left="240" w:right="280" w:hanging="2"/>
        <w:spacing w:after="0" w:line="262" w:lineRule="auto"/>
        <w:tabs>
          <w:tab w:leader="none" w:pos="564" w:val="left"/>
        </w:tabs>
        <w:numPr>
          <w:ilvl w:val="0"/>
          <w:numId w:val="2"/>
        </w:numPr>
        <w:rPr>
          <w:rFonts w:ascii="Arial" w:cs="Arial" w:eastAsia="Arial" w:hAnsi="Arial"/>
          <w:sz w:val="21"/>
          <w:szCs w:val="21"/>
          <w:color w:val="auto"/>
        </w:rPr>
      </w:pPr>
      <w:r>
        <w:rPr>
          <w:rFonts w:ascii="Arial" w:cs="Arial" w:eastAsia="Arial" w:hAnsi="Arial"/>
          <w:sz w:val="21"/>
          <w:szCs w:val="21"/>
          <w:color w:val="auto"/>
        </w:rPr>
        <w:t>Estimated solely for the purpose of calculating the registration fee pursuant to Rule 457(h) and Rule 457(c) under the Securities Act. The Proposed Maximum Offering Price Per Share is based on the average of the high and low prices of the Registrant's common stock on The Nasdaq Global Select Market on November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67945</wp:posOffset>
            </wp:positionV>
            <wp:extent cx="697738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120"/>
      </w:cols>
      <w:pgMar w:left="360" w:top="142"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jpe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jpe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14" Type="http://schemas.openxmlformats.org/officeDocument/2006/relationships/hyperlink" Target="https://www.sec.gov/ix?doc=/Archives/edgar/data/1297989/000129798924000003/exls-20231231.htm" TargetMode="External"/><Relationship Id="rId15" Type="http://schemas.openxmlformats.org/officeDocument/2006/relationships/hyperlink" Target="https://www.sec.gov/Archives/edgar/data/1297989/000119312524121984/d12981ddefa14a.htm" TargetMode="External"/><Relationship Id="rId16" Type="http://schemas.openxmlformats.org/officeDocument/2006/relationships/hyperlink" Target="https://www.sec.gov/ix?doc=/Archives/edgar/data/1297989/000129798924000005/exls-20240331.htm" TargetMode="External"/><Relationship Id="rId17" Type="http://schemas.openxmlformats.org/officeDocument/2006/relationships/hyperlink" Target="https://www.sec.gov/ix?doc=/Archives/edgar/data/1297989/000129798924000011/exls-20240930.htm" TargetMode="External"/><Relationship Id="rId18" Type="http://schemas.openxmlformats.org/officeDocument/2006/relationships/hyperlink" Target="https://www.sec.gov/ix?doc=/Archives/edgar/data/1297989/000110465924031893/tm248263d1_8k.htm" TargetMode="External"/><Relationship Id="rId19" Type="http://schemas.openxmlformats.org/officeDocument/2006/relationships/hyperlink" Target="https://www.sec.gov/ix?doc=/Archives/edgar/data/1297989/000110465924035232/tm248965d1_8k.htm" TargetMode="External"/><Relationship Id="rId20" Type="http://schemas.openxmlformats.org/officeDocument/2006/relationships/hyperlink" Target="https://www.sec.gov/ix?doc=/Archives/edgar/data/1297989/000110465924042900/tm2410326d1_8k.htm" TargetMode="External"/><Relationship Id="rId21" Type="http://schemas.openxmlformats.org/officeDocument/2006/relationships/hyperlink" Target="https://www.sec.gov/ix?doc=/Archives/edgar/data/1297989/000110465924074734/tm2417789d1_8k.htm" TargetMode="External"/><Relationship Id="rId22" Type="http://schemas.openxmlformats.org/officeDocument/2006/relationships/hyperlink" Target="https://www.sec.gov/ix?doc=/Archives/edgar/data/1297989/000110465924089922/tm2421743d1_8k.htm" TargetMode="External"/><Relationship Id="rId23" Type="http://schemas.openxmlformats.org/officeDocument/2006/relationships/hyperlink" Target="https://www.sec.gov/Archives/edgar/data/1297989/000114420418034885/tv49678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2024-11-07T16:26:25Z</dcterms:created>
  <dcterms:modified xsi:type="dcterms:W3CDTF">2024-11-07T16:26:25Z</dcterms:modified>
</cp:coreProperties>
</file>