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Mahon Anita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80"/>
        <w:spacing w:after="0" w:line="335" w:lineRule="auto"/>
        <w:rPr>
          <w:sz w:val="20"/>
          <w:szCs w:val="20"/>
          <w:color w:val="auto"/>
        </w:rPr>
      </w:pPr>
      <w:r>
        <w:rPr>
          <w:rFonts w:ascii="Arial" w:cs="Arial" w:eastAsia="Arial" w:hAnsi="Arial"/>
          <w:sz w:val="16"/>
          <w:szCs w:val="16"/>
          <w:color w:val="0000FF"/>
        </w:rPr>
        <w:t>EXLSERVICE HOLDINGS INC 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01/30/2023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65"/>
        <w:spacing w:after="0"/>
        <w:rPr>
          <w:sz w:val="20"/>
          <w:szCs w:val="20"/>
          <w:color w:val="auto"/>
        </w:rPr>
      </w:pPr>
      <w:r>
        <w:rPr>
          <w:rFonts w:ascii="Arial" w:cs="Arial" w:eastAsia="Arial" w:hAnsi="Arial"/>
          <w:sz w:val="17"/>
          <w:szCs w:val="17"/>
          <w:color w:val="0000FF"/>
        </w:rPr>
        <w:t>EVP &amp; Chief Growth Officer</w:t>
      </w:r>
    </w:p>
    <w:p>
      <w:pPr>
        <w:spacing w:after="0" w:line="45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gridSpan w:val="7"/>
          </w:tcPr>
          <w:p>
            <w:pPr>
              <w:ind w:left="14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9"/>
          </w:tcPr>
          <w:p>
            <w:pPr>
              <w:ind w:left="42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gridSpan w:val="2"/>
            <w:vMerge w:val="restart"/>
          </w:tcPr>
          <w:p>
            <w:pPr>
              <w:ind w:left="140"/>
              <w:spacing w:after="0"/>
              <w:rPr>
                <w:sz w:val="20"/>
                <w:szCs w:val="20"/>
                <w:color w:val="auto"/>
              </w:rPr>
            </w:pPr>
            <w:r>
              <w:rPr>
                <w:rFonts w:ascii="Arial" w:cs="Arial" w:eastAsia="Arial" w:hAnsi="Arial"/>
                <w:sz w:val="17"/>
                <w:szCs w:val="17"/>
                <w:color w:val="0000FF"/>
              </w:rPr>
              <w:t>10022</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2"/>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4"/>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5"/>
                <w:szCs w:val="15"/>
                <w:color w:val="auto"/>
              </w:rPr>
            </w:pPr>
          </w:p>
        </w:tc>
        <w:tc>
          <w:tcPr>
            <w:tcW w:w="1460" w:type="dxa"/>
            <w:vAlign w:val="bottom"/>
            <w:gridSpan w:val="3"/>
          </w:tcPr>
          <w:p>
            <w:pPr>
              <w:ind w:left="3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ind w:left="3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7"/>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80" w:type="dxa"/>
            <w:vAlign w:val="bottom"/>
            <w:tcBorders>
              <w:bottom w:val="single" w:sz="8" w:color="2C2C2C"/>
            </w:tcBorders>
            <w:gridSpan w:val="6"/>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6"/>
          </w:tcPr>
          <w:p>
            <w:pPr>
              <w:ind w:left="60"/>
              <w:spacing w:after="0"/>
              <w:rPr>
                <w:sz w:val="20"/>
                <w:szCs w:val="20"/>
                <w:color w:val="auto"/>
              </w:rPr>
            </w:pPr>
            <w:r>
              <w:rPr>
                <w:rFonts w:ascii="Arial" w:cs="Arial" w:eastAsia="Arial" w:hAnsi="Arial"/>
                <w:sz w:val="17"/>
                <w:szCs w:val="17"/>
                <w:color w:val="0000FF"/>
                <w:w w:val="92"/>
              </w:rPr>
              <w:t>Common Stock, par value $0.001 per</w:t>
            </w:r>
          </w:p>
        </w:tc>
        <w:tc>
          <w:tcPr>
            <w:tcW w:w="1460" w:type="dxa"/>
            <w:vAlign w:val="bottom"/>
            <w:gridSpan w:val="3"/>
            <w:vMerge w:val="restart"/>
          </w:tcPr>
          <w:p>
            <w:pPr>
              <w:ind w:left="480"/>
              <w:spacing w:after="0"/>
              <w:rPr>
                <w:sz w:val="20"/>
                <w:szCs w:val="20"/>
                <w:color w:val="auto"/>
              </w:rPr>
            </w:pPr>
            <w:r>
              <w:rPr>
                <w:rFonts w:ascii="Arial" w:cs="Arial" w:eastAsia="Arial" w:hAnsi="Arial"/>
                <w:sz w:val="17"/>
                <w:szCs w:val="17"/>
                <w:color w:val="0000FF"/>
              </w:rPr>
              <w:t>01/30/2023</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vMerge w:val="restart"/>
          </w:tcPr>
          <w:p>
            <w:pPr>
              <w:ind w:left="120"/>
              <w:spacing w:after="0"/>
              <w:rPr>
                <w:sz w:val="20"/>
                <w:szCs w:val="20"/>
                <w:color w:val="auto"/>
              </w:rPr>
            </w:pPr>
            <w:r>
              <w:rPr>
                <w:rFonts w:ascii="Arial" w:cs="Arial" w:eastAsia="Arial" w:hAnsi="Arial"/>
                <w:sz w:val="13"/>
                <w:szCs w:val="13"/>
                <w:color w:val="0000FF"/>
              </w:rPr>
              <w:t>M</w:t>
            </w:r>
          </w:p>
        </w:tc>
        <w:tc>
          <w:tcPr>
            <w:tcW w:w="760" w:type="dxa"/>
            <w:vAlign w:val="bottom"/>
            <w:vMerge w:val="restart"/>
          </w:tcPr>
          <w:p>
            <w:pPr>
              <w:jc w:val="right"/>
              <w:ind w:right="132"/>
              <w:spacing w:after="0"/>
              <w:rPr>
                <w:sz w:val="20"/>
                <w:szCs w:val="20"/>
                <w:color w:val="auto"/>
              </w:rPr>
            </w:pPr>
            <w:r>
              <w:rPr>
                <w:rFonts w:ascii="Arial" w:cs="Arial" w:eastAsia="Arial" w:hAnsi="Arial"/>
                <w:sz w:val="17"/>
                <w:szCs w:val="17"/>
                <w:color w:val="0000FF"/>
              </w:rPr>
              <w:t>6,547</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A</w:t>
            </w:r>
          </w:p>
        </w:tc>
        <w:tc>
          <w:tcPr>
            <w:tcW w:w="620" w:type="dxa"/>
            <w:vAlign w:val="bottom"/>
            <w:gridSpan w:val="2"/>
            <w:vMerge w:val="restart"/>
          </w:tcPr>
          <w:p>
            <w:pPr>
              <w:jc w:val="center"/>
              <w:ind w:right="40"/>
              <w:spacing w:after="0"/>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(1)</w:t>
            </w:r>
          </w:p>
        </w:tc>
        <w:tc>
          <w:tcPr>
            <w:tcW w:w="1400" w:type="dxa"/>
            <w:vAlign w:val="bottom"/>
            <w:gridSpan w:val="3"/>
            <w:vMerge w:val="restart"/>
          </w:tcPr>
          <w:p>
            <w:pPr>
              <w:jc w:val="right"/>
              <w:ind w:right="317"/>
              <w:spacing w:after="0"/>
              <w:rPr>
                <w:sz w:val="20"/>
                <w:szCs w:val="20"/>
                <w:color w:val="auto"/>
              </w:rPr>
            </w:pPr>
            <w:r>
              <w:rPr>
                <w:rFonts w:ascii="Arial" w:cs="Arial" w:eastAsia="Arial" w:hAnsi="Arial"/>
                <w:sz w:val="17"/>
                <w:szCs w:val="17"/>
                <w:color w:val="0000FF"/>
              </w:rPr>
              <w:t>10,608</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6"/>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6"/>
          </w:tcPr>
          <w:p>
            <w:pPr>
              <w:ind w:left="60"/>
              <w:spacing w:after="0"/>
              <w:rPr>
                <w:sz w:val="20"/>
                <w:szCs w:val="20"/>
                <w:color w:val="auto"/>
              </w:rPr>
            </w:pPr>
            <w:r>
              <w:rPr>
                <w:rFonts w:ascii="Arial" w:cs="Arial" w:eastAsia="Arial" w:hAnsi="Arial"/>
                <w:sz w:val="17"/>
                <w:szCs w:val="17"/>
                <w:color w:val="0000FF"/>
                <w:w w:val="92"/>
              </w:rPr>
              <w:t>Common Stock, par value $0.001 per</w:t>
            </w:r>
          </w:p>
        </w:tc>
        <w:tc>
          <w:tcPr>
            <w:tcW w:w="1460" w:type="dxa"/>
            <w:vAlign w:val="bottom"/>
            <w:gridSpan w:val="3"/>
            <w:vMerge w:val="restart"/>
          </w:tcPr>
          <w:p>
            <w:pPr>
              <w:ind w:left="480"/>
              <w:spacing w:after="0"/>
              <w:rPr>
                <w:sz w:val="20"/>
                <w:szCs w:val="20"/>
                <w:color w:val="auto"/>
              </w:rPr>
            </w:pPr>
            <w:r>
              <w:rPr>
                <w:rFonts w:ascii="Arial" w:cs="Arial" w:eastAsia="Arial" w:hAnsi="Arial"/>
                <w:sz w:val="17"/>
                <w:szCs w:val="17"/>
                <w:color w:val="0000FF"/>
              </w:rPr>
              <w:t>01/30/2023</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vMerge w:val="restart"/>
          </w:tcPr>
          <w:p>
            <w:pPr>
              <w:ind w:left="140"/>
              <w:spacing w:after="0"/>
              <w:rPr>
                <w:sz w:val="20"/>
                <w:szCs w:val="20"/>
                <w:color w:val="auto"/>
              </w:rPr>
            </w:pPr>
            <w:r>
              <w:rPr>
                <w:rFonts w:ascii="Arial" w:cs="Arial" w:eastAsia="Arial" w:hAnsi="Arial"/>
                <w:sz w:val="13"/>
                <w:szCs w:val="13"/>
                <w:color w:val="0000FF"/>
              </w:rPr>
              <w:t>F</w:t>
            </w:r>
          </w:p>
        </w:tc>
        <w:tc>
          <w:tcPr>
            <w:tcW w:w="760" w:type="dxa"/>
            <w:vAlign w:val="bottom"/>
            <w:vMerge w:val="restart"/>
          </w:tcPr>
          <w:p>
            <w:pPr>
              <w:jc w:val="right"/>
              <w:ind w:right="152"/>
              <w:spacing w:after="0"/>
              <w:rPr>
                <w:sz w:val="20"/>
                <w:szCs w:val="20"/>
                <w:color w:val="auto"/>
              </w:rPr>
            </w:pPr>
            <w:r>
              <w:rPr>
                <w:rFonts w:ascii="Arial" w:cs="Arial" w:eastAsia="Arial" w:hAnsi="Arial"/>
                <w:sz w:val="17"/>
                <w:szCs w:val="17"/>
                <w:color w:val="0000FF"/>
              </w:rPr>
              <w:t>2,311</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8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170.01</w:t>
            </w:r>
            <w:r>
              <w:rPr>
                <w:rFonts w:ascii="Arial" w:cs="Arial" w:eastAsia="Arial" w:hAnsi="Arial"/>
                <w:sz w:val="22"/>
                <w:szCs w:val="22"/>
                <w:color w:val="008000"/>
                <w:w w:val="93"/>
                <w:vertAlign w:val="superscript"/>
              </w:rPr>
              <w:t>(2)</w:t>
            </w:r>
          </w:p>
        </w:tc>
        <w:tc>
          <w:tcPr>
            <w:tcW w:w="380" w:type="dxa"/>
            <w:vAlign w:val="bottom"/>
          </w:tcPr>
          <w:p>
            <w:pPr>
              <w:spacing w:after="0"/>
              <w:rPr>
                <w:sz w:val="22"/>
                <w:szCs w:val="22"/>
                <w:color w:val="auto"/>
              </w:rPr>
            </w:pPr>
          </w:p>
        </w:tc>
        <w:tc>
          <w:tcPr>
            <w:tcW w:w="820" w:type="dxa"/>
            <w:vAlign w:val="bottom"/>
            <w:vMerge w:val="restart"/>
          </w:tcPr>
          <w:p>
            <w:pPr>
              <w:jc w:val="right"/>
              <w:ind w:right="377"/>
              <w:spacing w:after="0"/>
              <w:rPr>
                <w:sz w:val="20"/>
                <w:szCs w:val="20"/>
                <w:color w:val="auto"/>
              </w:rPr>
            </w:pPr>
            <w:r>
              <w:rPr>
                <w:rFonts w:ascii="Arial" w:cs="Arial" w:eastAsia="Arial" w:hAnsi="Arial"/>
                <w:sz w:val="17"/>
                <w:szCs w:val="17"/>
                <w:color w:val="0000FF"/>
                <w:w w:val="84"/>
              </w:rPr>
              <w:t>8,297</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40" w:type="dxa"/>
            <w:vAlign w:val="bottom"/>
            <w:gridSpan w:val="11"/>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28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280" w:type="dxa"/>
            <w:vAlign w:val="bottom"/>
          </w:tcPr>
          <w:p>
            <w:pPr>
              <w:spacing w:after="0"/>
              <w:rPr>
                <w:sz w:val="11"/>
                <w:szCs w:val="11"/>
                <w:color w:val="auto"/>
              </w:rPr>
            </w:pPr>
          </w:p>
        </w:tc>
        <w:tc>
          <w:tcPr>
            <w:tcW w:w="10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shares of common stock, par value $0.001 per share (the "Common Stock") reported in this report were earned pursuant to the performance restricted stock units ("PRSUs") of ExlService Holdings, Inc. (the "Company") granted on February 20, 2020. Such shares of Common Stock were deemed earned on January 30, 2023 based on the Compensation Committee of the Board of Directors administering the award certifying the achievement of performance targets applicable to the PRSUs for the performance period ending on December 31, 2022.</w:t>
      </w:r>
    </w:p>
    <w:p>
      <w:pPr>
        <w:spacing w:after="0" w:line="8" w:lineRule="exact"/>
        <w:rPr>
          <w:rFonts w:ascii="Arial" w:cs="Arial" w:eastAsia="Arial" w:hAnsi="Arial"/>
          <w:sz w:val="12"/>
          <w:szCs w:val="12"/>
          <w:color w:val="008000"/>
        </w:rPr>
      </w:pPr>
    </w:p>
    <w:p>
      <w:pPr>
        <w:ind w:left="40" w:right="3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the ExlService Holdings, Inc. 2018 Omnibus Incentive Plan, pursuant to which such PRSUs were granted, the closing price of the Common Stock on the Nasdaq Global Select Market on the preceding day is used for purposes of computing tax reporting and withholding.</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580"/>
        <w:spacing w:after="0" w:line="186"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0528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2023-02-01T16:31:00Z</dcterms:created>
  <dcterms:modified xsi:type="dcterms:W3CDTF">2023-02-01T16:31:00Z</dcterms:modified>
</cp:coreProperties>
</file>