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6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635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Mahon Anita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60"/>
        <w:spacing w:after="0" w:line="328"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37"/>
        <w:spacing w:after="0"/>
        <w:rPr>
          <w:sz w:val="20"/>
          <w:szCs w:val="20"/>
          <w:color w:val="auto"/>
        </w:rPr>
      </w:pPr>
      <w:r>
        <w:rPr>
          <w:rFonts w:ascii="Times New Roman" w:cs="Times New Roman" w:eastAsia="Times New Roman" w:hAnsi="Times New Roman"/>
          <w:sz w:val="17"/>
          <w:szCs w:val="17"/>
          <w:color w:val="0000FF"/>
        </w:rPr>
        <w:t>EVP &amp; Business Head Healthcare</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3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27,075</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95,932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18"/>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13,849</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27,075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27,075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2021, the reporting person was granted 40,605 restricted stock units, after adjustment for the 5-for-1 forward stock split, effective August 1, 2023, vesting in two installment installments beginning on the second anniversary of the grant date. 33% of the restricted stock units became vested on September 1, 2023 and the remaining balance of 67% of the restricted stock units became vested on September 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09/04/2024</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28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2024-09-04T20:40:20Z</dcterms:created>
  <dcterms:modified xsi:type="dcterms:W3CDTF">2024-09-04T20:40:20Z</dcterms:modified>
</cp:coreProperties>
</file>