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956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02/03/2011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20" w:type="dxa"/>
            <w:vAlign w:val="bottom"/>
            <w:gridSpan w:val="8"/>
            <w:vMerge w:val="restart"/>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1180" w:type="dxa"/>
            <w:vAlign w:val="bottom"/>
          </w:tcPr>
          <w:p>
            <w:pPr>
              <w:ind w:left="60"/>
              <w:spacing w:after="0"/>
              <w:rPr>
                <w:sz w:val="20"/>
                <w:szCs w:val="20"/>
                <w:color w:val="auto"/>
              </w:rPr>
            </w:pPr>
            <w:r>
              <w:rPr>
                <w:rFonts w:ascii="Arial" w:cs="Arial" w:eastAsia="Arial" w:hAnsi="Arial"/>
                <w:sz w:val="17"/>
                <w:szCs w:val="17"/>
                <w:color w:val="0000FF"/>
              </w:rPr>
              <w:t>10017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80" w:type="dxa"/>
            <w:vAlign w:val="bottom"/>
            <w:gridSpan w:val="10"/>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4,650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5"/>
                <w:szCs w:val="5"/>
                <w:color w:val="auto"/>
              </w:rPr>
            </w:pPr>
          </w:p>
        </w:tc>
        <w:tc>
          <w:tcPr>
            <w:tcW w:w="1080" w:type="dxa"/>
            <w:vAlign w:val="bottom"/>
            <w:vMerge w:val="restart"/>
          </w:tcPr>
          <w:p>
            <w:pPr>
              <w:jc w:val="center"/>
              <w:ind w:left="13"/>
              <w:spacing w:after="0" w:line="148" w:lineRule="exact"/>
              <w:rPr>
                <w:sz w:val="20"/>
                <w:szCs w:val="20"/>
                <w:color w:val="auto"/>
              </w:rPr>
            </w:pPr>
            <w:r>
              <w:rPr>
                <w:rFonts w:ascii="Arial" w:cs="Arial" w:eastAsia="Arial" w:hAnsi="Arial"/>
                <w:sz w:val="13"/>
                <w:szCs w:val="13"/>
                <w:color w:val="0000FF"/>
                <w:w w:val="92"/>
              </w:rPr>
              <w:t>02/03/2011</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ind w:left="38"/>
              <w:spacing w:after="0" w:line="148" w:lineRule="exact"/>
              <w:rPr>
                <w:sz w:val="20"/>
                <w:szCs w:val="20"/>
                <w:color w:val="auto"/>
              </w:rPr>
            </w:pPr>
            <w:r>
              <w:rPr>
                <w:rFonts w:ascii="Arial" w:cs="Arial" w:eastAsia="Arial" w:hAnsi="Arial"/>
                <w:sz w:val="13"/>
                <w:szCs w:val="13"/>
                <w:color w:val="0000FF"/>
                <w:w w:val="92"/>
              </w:rPr>
              <w:t>4,650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8"/>
              <w:spacing w:after="0" w:line="148" w:lineRule="exact"/>
              <w:rPr>
                <w:sz w:val="20"/>
                <w:szCs w:val="20"/>
                <w:color w:val="auto"/>
              </w:rPr>
            </w:pPr>
            <w:r>
              <w:rPr>
                <w:rFonts w:ascii="Arial" w:cs="Arial" w:eastAsia="Arial" w:hAnsi="Arial"/>
                <w:sz w:val="13"/>
                <w:szCs w:val="13"/>
                <w:color w:val="0000FF"/>
                <w:w w:val="92"/>
              </w:rPr>
              <w:t>4,650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97,500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jc w:val="center"/>
              <w:ind w:left="100"/>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19.76</w:t>
            </w:r>
          </w:p>
        </w:tc>
        <w:tc>
          <w:tcPr>
            <w:tcW w:w="140" w:type="dxa"/>
            <w:vAlign w:val="bottom"/>
          </w:tcPr>
          <w:p>
            <w:pPr>
              <w:spacing w:after="0"/>
              <w:rPr>
                <w:sz w:val="12"/>
                <w:szCs w:val="12"/>
                <w:color w:val="auto"/>
              </w:rPr>
            </w:pPr>
          </w:p>
        </w:tc>
        <w:tc>
          <w:tcPr>
            <w:tcW w:w="1080" w:type="dxa"/>
            <w:vAlign w:val="bottom"/>
          </w:tcPr>
          <w:p>
            <w:pPr>
              <w:jc w:val="center"/>
              <w:ind w:left="13"/>
              <w:spacing w:after="0" w:line="148" w:lineRule="exact"/>
              <w:rPr>
                <w:sz w:val="20"/>
                <w:szCs w:val="20"/>
                <w:color w:val="auto"/>
              </w:rPr>
            </w:pPr>
            <w:r>
              <w:rPr>
                <w:rFonts w:ascii="Arial" w:cs="Arial" w:eastAsia="Arial" w:hAnsi="Arial"/>
                <w:sz w:val="13"/>
                <w:szCs w:val="13"/>
                <w:color w:val="0000FF"/>
                <w:w w:val="92"/>
              </w:rPr>
              <w:t>02/03/2011</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tcPr>
          <w:p>
            <w:pPr>
              <w:jc w:val="center"/>
              <w:ind w:left="18"/>
              <w:spacing w:after="0" w:line="148" w:lineRule="exact"/>
              <w:rPr>
                <w:sz w:val="20"/>
                <w:szCs w:val="20"/>
                <w:color w:val="auto"/>
              </w:rPr>
            </w:pPr>
            <w:r>
              <w:rPr>
                <w:rFonts w:ascii="Arial" w:cs="Arial" w:eastAsia="Arial" w:hAnsi="Arial"/>
                <w:sz w:val="13"/>
                <w:szCs w:val="13"/>
                <w:color w:val="0000FF"/>
                <w:w w:val="90"/>
              </w:rPr>
              <w:t>97,500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58"/>
              <w:spacing w:after="0" w:line="148" w:lineRule="exact"/>
              <w:rPr>
                <w:sz w:val="20"/>
                <w:szCs w:val="20"/>
                <w:color w:val="auto"/>
              </w:rPr>
            </w:pPr>
            <w:r>
              <w:rPr>
                <w:rFonts w:ascii="Arial" w:cs="Arial" w:eastAsia="Arial" w:hAnsi="Arial"/>
                <w:sz w:val="13"/>
                <w:szCs w:val="13"/>
                <w:color w:val="0000FF"/>
                <w:w w:val="90"/>
              </w:rPr>
              <w:t>97,500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37,500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5"/>
                <w:szCs w:val="5"/>
                <w:color w:val="auto"/>
              </w:rPr>
            </w:pPr>
          </w:p>
        </w:tc>
        <w:tc>
          <w:tcPr>
            <w:tcW w:w="1080" w:type="dxa"/>
            <w:vAlign w:val="bottom"/>
            <w:vMerge w:val="restart"/>
          </w:tcPr>
          <w:p>
            <w:pPr>
              <w:jc w:val="center"/>
              <w:ind w:left="13"/>
              <w:spacing w:after="0" w:line="148" w:lineRule="exact"/>
              <w:rPr>
                <w:sz w:val="20"/>
                <w:szCs w:val="20"/>
                <w:color w:val="auto"/>
              </w:rPr>
            </w:pPr>
            <w:r>
              <w:rPr>
                <w:rFonts w:ascii="Arial" w:cs="Arial" w:eastAsia="Arial" w:hAnsi="Arial"/>
                <w:sz w:val="13"/>
                <w:szCs w:val="13"/>
                <w:color w:val="0000FF"/>
                <w:w w:val="92"/>
              </w:rPr>
              <w:t>02/03/2011</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ind w:left="18"/>
              <w:spacing w:after="0" w:line="148" w:lineRule="exact"/>
              <w:rPr>
                <w:sz w:val="20"/>
                <w:szCs w:val="20"/>
                <w:color w:val="auto"/>
              </w:rPr>
            </w:pPr>
            <w:r>
              <w:rPr>
                <w:rFonts w:ascii="Arial" w:cs="Arial" w:eastAsia="Arial" w:hAnsi="Arial"/>
                <w:sz w:val="13"/>
                <w:szCs w:val="13"/>
                <w:color w:val="0000FF"/>
                <w:w w:val="90"/>
              </w:rPr>
              <w:t>37,500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02/03/2021</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58"/>
              <w:spacing w:after="0" w:line="148" w:lineRule="exact"/>
              <w:rPr>
                <w:sz w:val="20"/>
                <w:szCs w:val="20"/>
                <w:color w:val="auto"/>
              </w:rPr>
            </w:pPr>
            <w:r>
              <w:rPr>
                <w:rFonts w:ascii="Arial" w:cs="Arial" w:eastAsia="Arial" w:hAnsi="Arial"/>
                <w:sz w:val="13"/>
                <w:szCs w:val="13"/>
                <w:color w:val="0000FF"/>
                <w:w w:val="90"/>
              </w:rPr>
              <w:t>37,500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3, 2012.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will vest in four equal annual installments, beginning on February 3, 2012. Vesting will be accelerated upon certain terminations of employment and upon a change in control (as defined in the ExlService Holdings, Inc. 2006 Omnibus Award Plan).</w:t>
      </w:r>
    </w:p>
    <w:p>
      <w:pPr>
        <w:spacing w:after="0" w:line="9"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four equal annual installments, beginning on February 3, 2012. Vesting will be accelerated upon certain terminations of employment and upon a change in control (as defined in the ExlService Holdings, Inc. 2006 Omnibus Award Plan).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02/07/2011</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2019-12-16T15:06:07Z</dcterms:created>
  <dcterms:modified xsi:type="dcterms:W3CDTF">2019-12-16T15:06:07Z</dcterms:modified>
</cp:coreProperties>
</file>