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2"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71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-3175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54"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51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82-0572194</w:t>
            </w:r>
          </w:p>
        </w:tc>
      </w:tr>
      <w:tr>
        <w:trPr>
          <w:trHeight w:val="184"/>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4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4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5"/>
        </w:trPr>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280 PARK AVENUE, 38</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FLOOR,</w:t>
            </w:r>
          </w:p>
        </w:tc>
        <w:tc>
          <w:tcPr>
            <w:tcW w:w="5140" w:type="dxa"/>
            <w:vAlign w:val="bottom"/>
          </w:tcPr>
          <w:p>
            <w:pPr>
              <w:spacing w:after="0"/>
              <w:rPr>
                <w:sz w:val="24"/>
                <w:szCs w:val="24"/>
                <w:color w:val="auto"/>
              </w:rPr>
            </w:pPr>
          </w:p>
        </w:tc>
      </w:tr>
      <w:tr>
        <w:trPr>
          <w:trHeight w:val="212"/>
        </w:trPr>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51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226"/>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40" w:type="dxa"/>
            <w:vAlign w:val="bottom"/>
          </w:tcPr>
          <w:p>
            <w:pPr>
              <w:jc w:val="center"/>
              <w:ind w:left="39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1"/>
        </w:trPr>
        <w:tc>
          <w:tcPr>
            <w:tcW w:w="2540" w:type="dxa"/>
            <w:vAlign w:val="bottom"/>
          </w:tcPr>
          <w:p>
            <w:pPr>
              <w:spacing w:after="0"/>
              <w:rPr>
                <w:sz w:val="22"/>
                <w:szCs w:val="22"/>
                <w:color w:val="auto"/>
              </w:rPr>
            </w:pPr>
          </w:p>
        </w:tc>
        <w:tc>
          <w:tcPr>
            <w:tcW w:w="5140" w:type="dxa"/>
            <w:vAlign w:val="bottom"/>
          </w:tcPr>
          <w:p>
            <w:pPr>
              <w:jc w:val="right"/>
              <w:ind w:right="2884"/>
              <w:spacing w:after="0"/>
              <w:rPr>
                <w:sz w:val="20"/>
                <w:szCs w:val="20"/>
                <w:color w:val="auto"/>
              </w:rPr>
            </w:pPr>
            <w:r>
              <w:rPr>
                <w:rFonts w:ascii="Times New Roman" w:cs="Times New Roman" w:eastAsia="Times New Roman" w:hAnsi="Times New Roman"/>
                <w:sz w:val="16"/>
                <w:szCs w:val="16"/>
                <w:b w:val="1"/>
                <w:bCs w:val="1"/>
                <w:color w:val="auto"/>
              </w:rPr>
              <w:t>(212) 277-7100</w:t>
            </w:r>
          </w:p>
        </w:tc>
      </w:tr>
      <w:tr>
        <w:trPr>
          <w:trHeight w:val="210"/>
        </w:trPr>
        <w:tc>
          <w:tcPr>
            <w:tcW w:w="2540" w:type="dxa"/>
            <w:vAlign w:val="bottom"/>
          </w:tcPr>
          <w:p>
            <w:pPr>
              <w:spacing w:after="0"/>
              <w:rPr>
                <w:sz w:val="18"/>
                <w:szCs w:val="18"/>
                <w:color w:val="auto"/>
              </w:rPr>
            </w:pPr>
          </w:p>
        </w:tc>
        <w:tc>
          <w:tcPr>
            <w:tcW w:w="5140" w:type="dxa"/>
            <w:vAlign w:val="bottom"/>
          </w:tcPr>
          <w:p>
            <w:pPr>
              <w:jc w:val="center"/>
              <w:ind w:right="172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48" w:lineRule="exact"/>
        <w:rPr>
          <w:sz w:val="24"/>
          <w:szCs w:val="24"/>
          <w:color w:val="auto"/>
        </w:rPr>
      </w:pPr>
    </w:p>
    <w:p>
      <w:pPr>
        <w:jc w:val="both"/>
        <w:ind w:right="5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40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firstLine="324"/>
        <w:spacing w:after="0" w:line="29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9" w:lineRule="exact"/>
        <w:rPr>
          <w:sz w:val="24"/>
          <w:szCs w:val="24"/>
          <w:color w:val="auto"/>
        </w:rPr>
      </w:pPr>
    </w:p>
    <w:p>
      <w:pPr>
        <w:jc w:val="both"/>
        <w:ind w:right="4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40" w:right="252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26, 2019, there were 34,341,972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w:t>
            </w:r>
          </w:p>
        </w:tc>
        <w:tc>
          <w:tcPr>
            <w:tcW w:w="2060" w:type="dxa"/>
            <w:vAlign w:val="bottom"/>
            <w:gridSpan w:val="9"/>
            <w:vMerge w:val="restart"/>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Financial Information</w:t>
              </w:r>
            </w:hyperlink>
          </w:p>
        </w:tc>
        <w:tc>
          <w:tcPr>
            <w:tcW w:w="7140" w:type="dxa"/>
            <w:vAlign w:val="bottom"/>
            <w:gridSpan w:val="12"/>
            <w:vMerge w:val="restart"/>
          </w:tcPr>
          <w:p>
            <w:pPr>
              <w:spacing w:after="0"/>
              <w:rPr>
                <w:sz w:val="19"/>
                <w:szCs w:val="19"/>
                <w:color w:val="auto"/>
              </w:rPr>
            </w:pPr>
          </w:p>
        </w:tc>
        <w:tc>
          <w:tcPr>
            <w:tcW w:w="660" w:type="dxa"/>
            <w:vAlign w:val="bottom"/>
            <w:vMerge w:val="restart"/>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9"/>
            <w:vMerge w:val="continue"/>
          </w:tcPr>
          <w:p>
            <w:pPr>
              <w:spacing w:after="0"/>
              <w:rPr>
                <w:sz w:val="21"/>
                <w:szCs w:val="21"/>
                <w:color w:val="auto"/>
              </w:rPr>
            </w:pPr>
          </w:p>
        </w:tc>
        <w:tc>
          <w:tcPr>
            <w:tcW w:w="7140" w:type="dxa"/>
            <w:vAlign w:val="bottom"/>
            <w:gridSpan w:val="1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March 31, 2019 (Unaudited) and December 31,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Income (Unaudited) for the Three months ended March 31, 2019 and 2018</w:t>
              </w:r>
            </w:hyperlink>
          </w:p>
        </w:tc>
        <w:tc>
          <w:tcPr>
            <w:tcW w:w="1540" w:type="dxa"/>
            <w:vAlign w:val="bottom"/>
            <w:gridSpan w:val="3"/>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Comprehensive Income (Unaudited) for the Three months ended March 31, 2019 and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Equity (Unaudited) for the Three months ended March 31, 2019 and 2018</w:t>
              </w:r>
            </w:hyperlink>
          </w:p>
        </w:tc>
        <w:tc>
          <w:tcPr>
            <w:tcW w:w="1220" w:type="dxa"/>
            <w:vAlign w:val="bottom"/>
            <w:tcBorders>
              <w:top w:val="single" w:sz="8" w:color="0000EE"/>
            </w:tcBorders>
            <w:gridSpan w:val="3"/>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Cash Flows (Unaudited) for the Three months ended March 31, 2019 and 2018</w:t>
              </w:r>
            </w:hyperlink>
          </w:p>
        </w:tc>
        <w:tc>
          <w:tcPr>
            <w:tcW w:w="1240" w:type="dxa"/>
            <w:vAlign w:val="bottom"/>
            <w:gridSpan w:val="2"/>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 (Unaudited)</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40" w:type="dxa"/>
            <w:vAlign w:val="bottom"/>
            <w:gridSpan w:val="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Quantitative and Qualitative Disclosures About Market Risk</w:t>
              </w:r>
            </w:hyperlink>
          </w:p>
        </w:tc>
        <w:tc>
          <w:tcPr>
            <w:tcW w:w="4840" w:type="dxa"/>
            <w:vAlign w:val="bottom"/>
            <w:gridSpan w:val="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Controls and Procedures</w:t>
              </w:r>
            </w:hyperlink>
          </w:p>
        </w:tc>
        <w:tc>
          <w:tcPr>
            <w:tcW w:w="7420" w:type="dxa"/>
            <w:vAlign w:val="bottom"/>
            <w:gridSpan w:val="14"/>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Part II. Other Information</w:t>
              </w:r>
            </w:hyperlink>
          </w:p>
        </w:tc>
        <w:tc>
          <w:tcPr>
            <w:tcW w:w="7340" w:type="dxa"/>
            <w:vAlign w:val="bottom"/>
            <w:gridSpan w:val="13"/>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Legal Proceedings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Unregistered Sales of Equity Securities and Use of Proceeds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8"/>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Mine Safety Disclosures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Other Information</w:t>
              </w:r>
            </w:hyperlink>
          </w:p>
        </w:tc>
        <w:tc>
          <w:tcPr>
            <w:tcW w:w="7440" w:type="dxa"/>
            <w:vAlign w:val="bottom"/>
            <w:gridSpan w:val="15"/>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Exhibits</w:t>
              </w:r>
            </w:hyperlink>
          </w:p>
        </w:tc>
        <w:tc>
          <w:tcPr>
            <w:tcW w:w="7900" w:type="dxa"/>
            <w:vAlign w:val="bottom"/>
            <w:gridSpan w:val="1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2"/>
          </w:tcPr>
          <w:p>
            <w:pPr>
              <w:ind w:left="4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2" w:name="page3"/>
    <w:bookmarkEnd w:id="2"/>
    <w:p>
      <w:pPr>
        <w:spacing w:after="0" w:line="62"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95,881</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216,056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184,489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5,608</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176,889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164,752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11,326</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28,240</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536,058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499,935</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73,447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73,510</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89,835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6,602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95,495</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349,984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31,015</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2,753</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1,182,582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4,560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5,653</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21,423</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7,722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employee costs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54,893</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64,169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157,533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155,095</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borrowings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299,765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263,241</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8,445</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77,060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16,521</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551,747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443,617</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(Refer Note 26)</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38,256,036 shares issued and</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34,365,437 shares outstanding as of March 31, 2019 and 37,850,544 shares issued and 34,222,476 shares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outstanding as of December 31, 2018</w:t>
            </w:r>
          </w:p>
        </w:tc>
        <w:tc>
          <w:tcPr>
            <w:tcW w:w="1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364,179</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498,939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484,244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(83,467)</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792,909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764,994</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3,890,599 shares as of March 31, 2019 and 3,628,068 shares as of December 31, 2018, held in treasury,</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cost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(146,925)</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630,576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618,069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630,835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618,319</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1,182,582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0" w:type="dxa"/>
            <w:vAlign w:val="bottom"/>
          </w:tcPr>
          <w:p>
            <w:pPr>
              <w:spacing w:after="0"/>
              <w:rPr>
                <w:sz w:val="1"/>
                <w:szCs w:val="1"/>
                <w:color w:val="auto"/>
              </w:rPr>
            </w:pPr>
          </w:p>
        </w:tc>
      </w:tr>
    </w:tbl>
    <w:p>
      <w:pPr>
        <w:sectPr>
          <w:pgSz w:w="11900" w:h="16900" w:orient="portrait"/>
          <w:cols w:equalWidth="0" w:num="1">
            <w:col w:w="11140"/>
          </w:cols>
          <w:pgMar w:left="240" w:top="333" w:right="519" w:bottom="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328930</wp:posOffset>
            </wp:positionH>
            <wp:positionV relativeFrom="page">
              <wp:posOffset>88900</wp:posOffset>
            </wp:positionV>
            <wp:extent cx="69037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17145"/>
                    </a:xfrm>
                    <a:prstGeom prst="rect">
                      <a:avLst/>
                    </a:prstGeom>
                    <a:noFill/>
                  </pic:spPr>
                </pic:pic>
              </a:graphicData>
            </a:graphic>
          </wp:anchor>
        </w:drawing>
        <w:t>See accompanying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-119380</wp:posOffset>
            </wp:positionV>
            <wp:extent cx="2195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1">
            <w:col w:w="9019"/>
          </w:cols>
          <w:pgMar w:left="1440" w:top="173"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173" w:right="1440"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4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239,573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206,973</w:t>
            </w:r>
          </w:p>
        </w:tc>
      </w:tr>
      <w:tr>
        <w:trPr>
          <w:trHeight w:val="270"/>
        </w:trPr>
        <w:tc>
          <w:tcPr>
            <w:tcW w:w="74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157,240</w:t>
            </w:r>
          </w:p>
        </w:tc>
        <w:tc>
          <w:tcPr>
            <w:tcW w:w="2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138,101</w:t>
            </w:r>
          </w:p>
        </w:tc>
      </w:tr>
      <w:tr>
        <w:trPr>
          <w:trHeight w:val="264"/>
        </w:trPr>
        <w:tc>
          <w:tcPr>
            <w:tcW w:w="748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82,333</w:t>
            </w:r>
          </w:p>
        </w:tc>
        <w:tc>
          <w:tcPr>
            <w:tcW w:w="2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68,872</w:t>
            </w:r>
          </w:p>
        </w:tc>
      </w:tr>
      <w:tr>
        <w:trPr>
          <w:trHeight w:val="22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1"/>
        </w:trPr>
        <w:tc>
          <w:tcPr>
            <w:tcW w:w="7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4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32,531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29,266</w:t>
            </w:r>
          </w:p>
        </w:tc>
      </w:tr>
      <w:tr>
        <w:trPr>
          <w:trHeight w:val="243"/>
        </w:trPr>
        <w:tc>
          <w:tcPr>
            <w:tcW w:w="7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18,047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13,952</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13,667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10,504</w:t>
            </w:r>
          </w:p>
        </w:tc>
      </w:tr>
      <w:tr>
        <w:trPr>
          <w:trHeight w:val="243"/>
        </w:trPr>
        <w:tc>
          <w:tcPr>
            <w:tcW w:w="7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charges</w:t>
            </w: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65,472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53,722</w:t>
            </w:r>
          </w:p>
        </w:tc>
      </w:tr>
      <w:tr>
        <w:trPr>
          <w:trHeight w:val="237"/>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16,861</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15,150</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4,423</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3,534</w:t>
            </w:r>
          </w:p>
        </w:tc>
      </w:tr>
      <w:tr>
        <w:trPr>
          <w:trHeight w:val="237"/>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 expense/(benefit) and earnings from equity affiliates</w:t>
            </w: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18,962</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18,761</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4,200</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37"/>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14,762</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23,214</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37"/>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14,695</w:t>
            </w:r>
          </w:p>
        </w:tc>
        <w:tc>
          <w:tcPr>
            <w:tcW w:w="2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23,158</w:t>
            </w:r>
          </w:p>
        </w:tc>
      </w:tr>
      <w:tr>
        <w:trPr>
          <w:trHeight w:val="67"/>
        </w:trPr>
        <w:tc>
          <w:tcPr>
            <w:tcW w:w="748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4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0.66</w:t>
            </w:r>
          </w:p>
        </w:tc>
      </w:tr>
      <w:tr>
        <w:trPr>
          <w:trHeight w:val="225"/>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 attributable to ExlService</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Holdings, Inc. stockholders:</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34,374,815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34,446,265</w:t>
            </w:r>
          </w:p>
        </w:tc>
      </w:tr>
      <w:tr>
        <w:trPr>
          <w:trHeight w:val="243"/>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34,833,435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35,302,926</w:t>
            </w:r>
          </w:p>
        </w:tc>
      </w:tr>
    </w:tbl>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3"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50"/>
        </w:trPr>
        <w:tc>
          <w:tcPr>
            <w:tcW w:w="79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21"/>
                <w:szCs w:val="2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23,158</w:t>
            </w:r>
          </w:p>
        </w:tc>
      </w:tr>
      <w:tr>
        <w:trPr>
          <w:trHeight w:val="224"/>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Other comprehensive income/(loss):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gain/(loss) on effective cash flow hedges, net of taxes $1,189 and ($800), respectively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gain/(loss)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Reclassification adjustments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cash flow hedges, net of taxes $354 and ($776), respectively</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70"/>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Retirement benefits, net of taxes $109 and $1, respectively</w:t>
            </w:r>
            <w:r>
              <w:rPr>
                <w:rFonts w:ascii="Times New Roman" w:cs="Times New Roman" w:eastAsia="Times New Roman" w:hAnsi="Times New Roman"/>
                <w:sz w:val="21"/>
                <w:szCs w:val="21"/>
                <w:color w:val="auto"/>
                <w:vertAlign w:val="superscript"/>
              </w:rPr>
              <w:t>(2)</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income/(loss)</w:t>
            </w:r>
          </w:p>
        </w:tc>
        <w:tc>
          <w:tcPr>
            <w:tcW w:w="1060" w:type="dxa"/>
            <w:vAlign w:val="bottom"/>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6,255</w:t>
            </w:r>
          </w:p>
        </w:tc>
        <w:tc>
          <w:tcPr>
            <w:tcW w:w="100" w:type="dxa"/>
            <w:vAlign w:val="bottom"/>
          </w:tcPr>
          <w:p>
            <w:pPr>
              <w:spacing w:after="0"/>
              <w:rPr>
                <w:sz w:val="20"/>
                <w:szCs w:val="20"/>
                <w:color w:val="auto"/>
              </w:rPr>
            </w:pP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20,950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9,198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540" w:hanging="532"/>
        <w:spacing w:after="0" w:line="259"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either in cost of revenues or operating expenses, as applicable in the unaudited consolidated statements of income. Refer Note 17 to the unaudited consolidated financial statements.</w:t>
      </w:r>
    </w:p>
    <w:p>
      <w:pPr>
        <w:spacing w:after="0" w:line="1" w:lineRule="exact"/>
        <w:rPr>
          <w:rFonts w:ascii="Times New Roman" w:cs="Times New Roman" w:eastAsia="Times New Roman" w:hAnsi="Times New Roman"/>
          <w:sz w:val="16"/>
          <w:szCs w:val="16"/>
          <w:i w:val="1"/>
          <w:iCs w:val="1"/>
          <w:color w:val="auto"/>
        </w:rPr>
      </w:pPr>
    </w:p>
    <w:p>
      <w:pPr>
        <w:ind w:left="540" w:hanging="532"/>
        <w:spacing w:after="0" w:line="257"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 Refer Note 20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2019</w:t>
      </w:r>
    </w:p>
    <w:p>
      <w:pPr>
        <w:spacing w:after="0" w:line="44"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right="220"/>
        <w:spacing w:after="0" w:line="402" w:lineRule="auto"/>
        <w:rPr>
          <w:sz w:val="20"/>
          <w:szCs w:val="20"/>
          <w:color w:val="auto"/>
        </w:rPr>
      </w:pPr>
      <w:r>
        <w:rPr>
          <w:rFonts w:ascii="Times New Roman" w:cs="Times New Roman" w:eastAsia="Times New Roman" w:hAnsi="Times New Roman"/>
          <w:sz w:val="14"/>
          <w:szCs w:val="14"/>
          <w:color w:val="auto"/>
        </w:rPr>
        <w:t>Stock-based compensation Acquisition of treasury stock</w:t>
      </w:r>
    </w:p>
    <w:p>
      <w:pPr>
        <w:spacing w:after="0" w:line="1" w:lineRule="exact"/>
        <w:rPr>
          <w:sz w:val="20"/>
          <w:szCs w:val="20"/>
          <w:color w:val="auto"/>
        </w:rPr>
      </w:pPr>
    </w:p>
    <w:p>
      <w:pPr>
        <w:ind w:left="40" w:right="60"/>
        <w:spacing w:after="0" w:line="241" w:lineRule="auto"/>
        <w:rPr>
          <w:sz w:val="20"/>
          <w:szCs w:val="20"/>
          <w:color w:val="auto"/>
        </w:rPr>
      </w:pPr>
      <w:r>
        <w:rPr>
          <w:rFonts w:ascii="Times New Roman" w:cs="Times New Roman" w:eastAsia="Times New Roman" w:hAnsi="Times New Roman"/>
          <w:sz w:val="14"/>
          <w:szCs w:val="14"/>
          <w:color w:val="auto"/>
        </w:rPr>
        <w:t>Allocation of equity component related to issuance costs on convertible senior notes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March 31, 2019</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9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6"/>
                <w:szCs w:val="6"/>
                <w:color w:val="auto"/>
              </w:rPr>
            </w:pPr>
          </w:p>
        </w:tc>
        <w:tc>
          <w:tcPr>
            <w:tcW w:w="12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5"/>
                <w:szCs w:val="5"/>
                <w:color w:val="auto"/>
              </w:rPr>
            </w:pPr>
          </w:p>
        </w:tc>
        <w:tc>
          <w:tcPr>
            <w:tcW w:w="12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37,850,544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364,179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484,244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(83,467)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(3,628,068)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(146,925)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250</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618,319</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405,492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6,956</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(262,531)</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(15,408)</w:t>
            </w:r>
          </w:p>
        </w:tc>
        <w:tc>
          <w:tcPr>
            <w:tcW w:w="0" w:type="dxa"/>
            <w:vAlign w:val="bottom"/>
          </w:tcPr>
          <w:p>
            <w:pPr>
              <w:spacing w:after="0"/>
              <w:rPr>
                <w:sz w:val="1"/>
                <w:szCs w:val="1"/>
                <w:color w:val="auto"/>
              </w:rPr>
            </w:pPr>
          </w:p>
        </w:tc>
      </w:tr>
      <w:tr>
        <w:trPr>
          <w:trHeight w:val="50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6,255</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6,255</w:t>
            </w:r>
          </w:p>
        </w:tc>
        <w:tc>
          <w:tcPr>
            <w:tcW w:w="0" w:type="dxa"/>
            <w:vAlign w:val="bottom"/>
          </w:tcPr>
          <w:p>
            <w:pPr>
              <w:spacing w:after="0"/>
              <w:rPr>
                <w:sz w:val="1"/>
                <w:szCs w:val="1"/>
                <w:color w:val="auto"/>
              </w:rPr>
            </w:pPr>
          </w:p>
        </w:tc>
      </w:tr>
      <w:tr>
        <w:trPr>
          <w:trHeight w:val="27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14,695</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38,256,036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371,144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498,939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(77,212)</w:t>
            </w: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(3,890,599)</w:t>
            </w: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(162,333)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630,835</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-1757680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-1362710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-1019810</wp:posOffset>
            </wp:positionV>
            <wp:extent cx="722947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31750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-530860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-187960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260"/>
            <w:col w:w="922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70"/>
        </w:trPr>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80" w:type="dxa"/>
            <w:vAlign w:val="bottom"/>
            <w:vMerge w:val="restart"/>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vMerge w:val="restart"/>
          </w:tcPr>
          <w:p>
            <w:pPr>
              <w:jc w:val="center"/>
              <w:ind w:left="68"/>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65"/>
        </w:trPr>
        <w:tc>
          <w:tcPr>
            <w:tcW w:w="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Non -</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37"/>
        </w:trPr>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2">
            <w:col w:w="7360" w:space="140"/>
            <w:col w:w="3920"/>
          </w:cols>
          <w:pgMar w:left="240" w:top="333" w:right="239" w:bottom="1440"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2017</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Impact of adoption of ASU 2016-</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09</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2018</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Stock issued against stock-based</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778,222</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040" w:type="dxa"/>
            <w:vAlign w:val="bottom"/>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2018</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37,568,973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427,064</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r>
      <w:tr>
        <w:trPr>
          <w:trHeight w:val="356"/>
        </w:trPr>
        <w:tc>
          <w:tcPr>
            <w:tcW w:w="3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427,518</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r>
      <w:tr>
        <w:trPr>
          <w:trHeight w:val="351"/>
        </w:trPr>
        <w:tc>
          <w:tcPr>
            <w:tcW w:w="34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(13,960)</w:t>
            </w:r>
          </w:p>
        </w:tc>
      </w:tr>
      <w:tr>
        <w:trPr>
          <w:trHeight w:val="275"/>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327,750</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450,676</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(59,670)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-1440180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-1045845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-702310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-359410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600,045</w:t>
            </w:r>
          </w:p>
        </w:tc>
      </w:tr>
      <w:tr>
        <w:trPr>
          <w:trHeight w:val="356"/>
        </w:trPr>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w:t>
            </w:r>
          </w:p>
        </w:tc>
      </w:tr>
      <w:tr>
        <w:trPr>
          <w:trHeight w:val="245"/>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600,499</w:t>
            </w:r>
          </w:p>
        </w:tc>
      </w:tr>
      <w:tr>
        <w:trPr>
          <w:trHeight w:val="351"/>
        </w:trPr>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r>
      <w:tr>
        <w:trPr>
          <w:trHeight w:val="270"/>
        </w:trPr>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5,074</w:t>
            </w:r>
          </w:p>
        </w:tc>
      </w:tr>
      <w:tr>
        <w:trPr>
          <w:trHeight w:val="270"/>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(13,504)</w:t>
            </w:r>
          </w:p>
        </w:tc>
      </w:tr>
      <w:tr>
        <w:trPr>
          <w:trHeight w:val="270"/>
        </w:trPr>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70"/>
        </w:trPr>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(13,960)</w:t>
            </w:r>
          </w:p>
        </w:tc>
      </w:tr>
      <w:tr>
        <w:trPr>
          <w:trHeight w:val="275"/>
        </w:trPr>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23,158</w:t>
            </w:r>
          </w:p>
        </w:tc>
      </w:tr>
      <w:tr>
        <w:trPr>
          <w:trHeight w:val="237"/>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(3,126,011)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(117,320)</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601,705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000" w:space="120"/>
            <w:col w:w="4280" w:space="100"/>
            <w:col w:w="392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7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8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20"/>
                <w:szCs w:val="20"/>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60"/>
        </w:trPr>
        <w:tc>
          <w:tcPr>
            <w:tcW w:w="78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14,695</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23,158</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provided/(used for) by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13,724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10,655</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5,074</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gain on short term investments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foreign exchange loss/(gain),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3,433</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Allowance for doubtful accounts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non-cash interest expense related to convertible senior notes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charges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Others,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r>
      <w:tr>
        <w:trPr>
          <w:trHeight w:val="22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(13,906)</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877</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employee costs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(27,655)</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3,317</w:t>
            </w:r>
          </w:p>
        </w:tc>
      </w:tr>
      <w:tr>
        <w:trPr>
          <w:trHeight w:val="33"/>
        </w:trPr>
        <w:tc>
          <w:tcPr>
            <w:tcW w:w="7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by/(used for)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w:t>
            </w:r>
          </w:p>
        </w:tc>
      </w:tr>
      <w:tr>
        <w:trPr>
          <w:trHeight w:val="183"/>
        </w:trPr>
        <w:tc>
          <w:tcPr>
            <w:tcW w:w="78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(12,680)</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Business acquisition (net of cash acquired)</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(20,310)</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redemption of investments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21,361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30,358</w:t>
            </w:r>
          </w:p>
        </w:tc>
      </w:tr>
      <w:tr>
        <w:trPr>
          <w:trHeight w:val="21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r>
      <w:tr>
        <w:trPr>
          <w:trHeight w:val="33"/>
        </w:trPr>
        <w:tc>
          <w:tcPr>
            <w:tcW w:w="7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7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46,000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12,000</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Repayments of borrowings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(13,504)</w:t>
            </w: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r>
      <w:tr>
        <w:trPr>
          <w:trHeight w:val="33"/>
        </w:trPr>
        <w:tc>
          <w:tcPr>
            <w:tcW w:w="7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by/(used for)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19,808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r>
      <w:tr>
        <w:trPr>
          <w:trHeight w:val="21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33"/>
        </w:trPr>
        <w:tc>
          <w:tcPr>
            <w:tcW w:w="7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w:t>
            </w: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104,131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94,277</w:t>
            </w:r>
          </w:p>
        </w:tc>
      </w:tr>
      <w:tr>
        <w:trPr>
          <w:trHeight w:val="33"/>
        </w:trPr>
        <w:tc>
          <w:tcPr>
            <w:tcW w:w="7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94,627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76,465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ectPr>
          <w:pgSz w:w="11900" w:h="16838" w:orient="portrait"/>
          <w:cols w:equalWidth="0" w:num="1">
            <w:col w:w="11420"/>
          </w:cols>
          <w:pgMar w:left="240" w:top="333"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2018.</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income and expenses arising from intra-group transactions, are eliminated while preparing those financial statements.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periods presented were insignificant and is included under general and administrative expenses in the unaudited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incremental borrowing rate to calculate lease liabilities and right-of-use (“ROU”) assets, lease term to calculate lease cost, depreciation and amortization periods,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allocation, recoverability of long-lived assets including goodwill and intangibles, and estimated costs to complete fixed price contracts.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Employee Benefits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unaudited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classified in “Other income, net”. Refer Note 20 to the unaudited consolidated financial statements for details.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 and Restricted Cash</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Note 26 to the unaudited consolidated financial statements for details). These deposits with banks have maturity dates after March 31, 2020. Restricted cash presented under current assets represents funds held on behalf of clients in dedicated bank accounts.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purposes of the unaudited statements of cash flows, the Company includes in its cash and cash-equivalent balances those amounts that have been classified as restricted cash and restricted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we expect to be entitled to in exchange for our services.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Adoption of ASU 2014-09 Topic 606,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(Topic 606)</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January 1, 2018, the Company adopted Topic 606 using the modified retrospective method and applied its guidance to those contracts which were not completed as of January 1, 2018. Results for reporting periods beginning after January 1, 2018 are presented under Topic 606. The effect from the adoption of Topic 606 was not material to the Company's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services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 The Company also provides care optimization and reimbursement optimization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for its clients through its healthcare analytics solutions and services. The Company offers integrated solutions to help its clients with cost containment by leveraging technology platforms, customizable and configurable analytics and expertise in healthcare reimbursements to help clients enhance their claims payment accuracy.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of Contracts</w:t>
      </w:r>
    </w:p>
    <w:p>
      <w:pPr>
        <w:spacing w:after="0" w:line="119"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20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respect of arrangements involving subcontracting, in part or whole of the assigned work, the Company evaluates whether it is in control of the services before the same are transferred to the customer to assess whether it is Principal or Agent in the arrangement based on guidance on “Principal versus agent considerations” in Topic 606.</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Company’s fixed-price contracts are recognized using the proportional performance method when the pattern of performance under the contracts can be reasonably determined. The Company estimates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 To a lesser extent, software and related services contracts may contain software license, related services and maintenance elements as a multiple element arrangement. In such cases, revenue is allocated to maintenance based on the price charged when that element is sold separately.</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the Company at the point in time when a performance obligation is satisfied, which is when it identifies an overpayment claim and the same is acknowledged by its customers. In such contracts, the Company’s consideration is contingent upon the actual collections made by its customers and subsequent potential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17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 separate contract is generally drafted for each type of service sold, even if to the same customer. The typical length of a contract is 3 to 5 years for our operations management contracts.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the nature of the variable payment and whether it relates specifically to its efforts to satisfy a specific part of the contract.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cost of living adjustments, and pre-payment and volume discounts.</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Unbilled receivables represents revenues recognized for services rendered between the last billing date and the balance sheet date. Unbilled receivables also include revenues recognized from reimbursement optimization services when the Company identifies an overpayment claim and the same is acknowledged by its customers, however not invoiced at the balance sheet date. Accordingly, amounts for services that the Company has performed and for which an invoice has not yet been issued to the customers are presented as a part of contract assets as accounts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has deferred revenue attributable to certain process transition activities, with respect to its customers where such activities do not represent separate performance obligations. Revenues related to such transition activities are contract liabilities classified under “Deferred Revenue” in the Company's unaudited consolidated balance sheets and subsequently recognized ratably over the period in which the related services are performed. Deferred revenue also includes the amount for which services have been rendered but other conditions of revenue recognition are not met, for example where the Company does not have persuasive evidence of an arrangement with customer. Costs related to such transition activities are contract fulfillment costs, and thereby classified under “Other Current Assets” and “Other Assets” in the unaudited consolidated balance sheets, and are recognized ratably over the estimated expected period of benefit, under Cost of Revenues in the unaudited consolidated statements of income.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incremental and direct costs incurred for acquiring contracts, such as sales commissions are contract acquisition costs and thereby classified under “Other Current Assets” and “Other Assets” in the unaudited consolidated balance sheets. Such costs are amortized over the expected period of benefit and recorded under Selling and marketing expenses in the unaudited consolidated statements of income.</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Any upfront payments made to customers are contract assets and classified under “Other Current Assets and Other Assets” in the unaudited consolidated balance sheets. Such costs are amortized over the expected period of benefit and are recorded as an adjustment to transaction price and reduced from revenues.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 At times, the Company enters into fixed price contracts and software licenses involving significant implementation wherein the milestones are defined such that the Company can recover the costs with a reasonable margin.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1 year or less and (ii) contracts for which the Company recognizes revenue at the amount to which we have the right to invoice for services performed.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 accounts receivable net of allowances for doubtful accounts. Allowances for doubtful accounts are established through the evaluation of aging of accounts receivables, prior collection experience, current market conditions, clients’ financial condition and the amount of accounts receivables in dispute to estimate the collectability of these accounts receivables.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Leases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current portion of operating lease liabilities and operating lease liabilities, less current portion in the Company's unaudited consolidated balance sheets. Finance leases are included in property and equipment, current portion of finance lease obligations and finance lease obligations, less current portion in the Company's unaudited consolidated balance sheets.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in determining the present value of lease payments. Lease terms include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8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the date of initial application, the Company adopted,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using the modified retrospective method. The modified retrospective method provides a method of recording those leases which had not expired as of the date of adoption of January 1, 2019. The prior period unaudited consolidated financial statements have not been retrospectively adjusted and continues to be reported under Topic 840.</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permitted under the transition guidance under Topic 842, which amongst other matters, allowed the Company (i) not to apply the recognition requirements to short-term leases (leases with a lease term of 12 months or less), (ii) not to reassess whether any expired or existing contracts are or contain leases, (iii) not to reassess the lease classification for any expired or existing leases, and (iv) not to reassess initial direct costs for any existing leases.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 The adoption had no impact on opening balance of retained earnings.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Note 21 to the unaudited consolidated financial statements for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Recent Accounting Pronouncements</w:t>
      </w:r>
    </w:p>
    <w:p>
      <w:pPr>
        <w:spacing w:after="0" w:line="11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No.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requires a financial asset (or a group of financial assets) measured at amortized cost basis to be presented at the net amount expected to be collected.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December 15, 2018 is permitted. The Company is currently evaluating the impact that the adoption of this guidance will have on its consolidated financial statements.</w:t>
      </w:r>
    </w:p>
    <w:p>
      <w:pPr>
        <w:spacing w:after="0" w:line="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June 2018, FASB issued ASU No. 2018-07,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Improvements to Non-employee Share-Based Payment Accounting. This ASU involves several aspects of the accounting for non-employee share-based payment transactions resulting from expanding the scope of Topic 718, Compensation-Stock Compensation, to include share-based payment transactions for acquiring goods and services from non-employees. The amendments in this ASU affect all entities that enter into share-based payment transactions for acquiring goods and services from non-employees. This ASU is effective for public business entities for fiscal years beginning after December 15, 2018, including interim periods within that fiscal year. Early adoption is permitted, but no earlier than an entity’s adoption date of Topic 606. The adoption of this ASU is not expected to have any material effect on the Company’s consolidated financial statements.</w:t>
      </w:r>
    </w:p>
    <w:p>
      <w:pPr>
        <w:spacing w:after="0" w:line="7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Changes to the Disclosure Requirements for Fair Value Measurement. The amendments in this ASU modify the disclosure requirements on fair value measurements in Topic 820, based on the concepts in the Concepts Statement, including the consideration of costs and benefits. The amendments in ASU are effective for fiscal years beginning after December 15, 2019, including interim periods within those fiscal years. An entity is permitted to early adopt either the entire standard or only the provisions that eliminate or modify requirements. The adoption of this ASU is not expected to have any material effect on the Company’s consolidated financial statements.</w:t>
      </w:r>
    </w:p>
    <w:p>
      <w:pPr>
        <w:spacing w:after="0" w:line="7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2018-14, </w:t>
      </w:r>
      <w:r>
        <w:rPr>
          <w:rFonts w:ascii="Times New Roman" w:cs="Times New Roman" w:eastAsia="Times New Roman" w:hAnsi="Times New Roman"/>
          <w:sz w:val="18"/>
          <w:szCs w:val="18"/>
          <w:i w:val="1"/>
          <w:iCs w:val="1"/>
          <w:color w:val="auto"/>
        </w:rPr>
        <w:t>Compensation-Retirement Benefits-Defined Benefit Plans-General</w:t>
      </w:r>
      <w:r>
        <w:rPr>
          <w:rFonts w:ascii="Times New Roman" w:cs="Times New Roman" w:eastAsia="Times New Roman" w:hAnsi="Times New Roman"/>
          <w:sz w:val="18"/>
          <w:szCs w:val="18"/>
          <w:color w:val="auto"/>
        </w:rPr>
        <w:t xml:space="preserve"> (Subtopic 715-20): Changes to the Disclosure Requirements for Defined Benefit Plans. The amendments in this Update remove disclosures that no longer are considered cost beneficial, clarify the specific requirements of disclosures, and add disclosure requirements identified as relevant. The amendments in ASU are effective for fiscal years beginning after December 15, 2020. An entity is permitted to early adopt this Update. The adoption of this ASU is not expected to have any material effect on the Company’s consolidated financial statements.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August 2018, FASB issued ASU No. 2018-15,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Early adoption is permitted and both prospective and retrospective transition methods are allowed. The Company is currently evaluating the impact that the adoption of this guidance will have on its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Recently Adopted Accounting Pronouncements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requires the identification of arrangements that should be accounted for as leases. Lease arrangements exceeding a twelve months term should be recognized as assets with corresponding liabilities on the balance sheet of the lessee. This ASU requires recognition of an ROU asset and lease obligation for those leases classified as operating leases under Topic 840, while the income statement will reflect lease expense for operating leases. The balance sheet amounts recorded for existing operating leases at the date of adoption of this ASU must be calculated using the applicable incremental borrowing rate. The Company adopted Topic 842 as of January 1, 2019 using the modified retrospective method provided by ASU 2018-11. The adoption had a material impact on the Company's unaudited consolidated balance sheets, but did not have a material impact on the Company's unaudited consolidated income statements and unaudited consolidated statements of cash flows. The most significant impact was the recognition of ROU assets and lease liabilities for operating leases, while the Company's accounting for finance leases remained substantially unchanged. Refer Note 21 to the unaudited consolidated financial statements for details.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July 2018, FASB issued ASU No.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adopts the new leases standard will continue to be in accordance with current GAAP (Topic 840, Leases). The Company adopted Topic 842 as of January 1, 2019 using this ASU. Refer Note 21 to the unaudited consolidated financial statements for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five of which are industry-focused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 (“TT&amp;L”)</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(“F&amp;A”)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the Company's remaining operating segments, which are the Banking and Financial Services, Utilities and Consulting operating segments).</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and cost of revenues for the three months ended March 31, 2019 and 2018,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172085</wp:posOffset>
            </wp:positionV>
            <wp:extent cx="5462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239,573</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46,692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16,995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157,240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82,333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65,472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14,695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restart"/>
          </w:tcPr>
          <w:p>
            <w:pPr>
              <w:jc w:val="right"/>
              <w:ind w:right="67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460375</wp:posOffset>
            </wp:positionV>
            <wp:extent cx="5257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0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206,973</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42,427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17,242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14,729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38,075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138,101</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68,872</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53,722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17145</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3" w:lineRule="exact"/>
        <w:rPr>
          <w:sz w:val="20"/>
          <w:szCs w:val="20"/>
          <w:color w:val="auto"/>
        </w:rPr>
      </w:pPr>
    </w:p>
    <w:p>
      <w:pPr>
        <w:jc w:val="both"/>
        <w:ind w:left="420" w:right="7600" w:firstLine="47"/>
        <w:spacing w:after="0" w:line="443" w:lineRule="auto"/>
        <w:tabs>
          <w:tab w:leader="none" w:pos="666"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 Revenues, net by service type,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-557530</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r>
      <w:tr>
        <w:trPr>
          <w:trHeight w:val="269"/>
        </w:trPr>
        <w:tc>
          <w:tcPr>
            <w:tcW w:w="76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BPM and related services</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152,612</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149,871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Analytics services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86,961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57,102</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239,573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206,973</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13"/>
        <w:spacing w:after="0" w:line="225" w:lineRule="auto"/>
        <w:tabs>
          <w:tab w:leader="none" w:pos="615"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BPM and related services include revenues of the Company's five industry-focused operating segments, one capability operating segment and the consulting operating segment, which provides services related to operations management services. Refer reportable segment disclosure above.</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38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9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196,104</w:t>
            </w:r>
          </w:p>
        </w:tc>
        <w:tc>
          <w:tcPr>
            <w:tcW w:w="120" w:type="dxa"/>
            <w:vAlign w:val="bottom"/>
          </w:tcPr>
          <w:p>
            <w:pPr>
              <w:spacing w:after="0"/>
              <w:rPr>
                <w:sz w:val="21"/>
                <w:szCs w:val="21"/>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171,198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Non-United States</w:t>
            </w:r>
          </w:p>
        </w:tc>
        <w:tc>
          <w:tcPr>
            <w:tcW w:w="38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Kingdom</w:t>
            </w:r>
          </w:p>
        </w:tc>
        <w:tc>
          <w:tcPr>
            <w:tcW w:w="3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29,101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 of World</w:t>
            </w:r>
          </w:p>
        </w:tc>
        <w:tc>
          <w:tcPr>
            <w:tcW w:w="38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Non-United States</w:t>
            </w:r>
          </w:p>
        </w:tc>
        <w:tc>
          <w:tcPr>
            <w:tcW w:w="38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43,469</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498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239,573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206,973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74"/>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net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22"/>
                <w:szCs w:val="22"/>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34,527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36,152</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28,254</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26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5,985</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3,119</w:t>
            </w: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73,447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73,510</w:t>
            </w:r>
          </w:p>
        </w:tc>
      </w:tr>
      <w:tr>
        <w:trPr>
          <w:trHeight w:val="27"/>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Adoption of ASU 2014-09 Topic 606,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January 1, 2018, the Company adopted Topic 606 using the modified retrospective method and applied its guidance to those contracts which were not completed as of January 1, 2018. Results for reporting periods beginning after January 1, 2018 are presented under Topic 606.</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from the adoption of Topic 606 was not material to the Company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Note 3 to the unaudited consolidated financial statements for revenues disaggregated by reportable segments and geography.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0"/>
                <w:szCs w:val="20"/>
                <w:color w:val="auto"/>
              </w:rPr>
            </w:pPr>
          </w:p>
        </w:tc>
        <w:tc>
          <w:tcPr>
            <w:tcW w:w="1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176,889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164,752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(advance payments portion)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Consideration received from customer for transitions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1,669</w:t>
            </w:r>
          </w:p>
        </w:tc>
      </w:tr>
      <w:tr>
        <w:trPr>
          <w:trHeight w:val="27"/>
        </w:trPr>
        <w:tc>
          <w:tcPr>
            <w:tcW w:w="7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Accounts receivable includes $75,832 and $63,952 as of March 31, 2019 and December 31, 2018, respectively, representing amounts not billed to customers. The Company has accrued the unbilled receivables for work performed in accordance with the terms of contracts with customers and considers no significant performance risk associated with its unbilled receivables.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assets represents upfront payments made to customers.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Contract liabilities represents that portion of deferred revenue for which payments have been received in advance from customers including revenues attributable to certain process transition activities for which costs have been capitalized by the Company as contract fulfillment costs. The contract liabilities are included within deferred revenues in the unaudited consolidated balance sheet and are recognized as revenue as (or when) the performance obligation is fulfilled under the contract.</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2019 and 2018 that was included in the contract liabilities balance at the beginning of the period was $2,777 and $3,710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costs</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had contract acquisition costs of $513 as of March 31, 2019 and $713 as of December 31, 2018. Further, there was no additional capitalization made during the three months ended March 31, 2019. The Company amortized $200 and $73 during the three months ended March 31, 2019 and 2018, respectively. There was no impairment loss in relation to costs capitalized. The capitalized costs will be amortized on a straight-line basis over the life of contract.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fulfillment costs</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had deferred contract fulfillment costs relating to transition activities amounting to $4,472 as of March 31, 2019 and $4,051 as of December 31, 2018. Further, we capitalized an additional $726 during the three months ended March 31, 2019. The Company amortized $305 and $111 during the three months ended March 31, 2019 and 2018, respectively. There was no impairment loss in relation to costs capitalized. The capitalized costs will be amortized on a straight-line basis over the life of contract.</w:t>
      </w:r>
    </w:p>
    <w:p>
      <w:pPr>
        <w:spacing w:after="0" w:line="180"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Consideration received from customers, if any, relating to such transition activities are classified under Contract Liabilities and are recognized ratably over the period in which the related performance obligations are fulfilled.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Stock options, restricted stock and restricted stock units that are anti-dilutive are excluded from the computation of weighted average shares outstanding.</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23,158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34,374,815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34,446,265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458,620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856,661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34,833,435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35,302,926</w:t>
            </w:r>
          </w:p>
        </w:tc>
      </w:tr>
      <w:tr>
        <w:trPr>
          <w:trHeight w:val="67"/>
        </w:trPr>
        <w:tc>
          <w:tcPr>
            <w:tcW w:w="79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0.66</w:t>
            </w: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potentially dilutive shares considered anti-dilutive and not included in computing diluted</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4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425,432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148,522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Restricted Cash</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 of unaudited statements of cash flows, cash, cash equivalents and restricted cash comprise of the following:</w:t>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80" w:type="dxa"/>
            <w:vAlign w:val="bottom"/>
          </w:tcPr>
          <w:p>
            <w:pPr>
              <w:spacing w:after="0"/>
              <w:rPr>
                <w:sz w:val="22"/>
                <w:szCs w:val="22"/>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69,955</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30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2,727</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3,783</w:t>
            </w: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94,627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76,465</w:t>
            </w:r>
          </w:p>
        </w:tc>
      </w:tr>
      <w:tr>
        <w:trPr>
          <w:trHeight w:val="27"/>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Income, net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8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3,526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3,133</w:t>
            </w:r>
          </w:p>
        </w:tc>
      </w:tr>
      <w:tr>
        <w:trPr>
          <w:trHeight w:val="27"/>
        </w:trPr>
        <w:tc>
          <w:tcPr>
            <w:tcW w:w="8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Others, net</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r>
      <w:tr>
        <w:trPr>
          <w:trHeight w:val="257"/>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4,423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3,534</w:t>
            </w:r>
          </w:p>
        </w:tc>
      </w:tr>
      <w:tr>
        <w:trPr>
          <w:trHeight w:val="20"/>
        </w:trPr>
        <w:tc>
          <w:tcPr>
            <w:tcW w:w="8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20"/>
          </w:cols>
          <w:pgMar w:left="240" w:top="117"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34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88,566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85,921</w:t>
            </w:r>
          </w:p>
        </w:tc>
      </w:tr>
      <w:tr>
        <w:trPr>
          <w:trHeight w:val="27"/>
        </w:trPr>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69,752</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39,533</w:t>
            </w:r>
          </w:p>
        </w:tc>
      </w:tr>
      <w:tr>
        <w:trPr>
          <w:trHeight w:val="27"/>
        </w:trPr>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r>
      <w:tr>
        <w:trPr>
          <w:trHeight w:val="237"/>
        </w:trPr>
        <w:tc>
          <w:tcPr>
            <w:tcW w:w="4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236,298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228,850</w:t>
            </w:r>
          </w:p>
        </w:tc>
      </w:tr>
      <w:tr>
        <w:trPr>
          <w:trHeight w:val="27"/>
        </w:trPr>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(155,798)</w:t>
            </w:r>
          </w:p>
        </w:tc>
      </w:tr>
      <w:tr>
        <w:trPr>
          <w:trHeight w:val="237"/>
        </w:trPr>
        <w:tc>
          <w:tcPr>
            <w:tcW w:w="4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72,698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73,052</w:t>
            </w:r>
          </w:p>
        </w:tc>
      </w:tr>
      <w:tr>
        <w:trPr>
          <w:trHeight w:val="27"/>
        </w:trPr>
        <w:tc>
          <w:tcPr>
            <w:tcW w:w="48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leases:</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7"/>
        </w:trPr>
        <w:tc>
          <w:tcPr>
            <w:tcW w:w="4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48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48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5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73,447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73,510</w:t>
            </w:r>
          </w:p>
        </w:tc>
      </w:tr>
      <w:tr>
        <w:trPr>
          <w:trHeight w:val="20"/>
        </w:trPr>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property and equipment and cost incurred to develop software not yet ready to be placed in service.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2019, there were no changes in estimated useful lives of property and equipment.</w:t>
      </w:r>
    </w:p>
    <w:p>
      <w:pPr>
        <w:spacing w:after="0" w:line="22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unaudited consolidated statements of income was as follows:</w:t>
      </w:r>
    </w:p>
    <w:p>
      <w:pPr>
        <w:spacing w:after="0" w:line="38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24765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03" w:lineRule="exact"/>
        <w:rPr>
          <w:sz w:val="20"/>
          <w:szCs w:val="20"/>
          <w:color w:val="auto"/>
        </w:rPr>
      </w:pPr>
    </w:p>
    <w:p>
      <w:pPr>
        <w:ind w:left="844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68865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6575" cy="18859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7760" w:val="left"/>
          <w:tab w:leader="none" w:pos="8860" w:val="left"/>
          <w:tab w:leader="none" w:pos="9500" w:val="left"/>
          <w:tab w:leader="none" w:pos="10600" w:val="left"/>
        </w:tabs>
        <w:rPr>
          <w:sz w:val="20"/>
          <w:szCs w:val="20"/>
          <w:color w:val="auto"/>
        </w:rPr>
      </w:pPr>
      <w:r>
        <w:rPr>
          <w:rFonts w:ascii="Times New Roman" w:cs="Times New Roman" w:eastAsia="Times New Roman" w:hAnsi="Times New Roman"/>
          <w:sz w:val="18"/>
          <w:szCs w:val="18"/>
          <w:color w:val="auto"/>
        </w:rPr>
        <w:t>Depreciation and 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8,139</w:t>
        <w:tab/>
        <w:t>$</w:t>
      </w:r>
      <w:r>
        <w:rPr>
          <w:sz w:val="20"/>
          <w:szCs w:val="20"/>
          <w:color w:val="auto"/>
        </w:rPr>
        <w:tab/>
      </w:r>
      <w:r>
        <w:rPr>
          <w:rFonts w:ascii="Times New Roman" w:cs="Times New Roman" w:eastAsia="Times New Roman" w:hAnsi="Times New Roman"/>
          <w:sz w:val="17"/>
          <w:szCs w:val="17"/>
          <w:color w:val="auto"/>
        </w:rPr>
        <w:t>6,557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51435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Effective January 1, 2017, the depreciation and amortization expenses set forth above includes the effect of foreign exchange gain/(loss) upon settlement of cash flow hedges, amounting to $57 and $151 for the three months ended March 31, 2019 and 2018, respectively. Refer Note 17 to the unaudited consolidated financial statements for further details.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8,783</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7"/>
        </w:trPr>
        <w:tc>
          <w:tcPr>
            <w:tcW w:w="69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156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6,390</w:t>
            </w:r>
          </w:p>
        </w:tc>
      </w:tr>
      <w:tr>
        <w:trPr>
          <w:trHeight w:val="20"/>
        </w:trPr>
        <w:tc>
          <w:tcPr>
            <w:tcW w:w="69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the Company performed an impairment test of its long-lived assets of its Health Integrated business. Based on the results, the long-lived assets carrying value exceeded their fair value. The primary factor contributing to a reduction in the fair value is the commencement of the wind down of the Health Integrated business, and an anticipated reduction to the Company's estimated future cash flows. As a result of this analysis, the Company recognized a provisional impairment charge of $1,227 during the three months ended March 31, 2019 to write down the carrying value of internally developed software to its fair value. This impairment loss was recorded in the unaudited consolidated statements of income under "impairment charges".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2"/>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2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6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960" w:firstLine="8"/>
        <w:spacing w:after="0" w:line="412"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Goodwill and Intangible Assets SCIOinspire Holdings Inc.</w:t>
      </w:r>
    </w:p>
    <w:p>
      <w:pPr>
        <w:spacing w:after="0" w:line="15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1, 2018, the Company, through its wholly owned subsidiary ExlService.com, LLC (“Buyer”) and Buyer’s wholly owned subsidiary, ExlService Cayman Merger Sub, completed the acquisition of SCIO pursuant to an Agreement of Merger dated April 28, 2018 (the "Merger Agreement"). ExlService Cayman Merger Sub, merged with and into SCIO, with SCIO surviving the merger as a wholly-owned subsidiary of the Buyer.</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SCIO is a health analytics solution and services company serving healthcare organizations including providers, health plans, pharmacy benefit managers, employers, health services and global life sciences companies. The acquisition is expected to significantly strengthen the Company’s capability in the high growth cost optimization and care optimization markets. The acquisition of SCIO is included in the Analytics reportable segment.</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aggregate purchase consideration was $245,044, including cash and cash equivalents acquired and post-closing adjustments. The aggregate base purchase consideration payable at closing of the merger was $236,500 based on completion of diligence, which was adjusted based on, among other things, SCIO’s cash, debt, working capital position and other adjustments as of the Closing as set forth in the Merger Agreement. To finance the acquisition at Closing, the Company utilized its revolving Credit Facility in the amount of $233,000, issued 69,459 shares of restricted common stock of the Company in the amount of $4,080 and paid the balance with available cash on hand.</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the Company’s business combinations accounting policy, the total purchase consideration for SCIO was allocated to identifiable net tangible and intangible assets based upon their preliminary fair values. The excess of the purchase consideration over fair value of identifiable net tangible and intangible assets was recorded as goodwill. In order to allocate the consideration transferred for SCIO, the fair values of all identifiable assets and liabilities were established. For accounting and financial reporting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purposes, fair value is defined under ASC No.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8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assets acquired and liabilities assumed from the acquisition of SCIO is based on a preliminary valuation. The primary areas of the purchase price that are not yet finalized are related to direct and indirect taxes, and, as such, the Company's estimates and assumptions are subject to change within the measurement period.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preliminary purchase price allocation to net tangible and intangible assets of SCIO is as follows:</w:t>
      </w:r>
    </w:p>
    <w:p>
      <w:pPr>
        <w:spacing w:after="0" w:line="383"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19,924</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47,800</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r>
      <w:tr>
        <w:trPr>
          <w:trHeight w:val="243"/>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7"/>
        </w:trPr>
        <w:tc>
          <w:tcPr>
            <w:tcW w:w="9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111,107</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924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9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81,293</w:t>
            </w:r>
          </w:p>
        </w:tc>
      </w:tr>
      <w:tr>
        <w:trPr>
          <w:trHeight w:val="27"/>
        </w:trPr>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5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245,044</w:t>
            </w:r>
          </w:p>
        </w:tc>
      </w:tr>
      <w:tr>
        <w:trPr>
          <w:trHeight w:val="20"/>
        </w:trPr>
        <w:tc>
          <w:tcPr>
            <w:tcW w:w="9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fair values of the trade names and trademarks intangible assets were determined by using an “income approach”, specifically the relief-from-royalty approach. The basic principle of the relief-from-royalty method is that without ownership of the subject intangible asset, the user of that intangible asset would have to make a stream of payments to the owner of the asset in return for the rights to use that asset. By acquiring the intangible asset, the user avoids these payments. Therefore, a portion of SCIO’s earnings, equal to the after-tax royalty that would have been paid for the use of the asset, can be attributed to the firm’s ownership. The trade names and trademarks are being amortized on a straight-line basis (which approximates the economic pattern of benefits) over the estimated economic life of 3 years.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the developed technology intangible assets were also determined by the relief-from-royalty approach. Similarly, this approach is based on the assumption that in lieu of ownership, a firm would be willing to pay a royalty in order to exploit the related benefits of the technology. Therefore, a portion of SCIO’s earnings, equal to the after-tax royalty that would have been paid for the use of the technology, can be attributed to the firm’s ownership of the technology. The technology assets are being amortized on a straight-line basis (which approximates the economic pattern of benefits) over the estimated economic life of 5 years.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values of the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 resulting from its development, that each project rents only those assets it needs (including elements of goodwill) and not the ones that it does 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10 years.</w:t>
      </w:r>
    </w:p>
    <w:p>
      <w:pPr>
        <w:spacing w:after="0" w:line="18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goodwill recognized is attributable primarily to expected synergies from continuing operations of SCIO and the Company. The amount of goodwill recognized from SCIO's acquisition is not deductible for tax purposes. The goodwill has been assigned to our Analytics reportable segment based upon the Company’s assessment of nature of services rendered by SCIO.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costs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Acquisition-related costs are being expensed as incurred and are included in general and administrative expenses in the unaudited consolidated statements of income. The Company recognized acquisition-related costs, which were incurred to effect business combination, for its SCIO and Health Integrated acquisitions of $nil and $363 during the three months ended March 31, 2019 and 2018,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204,481</w:t>
            </w:r>
          </w:p>
        </w:tc>
      </w:tr>
      <w:tr>
        <w:trPr>
          <w:trHeight w:val="243"/>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Measurement period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5"/>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349,984</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350,239</w:t>
            </w: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2018, the Company performed its annual impairment test of goodwill for all its reporting units. Based on the results, the fair values of each of the Company’s reporting units exceeded their carrying values except for the Health Integrated reporting unit, within the Healthcare operating segment. The primary factors contributing to a reduction in the fair value of the Health Integrated reporting unit were: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As a result of this analysis, the Company recognized a goodwill impairment charge of $14,229 during the fourth quarter to write down the carrying value of Health Integrated’s goodwill to its fair value of $nil as of December 31, 2018. This impairment loss was recorded in the consolidated statements of income under "impairment charges".</w:t>
      </w:r>
    </w:p>
    <w:p>
      <w:pPr>
        <w:spacing w:after="0" w:line="18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2019, the Company believes no other goodwill impairment exists, apart from the impairment charges discussed above, and that the remaining goodwill is recoverable for all of its reporting units; however, there can be no assurances that additional goodwill will not be impaired in future periods. Estimating the fair value of reporting units requires the use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and significant judgments that are based on a number of factors including actual operating results. It is reasonably possible that the judgments and estimates described above could change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ind w:right="532"/>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20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6"/>
                <w:szCs w:val="16"/>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129,832</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(5,549)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64,457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benefits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181,370</w:t>
            </w:r>
          </w:p>
        </w:tc>
        <w:tc>
          <w:tcPr>
            <w:tcW w:w="3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(5,827)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89,108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182,270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(5,827)</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90,008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20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6"/>
                <w:szCs w:val="16"/>
                <w:color w:val="auto"/>
              </w:rPr>
            </w:pP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129,790</w:t>
            </w:r>
          </w:p>
        </w:tc>
        <w:tc>
          <w:tcPr>
            <w:tcW w:w="3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(56,367)</w:t>
            </w: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benefits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37,154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181,272</w:t>
            </w:r>
          </w:p>
        </w:tc>
        <w:tc>
          <w:tcPr>
            <w:tcW w:w="3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(80,850)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8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182,172</w:t>
            </w: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95,495</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amortization expense for the period is as follows:</w:t>
      </w:r>
    </w:p>
    <w:p>
      <w:pPr>
        <w:spacing w:after="0" w:line="34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24765</wp:posOffset>
            </wp:positionV>
            <wp:extent cx="22123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03" w:lineRule="exact"/>
        <w:rPr>
          <w:sz w:val="20"/>
          <w:szCs w:val="20"/>
          <w:color w:val="auto"/>
        </w:rPr>
      </w:pPr>
    </w:p>
    <w:p>
      <w:pPr>
        <w:ind w:left="8220"/>
        <w:spacing w:after="0"/>
        <w:tabs>
          <w:tab w:leader="none" w:pos="99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24765</wp:posOffset>
            </wp:positionV>
            <wp:extent cx="670623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6235" cy="188595"/>
                    </a:xfrm>
                    <a:prstGeom prst="rect">
                      <a:avLst/>
                    </a:prstGeom>
                    <a:noFill/>
                  </pic:spPr>
                </pic:pic>
              </a:graphicData>
            </a:graphic>
          </wp:anchor>
        </w:drawing>
      </w:r>
    </w:p>
    <w:p>
      <w:pPr>
        <w:spacing w:after="0" w:line="41" w:lineRule="exact"/>
        <w:rPr>
          <w:sz w:val="20"/>
          <w:szCs w:val="20"/>
          <w:color w:val="auto"/>
        </w:rPr>
      </w:pPr>
    </w:p>
    <w:p>
      <w:pPr>
        <w:ind w:left="460"/>
        <w:spacing w:after="0"/>
        <w:tabs>
          <w:tab w:leader="none" w:pos="7520" w:val="left"/>
          <w:tab w:leader="none" w:pos="8680" w:val="left"/>
          <w:tab w:leader="none" w:pos="9320" w:val="left"/>
          <w:tab w:leader="none" w:pos="10480" w:val="left"/>
        </w:tabs>
        <w:rPr>
          <w:sz w:val="20"/>
          <w:szCs w:val="20"/>
          <w:color w:val="auto"/>
        </w:rPr>
      </w:pPr>
      <w:r>
        <w:rPr>
          <w:rFonts w:ascii="Times New Roman" w:cs="Times New Roman" w:eastAsia="Times New Roman" w:hAnsi="Times New Roman"/>
          <w:sz w:val="18"/>
          <w:szCs w:val="18"/>
          <w:color w:val="auto"/>
        </w:rPr>
        <w:t>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5,528</w:t>
        <w:tab/>
        <w:t>$</w:t>
      </w:r>
      <w:r>
        <w:rPr>
          <w:sz w:val="20"/>
          <w:szCs w:val="20"/>
          <w:color w:val="auto"/>
        </w:rPr>
        <w:tab/>
      </w:r>
      <w:r>
        <w:rPr>
          <w:rFonts w:ascii="Times New Roman" w:cs="Times New Roman" w:eastAsia="Times New Roman" w:hAnsi="Times New Roman"/>
          <w:sz w:val="17"/>
          <w:szCs w:val="17"/>
          <w:color w:val="auto"/>
        </w:rPr>
        <w:t>3,947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51435</wp:posOffset>
            </wp:positionV>
            <wp:extent cx="22123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fourth quarter of 2018, the Company recognized impairment charges of $5,549 and $278 related to its customer relationships and trademarks intangible assets, respectively, in the Health Integrated reporting unit, within the Healthcare operating segment. The Company tested these intangible assets for recoverability due to indicators warranting the impairment test such as: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Based on the results of its testing, the Company determined that the carrying value of the intangible assets was not</w:t>
      </w:r>
    </w:p>
    <w:p>
      <w:pPr>
        <w:sectPr>
          <w:pgSz w:w="11900" w:h="16838" w:orient="portrait"/>
          <w:cols w:equalWidth="0" w:num="1">
            <w:col w:w="11420"/>
          </w:cols>
          <w:pgMar w:left="240" w:top="117"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recoverable, and an impairment charge was recorded to the extent that carrying value exceeded estimated fair value. This impairment charge was recorded in the consolidated statements of income under "impairment charges". Subsequent to the impairment test, Health Integrated reporting unit’s customer relationships and trademarks intangibles assets were reduced to $nil as of December 31, 2018.</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remaining weighted average life of intangible assets is as follows:</w:t>
      </w:r>
    </w:p>
    <w:p>
      <w:pPr>
        <w:spacing w:after="0" w:line="275"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benefits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(Finite lived)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21"/>
                <w:szCs w:val="21"/>
                <w:color w:val="auto"/>
              </w:rPr>
            </w:pPr>
          </w:p>
        </w:tc>
      </w:tr>
      <w:tr>
        <w:trPr>
          <w:trHeight w:val="702"/>
        </w:trPr>
        <w:tc>
          <w:tcPr>
            <w:tcW w:w="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as of March 31, 2019 is as follows: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(April 1 - December 31)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 in Equity Affiliate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12, 2017, the Company acquired preferred stock in Corridor Platform Inc. (“Corridor”), a big data credit risk management platform for $3,000. The Company has determined that based on its ownership interest and other rights, Corridor is an equity method affiliate. The Company has the right and option to acquire additional preferred stock from Corridor as per the terms of the agreement. The Company's proportionate share of net loss for the three months ended March 31, 2019 and 2018 was $67 and $56,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to suppliers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30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8,949</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6,315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6,501</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left w:val="single" w:sz="8" w:color="CCEEFF"/>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33,164</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31,015</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42,335</w:t>
            </w:r>
          </w:p>
        </w:tc>
        <w:tc>
          <w:tcPr>
            <w:tcW w:w="320" w:type="dxa"/>
            <w:vAlign w:val="bottom"/>
            <w:tcBorders>
              <w:left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2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65,827</w:t>
            </w:r>
          </w:p>
        </w:tc>
        <w:tc>
          <w:tcPr>
            <w:tcW w:w="320" w:type="dxa"/>
            <w:vAlign w:val="bottom"/>
            <w:tcBorders>
              <w:left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64,169</w:t>
            </w:r>
          </w:p>
        </w:tc>
        <w:tc>
          <w:tcPr>
            <w:tcW w:w="2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20" w:type="dxa"/>
            <w:vAlign w:val="bottom"/>
            <w:tcBorders>
              <w:left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2"/>
                <w:szCs w:val="22"/>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320" w:type="dxa"/>
            <w:vAlign w:val="bottom"/>
            <w:tcBorders>
              <w:left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Changes in the fair values of forward</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are recognized in accumulated other comprehensive loss on the Company's unaudited consolidated balance sheet until the settlement of those contracts. The balances as of March 31, 2019 and December 31, 2018 are as follows:</w:t>
      </w:r>
    </w:p>
    <w:p>
      <w:pPr>
        <w:spacing w:after="0" w:line="385"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 net of taxes of $1,658 and $115, respectively</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6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net of taxes of $56 and ($53),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971</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(83,467)</w:t>
            </w:r>
          </w:p>
        </w:tc>
      </w:tr>
      <w:tr>
        <w:trPr>
          <w:trHeight w:val="27"/>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March 31, 2019 and December 31, 2018.</w:t>
      </w: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168,693</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168,693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8,425</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168,693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177,118</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Pr>
          <w:p>
            <w:pPr>
              <w:spacing w:after="0"/>
              <w:rPr>
                <w:sz w:val="21"/>
                <w:szCs w:val="21"/>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148,438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Represents short-term investments carried on fair value option under ASC 825 “Financial Instruments” as of March 31, 2019 and December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w:t>
      </w:r>
    </w:p>
    <w:p>
      <w:pPr>
        <w:spacing w:after="0" w:line="20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Company’s derivative financial instruments consist of foreign currency forward exchange contracts.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derivative financial instruments are based on independent sources including highly rated financial institutions and are classified as Level 2. Refer Note 17 to the unaudited consolidated financial statements for further details.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accounts receivable, accounts payable and accrued expenses for which fair values approximate their carrying amounts due to their short-term 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convertible senior notes as of March 31, 2019 and December 31, 2018 was $137,374 and $130,510, respectively. The fair value was determined based on the market yields for similar Notes as of the March 31, 2019 and December 31, 2018. The Company considers the fair value of the Notes to be a Level 2 measurement due to the limited inputs available for its fair valuation.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$410,189 (including $6,250 of range forward contracts) as of March 31, 2019 and $362,435 (including $6,900 of range forward contracts) as of December 31, 2018.</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net of tax, until the hedged transactions occurs. The resultant foreign exchange gain/(loss) are recorded along with the underlying hedged item in the same line of unaudited consolidated statements of income as either part of “Cost of revenues”, “General and administrative expenses”, “Selling and marketing expenses”, “Depreciation and amortization”, as applicable.</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$100,204 and GBP 12,767 as of March 31, 2019 and amounted to $125,503, GBP 15,616 and EUR 512 as of December 31, 2018.</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estimates that approximately $2,467 of net derivative gains, excluding tax effects, included in accumulated other comprehensive loss representing changes in the value of cash flow hedges, could be reclassified into earnings within the next twelve months based on exchange rates prevailing as of March 31, 2019. At March 31, 2019, the maximum outstanding term of the cash flow hedges was 45 months.</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420"/>
          </w:cols>
          <w:pgMar w:left="240" w:top="117" w:right="239" w:bottom="1440" w:gutter="0" w:footer="0" w:header="0"/>
        </w:sectPr>
      </w:pP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47625</wp:posOffset>
            </wp:positionV>
            <wp:extent cx="2701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March 31, 2019</w:t>
      </w:r>
      <w:r>
        <w:rPr>
          <w:sz w:val="20"/>
          <w:szCs w:val="20"/>
          <w:color w:val="auto"/>
        </w:rPr>
        <w:tab/>
      </w:r>
      <w:r>
        <w:rPr>
          <w:rFonts w:ascii="Times New Roman" w:cs="Times New Roman" w:eastAsia="Times New Roman" w:hAnsi="Times New Roman"/>
          <w:sz w:val="16"/>
          <w:szCs w:val="16"/>
          <w:b w:val="1"/>
          <w:bCs w:val="1"/>
          <w:color w:val="auto"/>
        </w:rPr>
        <w:t>December 31, 2018</w:t>
      </w:r>
    </w:p>
    <w:p>
      <w:pPr>
        <w:spacing w:after="0" w:line="55" w:lineRule="exact"/>
        <w:rPr>
          <w:sz w:val="20"/>
          <w:szCs w:val="20"/>
          <w:color w:val="auto"/>
        </w:rPr>
      </w:pPr>
    </w:p>
    <w:p>
      <w:pPr>
        <w:sectPr>
          <w:pgSz w:w="11900" w:h="16838" w:orient="portrait"/>
          <w:cols w:equalWidth="0" w:num="2">
            <w:col w:w="6360" w:space="720"/>
            <w:col w:w="434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1,971</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47625</wp:posOffset>
            </wp:positionV>
            <wp:extent cx="656018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March 31, 2019</w:t>
      </w:r>
      <w:r>
        <w:rPr>
          <w:sz w:val="20"/>
          <w:szCs w:val="20"/>
          <w:color w:val="auto"/>
        </w:rPr>
        <w:tab/>
      </w:r>
      <w:r>
        <w:rPr>
          <w:rFonts w:ascii="Times New Roman" w:cs="Times New Roman" w:eastAsia="Times New Roman" w:hAnsi="Times New Roman"/>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47625</wp:posOffset>
            </wp:positionV>
            <wp:extent cx="2701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6360" w:space="720"/>
            <w:col w:w="434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1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47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unaudited consolidated statements of income and accumulated other comprehensive loss for the three months ended March 31, 2019 and 2018:</w:t>
      </w: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47"/>
        </w:trPr>
        <w:tc>
          <w:tcPr>
            <w:tcW w:w="49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1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Forward Exchange Contracts: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49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Gain/(loss) recognized in AOCI</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 of income</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459"/>
        </w:trPr>
        <w:tc>
          <w:tcPr>
            <w:tcW w:w="4920" w:type="dxa"/>
            <w:vAlign w:val="bottom"/>
          </w:tcPr>
          <w:p>
            <w:pPr>
              <w:spacing w:after="0"/>
              <w:rPr>
                <w:sz w:val="24"/>
                <w:szCs w:val="24"/>
                <w:color w:val="auto"/>
              </w:rPr>
            </w:pPr>
          </w:p>
        </w:tc>
        <w:tc>
          <w:tcPr>
            <w:tcW w:w="18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440"/>
        <w:spacing w:after="0" w:line="301"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-7620</wp:posOffset>
            </wp:positionV>
            <wp:extent cx="6363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47625</wp:posOffset>
            </wp:positionV>
            <wp:extent cx="3533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180" w:type="dxa"/>
            <w:vAlign w:val="bottom"/>
          </w:tcPr>
          <w:p>
            <w:pPr>
              <w:spacing w:after="0"/>
              <w:rPr>
                <w:sz w:val="18"/>
                <w:szCs w:val="18"/>
                <w:color w:val="auto"/>
              </w:rPr>
            </w:pP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1560" w:type="dxa"/>
            <w:vAlign w:val="bottom"/>
            <w:gridSpan w:val="5"/>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Gain/(loss) on</w:t>
            </w: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exchange</w:t>
            </w:r>
          </w:p>
        </w:tc>
      </w:tr>
      <w:tr>
        <w:trPr>
          <w:trHeight w:val="212"/>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contracts</w:t>
            </w: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5"/>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gain/(loss) was reclassed from AOCI</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157,240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2,145</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37"/>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2,671</w:t>
            </w:r>
          </w:p>
        </w:tc>
      </w:tr>
      <w:tr>
        <w:trPr>
          <w:trHeight w:val="67"/>
        </w:trPr>
        <w:tc>
          <w:tcPr>
            <w:tcW w:w="43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24"/>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37"/>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to fund SCIO acquisition. The incremental commitments were made pursuant to (and constitute part of) the existing commitments and shall be subject to the terms and conditions applicable to the existing commitments as set forth in the Credit Agreement.</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the Company’s total net leverage ratio, and ranges from 0.15% to 0.30% per annum on the average daily amount by which the aggregate revolving commitments exceed the sum of</w:t>
      </w:r>
    </w:p>
    <w:p>
      <w:pPr>
        <w:sectPr>
          <w:pgSz w:w="11900" w:h="16838" w:orient="portrait"/>
          <w:cols w:equalWidth="0" w:num="1">
            <w:col w:w="11420"/>
          </w:cols>
          <w:pgMar w:left="240" w:top="117"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color w:val="auto"/>
        </w:rPr>
        <w:t>outstanding revolving loans and letter of credit obligations. The Credit Facility carried an effective interest rate of 3.9% and 3.3% per annum during the three months ended March 31, 2019 and 2018.</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Credit Agreement are guaranteed by the Company’s material domestic subsidiaries and are secured by all or substantially all of the assets of the Company and our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March 31, 2019, the Company was in compliance with all financial and non-financial covenants listed under the Credit Agreement.</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entered into a second amendment (the “Amendment”)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2019, the Company had outstanding indebtedness under the credit facility of $186,000, of which $20,000 is expected to be repaid within the next twelve months and is included under “current portion of long-term borrowings” and of which $166,000 is included under “long-term borrowings” in the unaudited consolidated balance sheets. As of December 31, 2018, the Company had an outstanding indebtedness under the credit facility of $150,000, of which $20,000 was included under “current portion of long-term borrowings,” and the balance of $130,000 was included under “long-term borrowings” in the consolidated balance sheets.</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certain debt issuance costs, which are deferred and amortized as an adjustment to interest expense over the term of the credit facility. The unamortized debt issuance costs as of March 31, 2019 and December 31, 2018 was $942 and $1,006, respectively, and is included under "other current assets" and “other assets” in the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months ended March 31, 2019, the Company recognized interest expense of $1,313.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that the Company to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redemption).The Company may elect to settle conversions of the Notes by paying or delivering, as the case may be, cash, shares of the Company’s common stock or a combination of cash and shares of the Company’s common stock. The Company used the proceeds from the issuance of Notes to repay $150,000 of its outstanding borrowings under the Credit Facility.</w:t>
      </w:r>
    </w:p>
    <w:p>
      <w:pPr>
        <w:spacing w:after="0" w:line="1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net proceeds from the issuance of Notes were approximately $149,000, after deducting debt issuance costs of $1,000 and offering expenses of approximately $442 paid by the Company. These transaction and debt issuance costs were allocated between the liability and equity components based on their relative values. The transaction costs and debt issuance costs allocated to the liability and equity components were $1,279 and $163 respectively. The debt issuance costs allocated to the liability component are deferred and amortized as an adjustment to interest expense over the term of the Notes. The unamortized debt issuance costs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 presented as a direct reduction from the Notes in the unaudited consolidated balance sheets. The unamortized debt issuance costs as of March 31, 2019 and December 31, 2018 was $1,178 and $1,127, respectively.</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 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three months ended March 31, 2019, the Company amortized $600 of the discount to interest expense. At the time of issuance, the Company evaluated the Notes in accordance with ASC 815-15 and determined that the Notes contain a single embedded derivative, being the call option having market interest rates as underlying, which does not require bifurcation as the features clearly and closely related to the host instrument. The Company determined that the value of this embedded derivative was nominal as of the date of issuance.</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Borrowings also includes structured payables which are in the nature of debt, amounting to $1,542 and $2,114 as of March 31, 2019 and December 31, 2018, respectively, of which $876 and $1,423 is included under "current portion of long-term borrowings", $666 and $691, respectively, under "long-term borrowings" in the unaudited consolidated balance sheets.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principal payments/maturities for all of the Company's borrowings as of March 31,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340" w:type="dxa"/>
            <w:vAlign w:val="bottom"/>
          </w:tcPr>
          <w:p>
            <w:pPr>
              <w:spacing w:after="0"/>
              <w:rPr>
                <w:sz w:val="18"/>
                <w:szCs w:val="18"/>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5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Revolver Credit</w:t>
            </w: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Payables</w:t>
            </w: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(April - December)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15,876</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26,666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337,542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acquired 22,666 and 41,811 shares of common stock, respectively, from employees in connection with withholding tax payments related to the vesting of restricted stock for a total consideration of $1,408 and $2,565, respectively. The weighted average purchase price per share of $62.11 and $61.34, respectively, was the average of the high and low price of the Company's share of common stock on the Nasdaq Global Select Market on the trading day prior to the vesting date of the shares of restricted stock.</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2017 through 2019 up to an annual amount of $20,000.</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increased the 2017 authorization from $20,000 to $40,000 and authorizes stock repurchases of up to $40,000 in each of 2018 and 2019.</w:t>
      </w:r>
    </w:p>
    <w:p>
      <w:pPr>
        <w:spacing w:after="0" w:line="22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 Company purchased 239,865 shares of its common stock, for an aggregate purchase price of approximately $14,000, including commissions, representing an average purchase price per share of $58.37 under the 2017 Repurchase Program.</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2018, the Company purchased 182,182 shares of its common stock, for an aggregate purchase price of approximately $10,939, including commissions, representing an average purchase price per share of $60.05 under the 2017 Repurchase Programs.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Board of Directors designates that these shares be retired or used for other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7.8% per annum on these Gratuity Plans for the three months ended March 31, 2019.</w:t>
      </w:r>
    </w:p>
    <w:p>
      <w:pPr>
        <w:spacing w:after="0" w:line="126"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4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January 1, 2019</w:t>
            </w:r>
          </w:p>
        </w:tc>
        <w:tc>
          <w:tcPr>
            <w:tcW w:w="49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w:t>
            </w:r>
          </w:p>
        </w:tc>
        <w:tc>
          <w:tcPr>
            <w:tcW w:w="4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4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March 31, 2019</w:t>
            </w:r>
          </w:p>
        </w:tc>
        <w:tc>
          <w:tcPr>
            <w:tcW w:w="41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180" w:type="dxa"/>
            <w:vAlign w:val="bottom"/>
            <w:vMerge w:val="restart"/>
          </w:tcPr>
          <w:p>
            <w:pPr>
              <w:jc w:val="right"/>
              <w:ind w:right="279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*Benefit payments were substantially made through the plan assets during the three months ended March 31, 2019.</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The Company accrued for contributions to the 401(k) Plans of $1,213 and $1,230 for the three months ended March 31, 2019 and 2018, respectively.</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contributed $2,004 and $1,914, respectively, for various defined contribution plans on behalf of its employees in India, the Philippines, Bulgaria, Romania, the Czech Republic, South Africa, Colombia, and Singapore.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finances its use of certain motor vehicles and other equipment under various lease arrangements provided by financial institutions. The Company conducts its operations using facilities leased under operating lease agreements that expire at various dates.</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its contracts with suppliers in accordance with Topic 842 and has determined that, except for leases for office facilities, motor vehicles and other equipments as described above, none of the Company’s contracts contain a lease.</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7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70"/>
        </w:trPr>
        <w:tc>
          <w:tcPr>
            <w:tcW w:w="8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89,835</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8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22,306</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77,060</w:t>
            </w:r>
          </w:p>
        </w:tc>
      </w:tr>
      <w:tr>
        <w:trPr>
          <w:trHeight w:val="237"/>
        </w:trPr>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99,366</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8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w:t>
            </w: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r>
      <w:tr>
        <w:trPr>
          <w:trHeight w:val="318"/>
        </w:trPr>
        <w:tc>
          <w:tcPr>
            <w:tcW w:w="87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tc>
        <w:tc>
          <w:tcPr>
            <w:tcW w:w="200" w:type="dxa"/>
            <w:vAlign w:val="bottom"/>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870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Operating lease </w:t>
            </w:r>
            <w:r>
              <w:rPr>
                <w:rFonts w:ascii="Times New Roman" w:cs="Times New Roman" w:eastAsia="Times New Roman" w:hAnsi="Times New Roman"/>
                <w:sz w:val="25"/>
                <w:szCs w:val="25"/>
                <w:b w:val="1"/>
                <w:bCs w:val="1"/>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7,017</w:t>
            </w:r>
          </w:p>
        </w:tc>
      </w:tr>
      <w:tr>
        <w:trPr>
          <w:trHeight w:val="269"/>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lease cost for leases classified as such under Topic 840 for the three months ended March 31, 2018 was $6,422.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Includes short-term leases, which are immaterial.</w:t>
      </w:r>
    </w:p>
    <w:p>
      <w:pPr>
        <w:spacing w:after="0" w:line="32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8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t>
            </w: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43"/>
        </w:trPr>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Finance lease</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 years</w:t>
            </w:r>
          </w:p>
        </w:tc>
        <w:tc>
          <w:tcPr>
            <w:tcW w:w="0" w:type="dxa"/>
            <w:vAlign w:val="bottom"/>
          </w:tcPr>
          <w:p>
            <w:pPr>
              <w:spacing w:after="0"/>
              <w:rPr>
                <w:sz w:val="1"/>
                <w:szCs w:val="1"/>
                <w:color w:val="auto"/>
              </w:rPr>
            </w:pPr>
          </w:p>
        </w:tc>
      </w:tr>
      <w:tr>
        <w:trPr>
          <w:trHeight w:val="243"/>
        </w:trPr>
        <w:tc>
          <w:tcPr>
            <w:tcW w:w="8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w:t>
            </w:r>
          </w:p>
        </w:tc>
        <w:tc>
          <w:tcPr>
            <w:tcW w:w="200" w:type="dxa"/>
            <w:vAlign w:val="bottom"/>
          </w:tcPr>
          <w:p>
            <w:pPr>
              <w:spacing w:after="0"/>
              <w:rPr>
                <w:sz w:val="21"/>
                <w:szCs w:val="21"/>
                <w:color w:val="auto"/>
              </w:rPr>
            </w:pP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 years</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Finance lease</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w:t>
            </w:r>
          </w:p>
        </w:tc>
        <w:tc>
          <w:tcPr>
            <w:tcW w:w="20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8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374"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lease liabilities as of March 31, 2019 are as follows: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0" w:type="dxa"/>
            <w:vAlign w:val="bottom"/>
          </w:tcPr>
          <w:p>
            <w:pPr>
              <w:spacing w:after="0"/>
              <w:rPr>
                <w:sz w:val="24"/>
                <w:szCs w:val="24"/>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2019 (April 1 - December 31)</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and thereafter</w:t>
            </w:r>
          </w:p>
        </w:tc>
        <w:tc>
          <w:tcPr>
            <w:tcW w:w="1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Maturities of minimum lease payments as of December 31, 2018 are as follows:</w:t>
            </w: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8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next twelve months ending December 31,</w:t>
            </w:r>
          </w:p>
        </w:tc>
        <w:tc>
          <w:tcPr>
            <w:tcW w:w="26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4"/>
                <w:szCs w:val="24"/>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 Leases</w:t>
            </w:r>
          </w:p>
        </w:tc>
      </w:tr>
      <w:tr>
        <w:trPr>
          <w:trHeight w:val="27"/>
        </w:trPr>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2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(benefit) of $4,200 and $(4,453) for the three months ended March 31, 2019 and 2018, respectively. The effective tax rate increased from (23.7)% during the three months ended March 31, 2018 to 22.1% during the three months ended March 31, 2019 primarily as a result of (i) an adjustment of $4,836 reducing the provisional transition tax on the mandatory deemed repatriation of accumulated earnings and profits ("E&amp;P") of foreign subsidiaries recognized during the three months ended March 31, 2018, and (ii) the recording of excess tax benefits related to stock awards of $4,827 pursuant to ASU No. 2016-09 during the three months ended March 31, 2018 compared to $1,015 during the three months ended March 31,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plans are included in the unaudited consolidated statements of income:</w:t>
      </w:r>
    </w:p>
    <w:p>
      <w:pPr>
        <w:spacing w:after="0" w:line="165"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1,093</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2,250</w:t>
            </w:r>
          </w:p>
        </w:tc>
      </w:tr>
      <w:tr>
        <w:trPr>
          <w:trHeight w:val="27"/>
        </w:trPr>
        <w:tc>
          <w:tcPr>
            <w:tcW w:w="8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2,655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1,731</w:t>
            </w:r>
          </w:p>
        </w:tc>
      </w:tr>
      <w:tr>
        <w:trPr>
          <w:trHeight w:val="23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6,956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5,074</w:t>
            </w:r>
          </w:p>
        </w:tc>
      </w:tr>
      <w:tr>
        <w:trPr>
          <w:trHeight w:val="27"/>
        </w:trPr>
        <w:tc>
          <w:tcPr>
            <w:tcW w:w="8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2019, the Company had 2,671,960 shares available for grant under the 2018 Omnibus Incentive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ectPr>
          <w:pgSz w:w="11900" w:h="16838" w:orient="portrait"/>
          <w:cols w:equalWidth="0" w:num="1">
            <w:col w:w="11420"/>
          </w:cols>
          <w:pgMar w:left="240" w:top="117"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5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5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86"/>
        </w:trPr>
        <w:tc>
          <w:tcPr>
            <w:tcW w:w="560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159,975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Vested and exercisable at March 31, 2019</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159,975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compensation cost for unvested options as of March 31, 2019 was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stock-based compensation plans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40" w:type="dxa"/>
            <w:vAlign w:val="bottom"/>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47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953,578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449,523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1,027,340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right="540" w:firstLine="413"/>
        <w:spacing w:after="0" w:line="283" w:lineRule="auto"/>
        <w:tabs>
          <w:tab w:leader="none" w:pos="527"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March 31, 2019 and December 31, 2018 restricted stock units vested for which the underlying common stock is yet to be issued are 155,753 and 155,753, respectively.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2019, unrecognized compensation cost of $58,948 is expected to be expensed over a weighted average period of 3.11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 based restricted stock unit (the “PRSUs”) activity under the Company’s stock-based compensation plans is shown below:</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47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62.43</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154,415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2019, unrecognized compensation cost of $16,647 is expected to be expensed over a weighted average period of 2.26 years.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7"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Exit Costs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commenced the process of substantially winding down of the operations of the Health Integrated business, which is reported within the Healthcare reportable segment. The Company had previously disclosed in its Annual Report on Form 10-K for the year ended December 31, 2018 filed with the Securities and Exchange Commission (“SEC”) on February 28, 2019, the operating results of this business were significantly below the Company’s estimates and future estimated cash flows are impacted due to loss of customer contracts and cost pressures, and the Company continues to incur losses from this business. The Company anticipates the wind down process to be substantially completed by the end of 2019. The Company is currently in the process of making a determination of (i) the amount or range of amounts of each major type of costs that will be incurred or (ii) the amount or range of amounts of costs that will result in future cash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Disclosures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consulting services to PharmaCord, LLC. One of the Company’s directors, Nitin Sahney, is the member-manager and chief executive officer of PharmaCord, LLC. The Company recognized revenue of $nil and $199 in the three months ended March 31, 2019 and 2018, respectively, for services provided.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2019 and December 31, 2018, the Company had accounts receivable of $nil and $5, respectively, related to these services.</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quarter ended March 31, 2019, the Company reimbursed $35 to The Orogen Group LLC in connection with legal costs.</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had outstanding Notes with a principle amount of $150,000 as of March 31, 2019 and December 31, 2018 and interest accrued of $2,625 and $1,313 as of March 31, 2019 and December 31, 2018, respectively, related to the Investment Agreement. Refer Note 18 to the unaudited consolidated financial statements 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March 31, 2019, the Company has committed to spend approximately $9,552 under agreements to purchase property and equipment. This amount is net of capital advances paid in respect of these purchases.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March 2017, the Company was named as a defendant in a putative class action lawsuit filed in California, which challenged the classification of independent contractors. The parties participated in a mediation in early 2018. As the result of the mediation, a settlement was reached pursuant to which the Company agreed, without admission of wrongdoing, to pay a total of $2,400, of which $1,200 was paid in 2018 and the remainder has been paid during the three months ended March 31, 2019.</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and India, tax year 2015 and subsequent tax years remain open for examination by the tax authorities as of March 31, 2019.</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aggregate amount demanded by Income tax authorities (net of advance payments, if any) from the Company related to its transfer pricing issues for tax years 2003 to 2014 and its permanent establishment issues for tax years 2003 to 2007 as of March 31, 2019 and December 31, 2018 is $17,863 and $18,177, respectively, of which the Company has made payments or provided bank guarantee to the extent $8,244 and $8,171, respectively. Amounts paid as deposits in respect of such assessments aggregating to $6,328 and $6,273 as of March 31, 2019 and December 31, 2018, respectively, are included in “Other assets” and amounts deposited for bank guarantees aggregating to $1,916 and $1,899 as of March 31, 2019 and December 31, 2018, respectively, are included in “Restricted cash” in the non-current assets section of the Company’s unaudited consolidated balance sheets.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2018. Some of the statements in the following discussion are forward looking statements. Dollar amounts within Item 2 are presented as actual, rounded, dollar amounts.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81" w:lineRule="exact"/>
        <w:rPr>
          <w:sz w:val="20"/>
          <w:szCs w:val="20"/>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including in a timely manner;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senior management team;</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entire book value of goodwill and other intangible assets from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decisions regarding repatriation of funds held abroad;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service debt or obtain additional financing on favorable terms;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contracts;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customer data; and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2018. These and other risks could cause actual results to differ materially from those implied by forward-looking statements in this Quarterly Report on Form 10-Q.</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3"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right="580" w:hanging="327"/>
        <w:spacing w:after="0" w:line="261"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our remaining operating segments, including our Banking and Financial services, Utilities and Consulting operating segments).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1, 2018, we completed the acquisition of SCIO pursuant to the Merger Agreement. The acquisition of SCIO is included in the Analytics reportable segment. SCIO is a health analytics solution and services company serving over 100 healthcare organizations representing over 130 million covered lives across the continuum, including providers, health plans, pharmacy benefit managers, employers, health services and global life sciences companies.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22, 2017, we acquired substantially all of the assets and assumed certain liabilities related thereto of Health Integrated. The acquisition of Health Integrated is included in the Healthcare reportable segment. Health Integrated provides dedicated care management services on behalf of health plans. Its services include case management, utilization management, disease management, special needs programs, and multichronic care management. Health Integrated serves lives in the Medicaid, Medicare, and dual eligible populations.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we had revenues of $239.6 million compared to revenues of $207.0 million for the three months ended March 31, 2018, an increase of $32.6 million, or 15.8%.</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serve clients mainly in the U.S. and the U.K., with these two regions generating 81.9% and 12.1%, respectively, of our total revenues for the three months ended March 31, 2019, and 82.7% and 13.5%, respectively, of our revenues for the three months ended March 31, 2018.</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2018, our total revenues from our top ten clients accounted for 38.4% and 39.6%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3"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Operations Management Services: </w:t>
      </w:r>
      <w:r>
        <w:rPr>
          <w:rFonts w:ascii="Times New Roman" w:cs="Times New Roman" w:eastAsia="Times New Roman" w:hAnsi="Times New Roman"/>
          <w:sz w:val="18"/>
          <w:szCs w:val="18"/>
          <w:color w:val="auto"/>
        </w:rPr>
        <w:t>We provide our clients with a range of operations management services principally in the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provides industry-specific digital transformational services.</w:t>
      </w:r>
    </w:p>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Our Analytics services focus on driving improved business outcomes for our customers by generating data-driven insights across all parts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 We actively cross-sell and, where appropriate, integrate our Analytics services with other operations management services as part of a comprehensive offering set for our clients.</w:t>
      </w:r>
    </w:p>
    <w:p>
      <w:pPr>
        <w:spacing w:after="0" w:line="18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3"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2019 and 2018:</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82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196"/>
        </w:trPr>
        <w:tc>
          <w:tcPr>
            <w:tcW w:w="8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7"/>
                <w:szCs w:val="17"/>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w:t>
            </w:r>
          </w:p>
        </w:tc>
      </w:tr>
      <w:tr>
        <w:trPr>
          <w:trHeight w:val="270"/>
        </w:trPr>
        <w:tc>
          <w:tcPr>
            <w:tcW w:w="826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157.3</w:t>
            </w:r>
          </w:p>
        </w:tc>
        <w:tc>
          <w:tcPr>
            <w:tcW w:w="18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138.1</w:t>
            </w:r>
          </w:p>
        </w:tc>
      </w:tr>
      <w:tr>
        <w:trPr>
          <w:trHeight w:val="264"/>
        </w:trPr>
        <w:tc>
          <w:tcPr>
            <w:tcW w:w="826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82.3</w:t>
            </w:r>
          </w:p>
        </w:tc>
        <w:tc>
          <w:tcPr>
            <w:tcW w:w="1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
        </w:trPr>
        <w:tc>
          <w:tcPr>
            <w:tcW w:w="8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16.9</w:t>
            </w:r>
          </w:p>
        </w:tc>
        <w:tc>
          <w:tcPr>
            <w:tcW w:w="1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expense/(benefit) and earnings from equity affiliates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19.0</w:t>
            </w:r>
          </w:p>
        </w:tc>
        <w:tc>
          <w:tcPr>
            <w:tcW w:w="1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9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14.7</w:t>
            </w:r>
          </w:p>
        </w:tc>
        <w:tc>
          <w:tcPr>
            <w:tcW w:w="18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w:t>
            </w:r>
          </w:p>
        </w:tc>
      </w:tr>
      <w:tr>
        <w:trPr>
          <w:trHeight w:val="27"/>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3"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Compared to Three Months Ended March 31, 2018</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three months ended March 31, 2019 and 2018:</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for the three months ended March 31, 2019 were $239.6 million, up $32.6 million, or 15.8%,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$5.1 million was primarily driven by expansion of business from our new and existing clients of $6.4 million. This was partially offset by $1.3 million mainly attributable to the depreciation of the Indian rupee and Australian dollar against the U.S. dollar during the three months ended March 31, 2019 compared to the three months ended March 31, 2018. Insurance revenues were 28.8% and 30.9% of our total revenues in the three months ended March 31, 2019 and March 31, 2018, respectively.</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decline in Healthcare of $2.2 million was primarily driven by lower revenues from our Health Integrated business. Healthcare revenues were 8.6% and 11.0% of our total revenues in the three months ended March 31, 2019 and March 31, 2018, respectively.</w:t>
      </w:r>
    </w:p>
    <w:p>
      <w:pPr>
        <w:spacing w:after="0" w:line="5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Travel, Transportation and Logistics ("TT&amp;L") of $0.1 million was primarily driven by $0.3 million attributable to the depreciation of the Indian rupee and Philippine peso against the U.S. dollar during the three months ended March 31, 2019 compared to the three months ended March 31, 2018. This was partially offset by $0.2 million attributable to expansion of business from our existing clients. TT&amp;L revenues were 7.3% and 8.5% of our total revenues in the three months ended March 31, 2019 and March 31,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Finance and Accounting ("F&amp;A") of $1.7 million was driven by net volume increases from our new and existing clients of $2.4 million. This was partially offset by $0.7 million mainly attributable to the depreciation of the Indian rupee against the U.S. dollar during the three months ended March 31, 2019 compared to the three months ended March 31, 2018. F&amp;A revenues were 10.7% and 11.6% of our total revenues in the three months ended March 31, 2019 and March 31,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All Other of $1.8 million was primarily driven by lower revenues of $0.8 million in our Banking and Financial Services operating segment and $0.3 million in our Consulting operating segment, partially offset by higher revenue of $0.1 million in our Utilities operating segment. Further decline of $0.8 million was due to the depreciation of the Indian rupee against the U.S. dollar and depreciation of U.K. pound sterling against the U.S. dollar. All Other revenues were 8.3% and 10.5% of our total revenues in the three months ended March 31, 2019 and March 31, 2018, respectively.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growth in Analytics of $29.9 million was primarily driven by our acquisition of SCIO in July 2018 contributing $19.1 million. The remaining increase of $11.3 million was attributable to our recurring- and project-based engagements from our new and existing clients. This was partially offset by $0.5 million attributable to the depreciation of the U.K. pound sterling against the U.S. dollar during the three months ended March 31, 2019 compared to the three months ended March 31, 2018. Analytics revenues were 36.3% and 27.6% of our total revenues in the three months ended March 31, 2019 and March 31, 2018,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30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22"/>
                <w:szCs w:val="2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0" w:type="dxa"/>
            <w:vAlign w:val="bottom"/>
            <w:gridSpan w:val="5"/>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cost of revenues was $157.3 million compared to $138.1 million for the three months ended March 31, 2018, an increase of $19.2 million, or 13.9%. Our gross margin for the three months ended March 31, 2019 was 34.4% compared to 33.3% for three months ended March 31, 2018, an increase of 110 basis points (“bps”).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Insurance of $4.3 million was primarily due to an increase in employee-related costs of $5.6 million on account of higher headcount and wage inflation, technology and infrastructure costs of $0.6 million, partially offset by lower other operating costs of $1.0 million and currency movements, net of hedging of $1.0 million. Gross margin in Insurance decreased by 120 bps during the three months ended March 31, 2019 compared to the three months ended March 31, 2018, primarily due to higher operating expenses associated with the initiation of services for new clients.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Healthcare of $0.2 million was primarily due to a decrease in infrastructure costs of $0.3 million and currency movements, net of hedging of $0.2 million, partially offset by higher employee-related costs of $0.3 million. Gross margin in Healthcare decreased by 700 bps during the three months ended March 31, 2019 compared to the three months ended March 31, 2018, primarily due to the impact of our Health Integrated business, lower revenues from existing clients and termination of certain client contracts.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$0.7 million was primarily due to a decrease in infrastructure costs of $0.3 million and currency movements, net of hedging of $0.4 million. Gross margin in TT&amp;L increased by 350 bps during the three months ended March 31, 2019 compared to the three months ended March 31, 2018, primarily due to higher volumes in existing clients.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F&amp;A of $0.4 million was primarily due to a decrease in travel costs of $0.5 million, infrastructure costs of $0.2 million and currency movements, net of hedging of $0.2 million, partially offset by higher employee-related costs of $0.5 million on account of higher headcount and wage inflation. Gross margin in F&amp;A increased by 590 bps during the three months ended March 31, 2019 compared to the three months ended March 31, 2018, primarily due to higher revenues from existing clients and higher margin in existing and new clients.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All Other of $2.6 million was primarily due to a decrease in employee-related costs of $1.3 million, travel and infrastructure costs of $0.8 million and currency movements, net of hedging of $0.5 million. Gross margin in All Other increased by 670 bps during the three months ended March 31, 2019 compared to the three months ended March 31, 2018, primarily due to lower operating costs in Utilities and Consulting operating segments.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Analytics of $18.8 million was primarily due to an increase in employee-related costs of $15.3 million on account of higher headcount and wage inflation, including incremental cost related to our acquisition of SCIO in July 2018 of $10.1 million. The remaining increase was attributable to other operating costs of $4.3 million, partially offset by currency movements, net of hedging of $0.8 million. Gross margin in Analytics increased by 130 bps during the three months ended March 31, 2019 compared to the three months ended March 31, 2018, primarily due to higher gross margin from our SCIO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3"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5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55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SG&amp;A expenses of $7.3 million was primarily due to an increase in employee-related costs of $7.6 million, including incremental costs related to our SCIO acquisition in July 2018 of $3.7 million, investment in new facilities $0.8 million, higher reserve for doubtful debts and other operating expenses of $2.0 million. This was partially offset by the recognition of a claim for litigation settlement of $2.4 million during the three months ended March 31, 2018 and currency movements net of hedging of $0.7 million.</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8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94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intangibles amortization expense of $1.7 million was primarily due to the increase in amortization of intangibles associated with our SCIO acquisition in July 2018. The increase in depreciation expense of $1.5 million was due to depreciation related to our new operating centers commenced during 2018 to support our business growth and depreciation associated with our SCIO acquisition.</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0" w:type="dxa"/>
            <w:vAlign w:val="bottom"/>
            <w:gridSpan w:val="4"/>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we performed an impairment test of our long-lived assets of our Health Integrated business. Based on the results, the long-lived assets carrying value exceeded their fair value. The primary factor contributing to a reduction in the fair value is the commencement of the wind down of the Health Integrated business, and an anticipated reduction to our estimated future cash flows. As a result of this analysis, we recognized a provisional impairment charge of $1.2 million during the three months ended March 31, 2019 to write down the carrying value of internally developed software to its fair value. See Note 8 to our unaudited consolidated financial statements for details.</w:t>
      </w:r>
    </w:p>
    <w:p>
      <w:pPr>
        <w:spacing w:after="0" w:line="180"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$1.7 million, or 11.3%, from $15.2 million for the three months ended March 31,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$16.9 million for the three months ended March 31, 2019. As a percentage of revenues, income from operations decreased from 7.3% for the three months ended March 31, 2018 to 7.0% for the three months ended March 31, 2019.</w:t>
      </w:r>
    </w:p>
    <w:p>
      <w:pPr>
        <w:spacing w:after="0" w:line="279"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three months ended March 31, 2019. The average exchange rate of the U.S. dollar against the Indian rupee increased from 64.64 during the three months</w:t>
      </w:r>
    </w:p>
    <w:p>
      <w:pPr>
        <w:sectPr>
          <w:pgSz w:w="11900" w:h="16838" w:orient="portrait"/>
          <w:cols w:equalWidth="0" w:num="1">
            <w:col w:w="11420"/>
          </w:cols>
          <w:pgMar w:left="240" w:top="333"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ended March 31, 2018 to 70.32 during the three months ended March 31, 2019. The average exchange rate of the U.K. pound sterling against the U.S. dollar decreased from 1.40 during the three months ended March 31, 2018 to 1.32 during the three months ended March 31, 2019. The average exchange rate of the U.S. dollar against the Philippine peso increased from 51.85 during the three months ended March 31, 2018 to 52.11 during the three months ended March 31, 2019.</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$1.3 million for the three months ended March 31, 2019 compared to the net foreign exchange gain of $0.6 million for the three months ended March 31, 2018.</w:t>
      </w:r>
    </w:p>
    <w:p>
      <w:pPr>
        <w:spacing w:after="0" w:line="158"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from $0.5 million for the three months ended March 31, 2018 to $3.6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2019 primarily due to increase in borrowings under our Credit Facility, issuance of convertible notes and higher effective interest rates.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540" w:type="dxa"/>
        <w:tblCellMar>
          <w:top w:w="0" w:type="dxa"/>
          <w:left w:w="0" w:type="dxa"/>
          <w:bottom w:w="0" w:type="dxa"/>
          <w:right w:w="0" w:type="dxa"/>
        </w:tblCellMar>
      </w:tblPr>
      <w:tr>
        <w:trPr>
          <w:trHeight w:val="47"/>
        </w:trPr>
        <w:tc>
          <w:tcPr>
            <w:tcW w:w="46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6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spacing w:after="0"/>
              <w:rPr>
                <w:sz w:val="21"/>
                <w:szCs w:val="21"/>
                <w:color w:val="auto"/>
              </w:rPr>
            </w:pPr>
          </w:p>
        </w:tc>
        <w:tc>
          <w:tcPr>
            <w:tcW w:w="2280" w:type="dxa"/>
            <w:vAlign w:val="bottom"/>
            <w:tcBorders>
              <w:top w:val="single" w:sz="8" w:color="auto"/>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08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net increased by $0.9 million, from $3.5 million for the three months ended March 31, 2018 to $4.4 million for the three months ended March 31, 2019, primarily due to a higher return on our mutual fund investments of $0.4 million and an increase in interest and dividend income of $0.5 million during the three months ended March 31, 2019 compared to three months ended March 31, 2018.</w:t>
      </w:r>
    </w:p>
    <w:p>
      <w:pPr>
        <w:spacing w:after="0" w:line="1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$4.2 million and income tax benefit of $4.5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 respectively. The effective tax rate increased from (23.7%) during the three months ended March 31, 2018 to 22.1% during the three months ended March 31, 2019 primarily as a result of (i) an adjustment of $4.8 million reducing the provisional transition tax on the mandatory deemed repatriation of accumulated earnings and profits ("E&amp;P") of foreign subsidiaries recognized during the three months ended March 31, 2018 (ii) recording of excess tax benefits related to stock awards of $4.8 million pursuant to ASU No. 2016-09 during the three months ended March 31, 2018 compared to $1.0 million during the three months ended March 31, 2019. See Note 22 to our unaudited consolidated financial statements.</w:t>
      </w:r>
    </w:p>
    <w:p>
      <w:pPr>
        <w:spacing w:after="0" w:line="183"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decreased from $23.2 million for the three months ended March 31, 2018 to $14.7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2019, primarily due to higher income tax expense of $8.7 million, higher interest expense of $3.1 million, partially offset by increase in income from operations of $1.7 million, other income, net of $0.9 million and higher foreign exchange gain of $0.7 million. As a percentage of revenues, net income decreased from 11.2% for the three months ended March 31, 2018 to 6.1%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196"/>
        </w:trPr>
        <w:tc>
          <w:tcPr>
            <w:tcW w:w="7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Pr>
          <w:p>
            <w:pPr>
              <w:spacing w:after="0"/>
              <w:rPr>
                <w:sz w:val="17"/>
                <w:szCs w:val="17"/>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for) operating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for) financing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7"/>
        </w:trPr>
        <w:tc>
          <w:tcPr>
            <w:tcW w:w="7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As of March 31, 2019 and 2018, we had $302.7 million and $280.4 million, respectively, in cash, cash equivalents and short-term investments. During the first quarter of 2018, we made an election to change the tax status of most of our controlled foreign corporations ("CFC") to disregarded entities for U.S. income tax purposes. As a result, we no longer have undistributed earnings in connection with our CFCs. The transition tax resulted in previously taxed income ("PTI") which may be subject to withholding taxes and currency gains or losses upon repatriation. We presently do not intend to distribute our PTI and have not recorded any deferred taxes. If, in the future, we change our present intention regarding the distribution of PTI, additional taxes may be required and would be recorded in the period the intention changes.</w:t>
      </w:r>
    </w:p>
    <w:p>
      <w:pPr>
        <w:spacing w:after="0" w:line="186"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were $8.3 million for the three months ended March 31, 2019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used for operating activities of $8.0 million during the three months ended March 31, 2018. Generally, factors that affect our earnings—including pricing, volume of services, costs and productivity—affect our cash flows used or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8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for the three months ended March 31, 2019 was $8.3 million. This comprised of net income plus the net effect of non-cash items, such as depreciation and amortization, stock-based compensation expense, deferred income taxes, impairment charges and others aggregating to $36.0 million. The primary working capital use of cash of $37.7 million during the three months ended March 31, 2019 was driven by an increase in accounts receivables, accrued employee costs, advance income tax and accounts payables. The primary working capital sources of cash of $10.0 million was driven by higher accrued expenses and other liabilities and deferred revenue.</w:t>
      </w:r>
    </w:p>
    <w:p>
      <w:pPr>
        <w:spacing w:after="0" w:line="182"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used for investing activities were $37.2 million for the three months ended March 31, 2019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investing activities of $3.0 million for the three months ended March 31, 2018. The increase is mainly due to net purchase of investments of $26.3 million during the three months ended March 31, 2019 as compared to net proceeds from investments of $10.0 million during the three months ended March 31, 2018, partially offset by lower capital expenditures of $1.8 million during the three months ended March 31, 2019 compared to the three months ended March 31, 2018.</w:t>
      </w:r>
    </w:p>
    <w:p>
      <w:pPr>
        <w:spacing w:after="0" w:line="180"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provided by financing activities were $19.8 million during the three months ended March 31, 2019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used for financing activities of $6.2 million during the three months ended March 31, 2018. The increase in cash flows provided by financing activities was primarily due to higher net borrowings of $28.5 million (net of repayments) under our Credit Facility (as described below in “Financing Arrangements”) during the three months ended March 31, 2019, partially offset by higher purchases of treasury stock by $1.9 million under our share repurchase program during the three months ended March 31, 2019.</w:t>
      </w:r>
    </w:p>
    <w:p>
      <w:pPr>
        <w:spacing w:after="0" w:line="18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new facilities and capital expenditures associated with leasehold improvements to build our facilities, and purchase telecommunications equipment and computer hardware and software in connection with managing client operations. We incurred $10.9 million of capital expenditures in the three months ended March 31, 2019. We expect to incur capital expenditures of between $35.0 million to $40.0 million in 2019, primarily to meet our growth requirements, including additions to our facilities as well as investments in technology applications, product development, digital technology, advanced automation &amp; robotics and infrastructure.</w:t>
      </w:r>
    </w:p>
    <w:p>
      <w:pPr>
        <w:spacing w:after="0" w:line="184"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(see Note 26 to our unaudited consolidated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3"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268"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 $100.0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we exercised our option under the Credit Agreement to increase the commitments by $100.0 million thereby utilizing the entire revolver under the Credit Facility of $300.0 million, to fund the SCIO acquisition. The incremental commitments were made pursuant to (and constitute part of) the existing commitments and shall be subject to the terms and conditions applicable to the existing commitments as set forth in the Credit Agreement.</w:t>
      </w:r>
    </w:p>
    <w:p>
      <w:pPr>
        <w:spacing w:after="0" w:line="18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entered into a second amendment (the “Amendment”) to our Credit Agreement, as amended, among the Company, as borrower, with certain lenders, and Citibank, N.A. as Administrative Agent to, among other things, permit the issuance by us of the convertible notes, and settlement upon maturity or conversion thereof, in accordance with the Investment Agreement, the indenture dated as of October 4, 2018 and the other documents entered into in connection therewith.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to our unaudited consolidated financial statements herein for further details on our debt facilities.</w:t>
      </w:r>
    </w:p>
    <w:p>
      <w:pPr>
        <w:spacing w:after="0" w:line="22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As of March 31, 2019, we had outstanding indebtedness under the credit facility of $186.0 million, of which $20.0 million is expected to be repaid within the next twelve months and is included under “current portion of long-term borrowings” and of which $166.0 million is included under “long-term borrowings” in the unaudited consolidated balance sheets. As of December 31, 2018, we had outstanding indebtedness under the credit facility of $150.0 million, of which $20.0 million was presented under "current portion of long-term borrowings" and the balance of $130.0 million was included under "long-term borrowings" in the unaudited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 2018, we entered into an investment agreement (the “Investment Agreement”) with Orogen Echo LLC (the “Purchaser”), an affiliate of The Orogen Group LLC, relating to the issuance to the Purchaser of $150.0 million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months ended March 31, 2019, we recognized interest expense of $1.3 million.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our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 We may elect to settle conversions of the Notes by paying or delivering, as the case may be, cash, shares of our common stock or a combination of cash and shares of our common stock. We used the proceeds from the issuance of Notes to repay $150.0 million of our outstanding borrowings under the Credit Facility.</w:t>
      </w:r>
    </w:p>
    <w:p>
      <w:pPr>
        <w:spacing w:after="0" w:line="29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3"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resulting effective interest rate for the Notes was 5.75% per annum. The excess of the gross proceeds received over the estimated fair value of the liability component totaling $16.9 million, excluding tax effects,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2019, we had no off-balance sheet arrangements or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March 31, 2019:</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8"/>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4"/>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22"/>
                <w:szCs w:val="22"/>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4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4"/>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128.2</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obligations</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337.6</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r>
      <w:tr>
        <w:trPr>
          <w:trHeight w:val="264"/>
        </w:trPr>
        <w:tc>
          <w:tcPr>
            <w:tcW w:w="428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5"/>
                <w:szCs w:val="25"/>
                <w:color w:val="auto"/>
                <w:vertAlign w:val="superscript"/>
              </w:rPr>
              <w:t>(d)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540.3</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minimum lease payments payable for cancellable and non-cancellable lease period.</w:t>
      </w:r>
    </w:p>
    <w:p>
      <w:pPr>
        <w:spacing w:after="0" w:line="2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estimated payments under the Gratuity Plan.</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on borrowings is calculated based on the interest rate on the outstanding borrowings as of March 31, 2019.</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$0.8 million related to uncertain tax positions, since the extent of the amount and timing of payment is currently not reliably estimable or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14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2—“Recent Accounting Pronouncements” to the unaudited consolidated financial statements contained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3"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2018.</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2019. Based upon that evaluation, the CEO and CFO have concluded that, as of March 31, 2019, our disclosure controls and procedures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making its assessment of the changes in internal control over financial reporting during the three months ended March 31, 2019, our management excluded an evaluation of the disclosure controls and procedures of SCIO which we acquired on July 1, 2018. See Note 9 to the unaudited consolidated financial statements contained herein for details of our acquisition.</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We believe that the disposition of matters currently instituted or asserted will not have a material adverse effect on our unaudited consolidated financial position, results of operations or cash flows. See Note 26 to the unaudited consolidated financial statements contained herein for details regarding certain contingent liabilities.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2018 a number of risks which may materially affect our business, financial condition or results of operations. You should carefully consider the “Risk Factors” set forth in our Annual Report on Form 10-K for the fiscal year ended December 31, 2018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2019, purchases of common stock were as follows: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 1, 2019 through Jan 31, 2019</w:t>
      </w:r>
      <w:r>
        <w:rPr>
          <w:rFonts w:ascii="Times New Roman" w:cs="Times New Roman" w:eastAsia="Times New Roman" w:hAnsi="Times New Roman"/>
          <w:sz w:val="25"/>
          <w:szCs w:val="25"/>
          <w:color w:val="auto"/>
          <w:vertAlign w:val="superscript"/>
        </w:rPr>
        <w:t>(1)</w:t>
      </w:r>
    </w:p>
    <w:p>
      <w:pPr>
        <w:ind w:left="300"/>
        <w:spacing w:after="0"/>
        <w:rPr>
          <w:sz w:val="20"/>
          <w:szCs w:val="20"/>
          <w:color w:val="auto"/>
        </w:rPr>
      </w:pPr>
      <w:r>
        <w:rPr>
          <w:rFonts w:ascii="Times New Roman" w:cs="Times New Roman" w:eastAsia="Times New Roman" w:hAnsi="Times New Roman"/>
          <w:sz w:val="17"/>
          <w:szCs w:val="17"/>
          <w:color w:val="auto"/>
        </w:rPr>
        <w:t>Feb 1, 2019 through Feb 28, 2019</w:t>
      </w:r>
      <w:r>
        <w:rPr>
          <w:rFonts w:ascii="Times New Roman" w:cs="Times New Roman" w:eastAsia="Times New Roman" w:hAnsi="Times New Roman"/>
          <w:sz w:val="24"/>
          <w:szCs w:val="24"/>
          <w:color w:val="auto"/>
          <w:vertAlign w:val="superscript"/>
        </w:rPr>
        <w:t>(1)</w:t>
      </w:r>
    </w:p>
    <w:p>
      <w:pPr>
        <w:ind w:left="300"/>
        <w:spacing w:after="0"/>
        <w:rPr>
          <w:sz w:val="20"/>
          <w:szCs w:val="20"/>
          <w:color w:val="auto"/>
        </w:rPr>
      </w:pPr>
      <w:r>
        <w:rPr>
          <w:rFonts w:ascii="Times New Roman" w:cs="Times New Roman" w:eastAsia="Times New Roman" w:hAnsi="Times New Roman"/>
          <w:sz w:val="18"/>
          <w:szCs w:val="18"/>
          <w:color w:val="auto"/>
        </w:rPr>
        <w:t>Mar 1, 2019 through Mar 31, 2019</w:t>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337"/>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24"/>
                <w:szCs w:val="24"/>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Paid per share</w:t>
            </w:r>
            <w:r>
              <w:rPr>
                <w:rFonts w:ascii="Times New Roman" w:cs="Times New Roman" w:eastAsia="Times New Roman" w:hAnsi="Times New Roman"/>
                <w:sz w:val="25"/>
                <w:szCs w:val="25"/>
                <w:b w:val="1"/>
                <w:bCs w:val="1"/>
                <w:color w:val="auto"/>
                <w:w w:val="95"/>
                <w:vertAlign w:val="superscript"/>
              </w:rPr>
              <w:t>(2)</w:t>
            </w:r>
          </w:p>
        </w:tc>
      </w:tr>
      <w:tr>
        <w:trPr>
          <w:trHeight w:val="253"/>
        </w:trPr>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37"/>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54.67</w:t>
            </w:r>
          </w:p>
        </w:tc>
      </w:tr>
      <w:tr>
        <w:trPr>
          <w:trHeight w:val="270"/>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95,344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62.14</w:t>
            </w:r>
          </w:p>
        </w:tc>
      </w:tr>
      <w:tr>
        <w:trPr>
          <w:trHeight w:val="270"/>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59.79</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262,531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58.69</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-376555</wp:posOffset>
            </wp:positionV>
            <wp:extent cx="69037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37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-728345</wp:posOffset>
            </wp:positionV>
            <wp:extent cx="69037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16"/>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8"/>
                <w:szCs w:val="18"/>
                <w:color w:val="auto"/>
              </w:rPr>
            </w:pPr>
          </w:p>
        </w:tc>
        <w:tc>
          <w:tcPr>
            <w:tcW w:w="17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95,400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34,792,477</w:t>
            </w:r>
          </w:p>
        </w:tc>
      </w:tr>
      <w:tr>
        <w:trPr>
          <w:trHeight w:val="270"/>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77,567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30,000,041</w:t>
            </w:r>
          </w:p>
        </w:tc>
      </w:tr>
      <w:tr>
        <w:trPr>
          <w:trHeight w:val="270"/>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26,000,095</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239,865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3">
            <w:col w:w="3060" w:space="720"/>
            <w:col w:w="3460" w:space="120"/>
            <w:col w:w="4060"/>
          </w:cols>
          <w:pgMar w:left="240" w:top="333" w:right="239" w:bottom="1440" w:gutter="0" w:footer="0" w:header="0"/>
          <w:type w:val="continuous"/>
        </w:sectPr>
      </w:pPr>
    </w:p>
    <w:p>
      <w:pPr>
        <w:ind w:firstLine="413"/>
        <w:spacing w:after="0" w:line="284" w:lineRule="auto"/>
        <w:tabs>
          <w:tab w:leader="none" w:pos="68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22,666 shares of the Company’s common stock acquired by the Company at the price of $62.11 in connection with satisfaction of tax withholding obligations on vested restricted stock.</w:t>
      </w:r>
    </w:p>
    <w:p>
      <w:pPr>
        <w:spacing w:after="0" w:line="50" w:lineRule="exact"/>
        <w:rPr>
          <w:rFonts w:ascii="Times New Roman" w:cs="Times New Roman" w:eastAsia="Times New Roman" w:hAnsi="Times New Roman"/>
          <w:sz w:val="18"/>
          <w:szCs w:val="18"/>
          <w:i w:val="1"/>
          <w:iCs w:val="1"/>
          <w:color w:val="auto"/>
        </w:rPr>
      </w:pPr>
    </w:p>
    <w:p>
      <w:pPr>
        <w:ind w:left="660" w:hanging="247"/>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of high and low price of common stock on the trading day prior to the vesting date of the shares of restricted stock.</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as part of this Quarterly Report on Form 10-Q:</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2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the Company’s Current Report on Form 8-K (File No. 1-33089) filed on October 25,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Fourth Amended and Restated By-Laws of ExlService Holdings, Inc., as in effect on the date hereof (incorporated by reference to Exhibit 3.2</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to the Company’s Current Report on Form 8-K (File No. 1-33089) filed on February 28,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280" w:type="dxa"/>
            <w:vAlign w:val="bottom"/>
            <w:gridSpan w:val="11"/>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Section 302 of the Sarbanes-Oxley Act 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pursuant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280" w:type="dxa"/>
            <w:vAlign w:val="bottom"/>
            <w:gridSpan w:val="11"/>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Certification of the Chief Executive Officer pursuant to Rule 13a-14(b) of the Exchange Act and 18 U.S.C. Section 1350, as adopted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57">
              <w:r>
                <w:rPr>
                  <w:rFonts w:ascii="Times New Roman" w:cs="Times New Roman" w:eastAsia="Times New Roman" w:hAnsi="Times New Roman"/>
                  <w:sz w:val="18"/>
                  <w:szCs w:val="18"/>
                  <w:color w:val="0000FF"/>
                  <w:w w:val="99"/>
                </w:rPr>
                <w:t>to Section 906 of the Sarbanes-Oxley Act of 2002.</w:t>
              </w:r>
            </w:hyperlink>
          </w:p>
        </w:tc>
        <w:tc>
          <w:tcPr>
            <w:tcW w:w="6560" w:type="dxa"/>
            <w:vAlign w:val="bottom"/>
            <w:tcBorders>
              <w:top w:val="single" w:sz="8" w:color="0000FF"/>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58">
              <w:r>
                <w:rPr>
                  <w:rFonts w:ascii="Times New Roman" w:cs="Times New Roman" w:eastAsia="Times New Roman" w:hAnsi="Times New Roman"/>
                  <w:sz w:val="18"/>
                  <w:szCs w:val="18"/>
                  <w:color w:val="0000FF"/>
                  <w:w w:val="99"/>
                </w:rPr>
                <w:t>Certification of the Chief Financial Officer pursuant to Rule 13a-14(b) of the Exchange Act and 18 U.S.C. Section 1350, as adopted pursuant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6740" w:type="dxa"/>
            <w:vAlign w:val="bottom"/>
            <w:gridSpan w:val="5"/>
            <w:vMerge w:val="restart"/>
          </w:tcPr>
          <w:p>
            <w:pPr>
              <w:jc w:val="right"/>
              <w:ind w:right="186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67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3" w:right="3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2019</w:t>
            </w:r>
          </w:p>
        </w:tc>
        <w:tc>
          <w:tcPr>
            <w:tcW w:w="81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94"/>
        </w:trPr>
        <w:tc>
          <w:tcPr>
            <w:tcW w:w="3240" w:type="dxa"/>
            <w:vAlign w:val="bottom"/>
          </w:tcPr>
          <w:p>
            <w:pPr>
              <w:spacing w:after="0"/>
              <w:rPr>
                <w:sz w:val="24"/>
                <w:szCs w:val="24"/>
                <w:color w:val="auto"/>
              </w:rPr>
            </w:pPr>
          </w:p>
        </w:tc>
        <w:tc>
          <w:tcPr>
            <w:tcW w:w="81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r>
      <w:tr>
        <w:trPr>
          <w:trHeight w:val="27"/>
        </w:trPr>
        <w:tc>
          <w:tcPr>
            <w:tcW w:w="3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4"/>
        </w:trPr>
        <w:tc>
          <w:tcPr>
            <w:tcW w:w="3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Vishal Chhibbar</w:t>
            </w:r>
          </w:p>
        </w:tc>
      </w:tr>
      <w:tr>
        <w:trPr>
          <w:trHeight w:val="149"/>
        </w:trPr>
        <w:tc>
          <w:tcPr>
            <w:tcW w:w="3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3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tc>
      </w:tr>
      <w:tr>
        <w:trPr>
          <w:trHeight w:val="685"/>
        </w:trPr>
        <w:tc>
          <w:tcPr>
            <w:tcW w:w="3240" w:type="dxa"/>
            <w:vAlign w:val="bottom"/>
          </w:tcPr>
          <w:p>
            <w:pPr>
              <w:spacing w:after="0"/>
              <w:rPr>
                <w:sz w:val="24"/>
                <w:szCs w:val="24"/>
                <w:color w:val="auto"/>
              </w:rPr>
            </w:pPr>
          </w:p>
        </w:tc>
        <w:tc>
          <w:tcPr>
            <w:tcW w:w="81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1400"/>
          </w:cols>
          <w:pgMar w:left="240" w:top="333" w:right="2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April 30, 2019</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April 30, 2019</w:t>
      </w:r>
      <w:r>
        <w:rPr>
          <w:sz w:val="20"/>
          <w:szCs w:val="20"/>
          <w:color w:val="auto"/>
        </w:rPr>
        <w:tab/>
      </w:r>
      <w:r>
        <w:rPr>
          <w:rFonts w:ascii="Times New Roman" w:cs="Times New Roman" w:eastAsia="Times New Roman" w:hAnsi="Times New Roman"/>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2019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30, 2019</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2019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30,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5" Type="http://schemas.openxmlformats.org/officeDocument/2006/relationships/hyperlink" Target="http://www.sec.gov/Archives/edgar/data/1297989/000119312506214684/dex31.htm" TargetMode="External"/><Relationship Id="rId46" Type="http://schemas.openxmlformats.org/officeDocument/2006/relationships/hyperlink" Target="http://www.sec.gov/Archives/edgar/data/1297989/000114420417011696/v4607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2019-12-28T13:27:49Z</dcterms:created>
  <dcterms:modified xsi:type="dcterms:W3CDTF">2019-12-28T13:27:49Z</dcterms:modified>
</cp:coreProperties>
</file>