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73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3799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PANDIT VIKRAM S</w:t>
              </w:r>
            </w:hyperlink>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ExlService Holdings,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gridSpan w:val="7"/>
          </w:tcPr>
          <w:p>
            <w:pPr>
              <w:ind w:left="60"/>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5"/>
              </w:rPr>
              <w:t>C/O THE OROGEN GROUP LLC</w:t>
            </w:r>
          </w:p>
        </w:tc>
        <w:tc>
          <w:tcPr>
            <w:tcW w:w="1080" w:type="dxa"/>
            <w:vAlign w:val="bottom"/>
          </w:tcPr>
          <w:p>
            <w:pPr>
              <w:spacing w:after="0"/>
              <w:rPr>
                <w:sz w:val="18"/>
                <w:szCs w:val="18"/>
                <w:color w:val="auto"/>
              </w:rPr>
            </w:pPr>
          </w:p>
        </w:tc>
        <w:tc>
          <w:tcPr>
            <w:tcW w:w="1520" w:type="dxa"/>
            <w:vAlign w:val="bottom"/>
            <w:gridSpan w:val="5"/>
          </w:tcPr>
          <w:p>
            <w:pPr>
              <w:ind w:left="260"/>
              <w:spacing w:after="0"/>
              <w:rPr>
                <w:sz w:val="20"/>
                <w:szCs w:val="20"/>
                <w:color w:val="auto"/>
              </w:rPr>
            </w:pPr>
            <w:r>
              <w:rPr>
                <w:rFonts w:ascii="Arial" w:cs="Arial" w:eastAsia="Arial" w:hAnsi="Arial"/>
                <w:sz w:val="17"/>
                <w:szCs w:val="17"/>
                <w:color w:val="0000FF"/>
              </w:rPr>
              <w:t>06/15/2020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5"/>
            <w:vMerge w:val="restart"/>
          </w:tcPr>
          <w:p>
            <w:pPr>
              <w:ind w:left="20"/>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8"/>
            <w:vMerge w:val="restart"/>
          </w:tcPr>
          <w:p>
            <w:pPr>
              <w:jc w:val="center"/>
              <w:ind w:right="61"/>
              <w:spacing w:after="0"/>
              <w:rPr>
                <w:sz w:val="20"/>
                <w:szCs w:val="20"/>
                <w:color w:val="auto"/>
              </w:rPr>
            </w:pPr>
            <w:r>
              <w:rPr>
                <w:rFonts w:ascii="Arial" w:cs="Arial" w:eastAsia="Arial" w:hAnsi="Arial"/>
                <w:sz w:val="13"/>
                <w:szCs w:val="13"/>
                <w:color w:val="auto"/>
                <w:w w:val="98"/>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ind w:left="60"/>
              <w:spacing w:after="0" w:line="115" w:lineRule="exact"/>
              <w:rPr>
                <w:sz w:val="20"/>
                <w:szCs w:val="20"/>
                <w:color w:val="auto"/>
              </w:rPr>
            </w:pPr>
            <w:r>
              <w:rPr>
                <w:rFonts w:ascii="Arial" w:cs="Arial" w:eastAsia="Arial" w:hAnsi="Arial"/>
                <w:sz w:val="13"/>
                <w:szCs w:val="13"/>
                <w:color w:val="auto"/>
              </w:rPr>
              <w:t>Line)</w:t>
            </w: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080" w:type="dxa"/>
            <w:vAlign w:val="bottom"/>
          </w:tcPr>
          <w:p>
            <w:pPr>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8"/>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86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480" w:type="dxa"/>
            <w:vAlign w:val="bottom"/>
          </w:tcPr>
          <w:p>
            <w:pPr>
              <w:jc w:val="center"/>
              <w:ind w:right="203"/>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4"/>
                <w:szCs w:val="14"/>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3"/>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4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0" w:type="dxa"/>
            <w:vAlign w:val="bottom"/>
            <w:tcBorders>
              <w:bottom w:val="single" w:sz="8" w:color="2C2C2C"/>
            </w:tcBorders>
            <w:gridSpan w:val="11"/>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7"/>
          </w:tcPr>
          <w:p>
            <w:pPr>
              <w:jc w:val="center"/>
              <w:ind w:left="97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gridSpan w:val="14"/>
          </w:tcPr>
          <w:p>
            <w:pPr>
              <w:jc w:val="center"/>
              <w:ind w:left="59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2"/>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5"/>
              </w:rPr>
              <w:t>(A)(D)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3"/>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640" w:type="dxa"/>
            <w:vAlign w:val="bottom"/>
          </w:tcPr>
          <w:p>
            <w:pPr>
              <w:ind w:left="10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3"/>
            <w:vMerge w:val="restart"/>
          </w:tcPr>
          <w:p>
            <w:pPr>
              <w:ind w:left="40"/>
              <w:spacing w:after="0"/>
              <w:rPr>
                <w:sz w:val="20"/>
                <w:szCs w:val="20"/>
                <w:color w:val="auto"/>
              </w:rPr>
            </w:pPr>
            <w:r>
              <w:rPr>
                <w:rFonts w:ascii="Arial" w:cs="Arial" w:eastAsia="Arial" w:hAnsi="Arial"/>
                <w:sz w:val="17"/>
                <w:szCs w:val="17"/>
                <w:color w:val="0000FF"/>
              </w:rPr>
              <w:t>2,363</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4"/>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06/15/2020</w:t>
            </w: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2,363</w:t>
            </w:r>
          </w:p>
        </w:tc>
        <w:tc>
          <w:tcPr>
            <w:tcW w:w="2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par value</w:t>
            </w:r>
          </w:p>
        </w:tc>
        <w:tc>
          <w:tcPr>
            <w:tcW w:w="5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0000FF"/>
              </w:rPr>
              <w:t>5,358</w:t>
            </w:r>
          </w:p>
        </w:tc>
        <w:tc>
          <w:tcPr>
            <w:tcW w:w="920" w:type="dxa"/>
            <w:vAlign w:val="bottom"/>
            <w:vMerge w:val="restart"/>
          </w:tcPr>
          <w:p>
            <w:pPr>
              <w:ind w:left="500"/>
              <w:spacing w:after="0"/>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40" w:type="dxa"/>
            <w:vAlign w:val="bottom"/>
            <w:gridSpan w:val="4"/>
            <w:vMerge w:val="restart"/>
          </w:tcPr>
          <w:p>
            <w:pPr>
              <w:ind w:left="40"/>
              <w:spacing w:after="0" w:line="155"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2"/>
          </w:tcPr>
          <w:p>
            <w:pPr>
              <w:ind w:left="60"/>
              <w:spacing w:after="0" w:line="82" w:lineRule="exact"/>
              <w:rPr>
                <w:sz w:val="20"/>
                <w:szCs w:val="20"/>
                <w:color w:val="auto"/>
              </w:rPr>
            </w:pPr>
            <w:r>
              <w:rPr>
                <w:rFonts w:ascii="Arial" w:cs="Arial" w:eastAsia="Arial" w:hAnsi="Arial"/>
                <w:sz w:val="9"/>
                <w:szCs w:val="9"/>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ind w:left="100"/>
              <w:spacing w:after="0" w:line="82" w:lineRule="exact"/>
              <w:rPr>
                <w:sz w:val="20"/>
                <w:szCs w:val="20"/>
                <w:color w:val="auto"/>
              </w:rPr>
            </w:pPr>
            <w:r>
              <w:rPr>
                <w:rFonts w:ascii="Arial" w:cs="Arial" w:eastAsia="Arial" w:hAnsi="Arial"/>
                <w:sz w:val="9"/>
                <w:szCs w:val="9"/>
                <w:color w:val="0000FF"/>
              </w:rPr>
              <w:t>$0.001</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5"/>
          </w:tcPr>
          <w:p>
            <w:pPr>
              <w:ind w:left="60"/>
              <w:spacing w:after="0" w:line="234"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4"/>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PANDIT VIKRAM S</w:t>
              </w:r>
            </w:hyperlink>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4"/>
          </w:tcPr>
          <w:p>
            <w:pPr>
              <w:ind w:left="20"/>
              <w:spacing w:after="0"/>
              <w:rPr>
                <w:sz w:val="20"/>
                <w:szCs w:val="20"/>
                <w:color w:val="auto"/>
              </w:rPr>
            </w:pPr>
            <w:r>
              <w:rPr>
                <w:rFonts w:ascii="Arial" w:cs="Arial" w:eastAsia="Arial" w:hAnsi="Arial"/>
                <w:sz w:val="17"/>
                <w:szCs w:val="17"/>
                <w:color w:val="0000FF"/>
                <w:w w:val="95"/>
              </w:rPr>
              <w:t>C/O THE OROGEN GROUP LLC</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5"/>
          </w:tcPr>
          <w:p>
            <w:pPr>
              <w:ind w:left="20"/>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360"/>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4"/>
          </w:tcPr>
          <w:p>
            <w:pPr>
              <w:ind w:left="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Orogen Echo LLC</w:t>
              </w:r>
            </w:hyperlink>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4"/>
          </w:tcPr>
          <w:p>
            <w:pPr>
              <w:ind w:left="20"/>
              <w:spacing w:after="0"/>
              <w:rPr>
                <w:sz w:val="20"/>
                <w:szCs w:val="20"/>
                <w:color w:val="auto"/>
              </w:rPr>
            </w:pPr>
            <w:r>
              <w:rPr>
                <w:rFonts w:ascii="Arial" w:cs="Arial" w:eastAsia="Arial" w:hAnsi="Arial"/>
                <w:sz w:val="17"/>
                <w:szCs w:val="17"/>
                <w:color w:val="0000FF"/>
                <w:w w:val="95"/>
              </w:rPr>
              <w:t>C/O THE OROGEN GROUP LLC</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5"/>
          </w:tcPr>
          <w:p>
            <w:pPr>
              <w:ind w:left="20"/>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360"/>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4"/>
          </w:tcPr>
          <w:p>
            <w:pPr>
              <w:ind w:left="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Orogen Group LLC</w:t>
              </w:r>
            </w:hyperlink>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-7204710</wp:posOffset>
            </wp:positionV>
            <wp:extent cx="7033895" cy="765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3895" cy="765429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THE OROGEN GROUP LLC</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ROCKEFELLER PLAZA, SUITE 2416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101600</wp:posOffset>
            </wp:positionV>
            <wp:extent cx="26517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51760" cy="16510"/>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4"/>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8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320" w:type="dxa"/>
            <w:vAlign w:val="bottom"/>
          </w:tcPr>
          <w:p>
            <w:pPr>
              <w:ind w:left="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8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Orogen Holdings LLC</w:t>
              </w:r>
            </w:hyperlink>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6"/>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2"/>
          </w:tcPr>
          <w:p>
            <w:pPr>
              <w:ind w:left="20"/>
              <w:spacing w:after="0"/>
              <w:rPr>
                <w:sz w:val="20"/>
                <w:szCs w:val="20"/>
                <w:color w:val="auto"/>
              </w:rPr>
            </w:pPr>
            <w:r>
              <w:rPr>
                <w:rFonts w:ascii="Arial" w:cs="Arial" w:eastAsia="Arial" w:hAnsi="Arial"/>
                <w:sz w:val="17"/>
                <w:szCs w:val="17"/>
                <w:color w:val="0000FF"/>
              </w:rPr>
              <w:t>C/O THE OROGEN GROUP LLC</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280" w:type="dxa"/>
            <w:vAlign w:val="bottom"/>
            <w:gridSpan w:val="4"/>
          </w:tcPr>
          <w:p>
            <w:pPr>
              <w:ind w:left="20"/>
              <w:spacing w:after="0"/>
              <w:rPr>
                <w:sz w:val="20"/>
                <w:szCs w:val="20"/>
                <w:color w:val="auto"/>
              </w:rPr>
            </w:pPr>
            <w:r>
              <w:rPr>
                <w:rFonts w:ascii="Arial" w:cs="Arial" w:eastAsia="Arial" w:hAnsi="Arial"/>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320" w:type="dxa"/>
            <w:vAlign w:val="bottom"/>
          </w:tcPr>
          <w:p>
            <w:pPr>
              <w:ind w:left="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280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1"/>
                <w:szCs w:val="21"/>
                <w:u w:val="single" w:color="auto"/>
                <w:color w:val="0000EE"/>
                <w:w w:val="95"/>
              </w:rPr>
            </w:pPr>
            <w:hyperlink r:id="rId20">
              <w:r>
                <w:rPr>
                  <w:rFonts w:ascii="Arial" w:cs="Arial" w:eastAsia="Arial" w:hAnsi="Arial"/>
                  <w:sz w:val="21"/>
                  <w:szCs w:val="21"/>
                  <w:u w:val="single" w:color="auto"/>
                  <w:color w:val="0000EE"/>
                  <w:w w:val="95"/>
                </w:rPr>
                <w:t>Atairos-Orogen Holdings, LLC</w:t>
              </w:r>
            </w:hyperlink>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6"/>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w w:val="93"/>
              </w:rPr>
              <w:t>40 MORRIS ROAD</w:t>
            </w:r>
          </w:p>
        </w:tc>
        <w:tc>
          <w:tcPr>
            <w:tcW w:w="1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0"/>
        </w:trPr>
        <w:tc>
          <w:tcPr>
            <w:tcW w:w="80" w:type="dxa"/>
            <w:vAlign w:val="bottom"/>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280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1"/>
                <w:szCs w:val="21"/>
                <w:color w:val="0000EE"/>
              </w:rPr>
            </w:pPr>
            <w:hyperlink r:id="rId21">
              <w:r>
                <w:rPr>
                  <w:rFonts w:ascii="Arial" w:cs="Arial" w:eastAsia="Arial" w:hAnsi="Arial"/>
                  <w:sz w:val="21"/>
                  <w:szCs w:val="21"/>
                  <w:u w:val="single" w:color="auto"/>
                  <w:color w:val="0000EE"/>
                </w:rPr>
                <w:t>Atairos Group, Inc</w:t>
              </w:r>
              <w:r>
                <w:rPr>
                  <w:rFonts w:ascii="Arial" w:cs="Arial" w:eastAsia="Arial" w:hAnsi="Arial"/>
                  <w:sz w:val="21"/>
                  <w:szCs w:val="21"/>
                  <w:color w:val="0000EE"/>
                </w:rPr>
                <w:t>.</w:t>
              </w:r>
            </w:hyperlink>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6"/>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2"/>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w w:val="93"/>
              </w:rPr>
              <w:t>40 MORRIS ROAD</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280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1"/>
                <w:szCs w:val="21"/>
                <w:color w:val="0000EE"/>
              </w:rPr>
            </w:pPr>
            <w:hyperlink r:id="rId22">
              <w:r>
                <w:rPr>
                  <w:rFonts w:ascii="Arial" w:cs="Arial" w:eastAsia="Arial" w:hAnsi="Arial"/>
                  <w:sz w:val="21"/>
                  <w:szCs w:val="21"/>
                  <w:u w:val="single" w:color="auto"/>
                  <w:color w:val="0000EE"/>
                </w:rPr>
                <w:t>Atairos Partners, L.P</w:t>
              </w:r>
              <w:r>
                <w:rPr>
                  <w:rFonts w:ascii="Arial" w:cs="Arial" w:eastAsia="Arial" w:hAnsi="Arial"/>
                  <w:sz w:val="21"/>
                  <w:szCs w:val="21"/>
                  <w:color w:val="0000EE"/>
                </w:rPr>
                <w:t>.</w:t>
              </w:r>
            </w:hyperlink>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6"/>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2"/>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w w:val="93"/>
              </w:rPr>
              <w:t>40 MORRIS ROAD</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280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Atairos Partners GP, Inc.</w:t>
              </w:r>
            </w:hyperlink>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6"/>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2"/>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w w:val="93"/>
              </w:rPr>
              <w:t>40 MORRIS ROAD</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280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2720" w:type="dxa"/>
            <w:vAlign w:val="bottom"/>
            <w:gridSpan w:val="2"/>
          </w:tcPr>
          <w:p>
            <w:pPr>
              <w:ind w:left="2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Angelakis Michael J</w:t>
              </w:r>
            </w:hyperlink>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6"/>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5"/>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278257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782570" cy="1052639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-9350375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-9358630</wp:posOffset>
            </wp:positionV>
            <wp:extent cx="825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-9097645</wp:posOffset>
            </wp:positionV>
            <wp:extent cx="2766060" cy="9930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2766060" cy="9930765"/>
                    </a:xfrm>
                    <a:prstGeom prst="rect">
                      <a:avLst/>
                    </a:prstGeom>
                    <a:noFill/>
                  </pic:spPr>
                </pic:pic>
              </a:graphicData>
            </a:graphic>
          </wp:anchor>
        </w:drawing>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ATAIROS MANAGEMENT, L.P.</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101600</wp:posOffset>
            </wp:positionV>
            <wp:extent cx="26517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651760" cy="16510"/>
                    </a:xfrm>
                    <a:prstGeom prst="rect">
                      <a:avLst/>
                    </a:prstGeom>
                    <a:noFill/>
                  </pic:spPr>
                </pic:pic>
              </a:graphicData>
            </a:graphic>
          </wp:anchor>
        </w:drawing>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40" w:right="1440" w:bottom="0" w:gutter="0" w:footer="0" w:header="0"/>
        </w:sectPr>
      </w:pPr>
    </w:p>
    <w:p>
      <w:pPr>
        <w:spacing w:after="0" w:line="22"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BRYN MAWR</w:t>
      </w:r>
      <w:r>
        <w:rPr>
          <w:sz w:val="20"/>
          <w:szCs w:val="20"/>
          <w:color w:val="auto"/>
        </w:rPr>
        <w:tab/>
      </w:r>
      <w:r>
        <w:rPr>
          <w:rFonts w:ascii="Arial" w:cs="Arial" w:eastAsia="Arial" w:hAnsi="Arial"/>
          <w:sz w:val="17"/>
          <w:szCs w:val="17"/>
          <w:color w:val="0000FF"/>
        </w:rPr>
        <w:t>PA</w:t>
      </w:r>
      <w:r>
        <w:rPr>
          <w:sz w:val="20"/>
          <w:szCs w:val="20"/>
          <w:color w:val="auto"/>
        </w:rPr>
        <w:tab/>
      </w:r>
      <w:r>
        <w:rPr>
          <w:rFonts w:ascii="Arial" w:cs="Arial" w:eastAsia="Arial" w:hAnsi="Arial"/>
          <w:sz w:val="15"/>
          <w:szCs w:val="15"/>
          <w:color w:val="0000FF"/>
        </w:rPr>
        <w:t>19010</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2782570" cy="269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782570" cy="26924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20" w:hanging="119"/>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common stock ("Common Stock") of ExlService Holdings, Inc. (the "Issuer") upon settlement.</w:t>
      </w:r>
    </w:p>
    <w:p>
      <w:pPr>
        <w:spacing w:after="0" w:line="43" w:lineRule="exact"/>
        <w:rPr>
          <w:rFonts w:ascii="Arial" w:cs="Arial" w:eastAsia="Arial" w:hAnsi="Arial"/>
          <w:sz w:val="13"/>
          <w:szCs w:val="13"/>
          <w:color w:val="008000"/>
        </w:rPr>
      </w:pPr>
    </w:p>
    <w:p>
      <w:pPr>
        <w:jc w:val="both"/>
        <w:ind w:firstLine="1"/>
        <w:spacing w:after="0" w:line="290"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5" w:lineRule="exact"/>
        <w:rPr>
          <w:rFonts w:ascii="Arial" w:cs="Arial" w:eastAsia="Arial" w:hAnsi="Arial"/>
          <w:sz w:val="11"/>
          <w:szCs w:val="11"/>
          <w:color w:val="008000"/>
        </w:rPr>
      </w:pPr>
    </w:p>
    <w:p>
      <w:pPr>
        <w:ind w:right="140" w:firstLine="1"/>
        <w:spacing w:after="0" w:line="235"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Pandit serves on the Board and is the Chairman and Chief Executive Officer of Orogen Echo LLC ("OE"). Orogen Holdings LLC and Atairos-Orogen Holdings, LLC are the sole members with joint investment control of The Orogen Group LLC ("Orogen"),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31" w:lineRule="exact"/>
        <w:rPr>
          <w:rFonts w:ascii="Arial" w:cs="Arial" w:eastAsia="Arial" w:hAnsi="Arial"/>
          <w:sz w:val="13"/>
          <w:szCs w:val="13"/>
          <w:color w:val="008000"/>
        </w:rPr>
      </w:pPr>
    </w:p>
    <w:p>
      <w:pPr>
        <w:ind w:right="40" w:firstLine="1"/>
        <w:spacing w:after="0" w:line="288"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40"/>
          </w:cols>
          <w:pgMar w:left="500" w:top="306"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-12065</wp:posOffset>
            </wp:positionV>
            <wp:extent cx="854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8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193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28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10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2071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40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30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45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270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99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06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270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87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36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President ,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284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-12065</wp:posOffset>
            </wp:positionV>
            <wp:extent cx="1163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950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4"/>
          <w:szCs w:val="14"/>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337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830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43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-9525</wp:posOffset>
            </wp:positionV>
            <wp:extent cx="1205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1976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1220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042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57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083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-9525</wp:posOffset>
            </wp:positionV>
            <wp:extent cx="127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0000FF"/>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8680" w:space="80"/>
            <w:col w:w="2080"/>
          </w:cols>
          <w:pgMar w:left="500" w:top="306" w:right="55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Michael J. Angelakis</w:t>
            </w:r>
          </w:p>
        </w:tc>
        <w:tc>
          <w:tcPr>
            <w:tcW w:w="5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06/17/2020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3"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306"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3" Type="http://schemas.openxmlformats.org/officeDocument/2006/relationships/hyperlink" Target="http://www.sec.gov/cgi-bin/browse-edgar?action=getcompany&amp;CIK=0001183417" TargetMode="External"/><Relationship Id="rId14" Type="http://schemas.openxmlformats.org/officeDocument/2006/relationships/hyperlink" Target="http://www.sec.gov/cgi-bin/browse-edgar?action=getcompany&amp;CIK=0001297989" TargetMode="External"/><Relationship Id="rId15" Type="http://schemas.openxmlformats.org/officeDocument/2006/relationships/hyperlink" Target="http://www.sec.gov/cgi-bin/browse-edgar?action=getcompany&amp;CIK=0001754751" TargetMode="External"/><Relationship Id="rId16" Type="http://schemas.openxmlformats.org/officeDocument/2006/relationships/hyperlink" Target="http://www.sec.gov/cgi-bin/browse-edgar?action=getcompany&amp;CIK=0001705509" TargetMode="External"/><Relationship Id="rId19" Type="http://schemas.openxmlformats.org/officeDocument/2006/relationships/hyperlink" Target="http://www.sec.gov/cgi-bin/browse-edgar?action=getcompany&amp;CIK=0001705500" TargetMode="External"/><Relationship Id="rId20" Type="http://schemas.openxmlformats.org/officeDocument/2006/relationships/hyperlink" Target="http://www.sec.gov/cgi-bin/browse-edgar?action=getcompany&amp;CIK=0001705610" TargetMode="External"/><Relationship Id="rId21" Type="http://schemas.openxmlformats.org/officeDocument/2006/relationships/hyperlink" Target="http://www.sec.gov/cgi-bin/browse-edgar?action=getcompany&amp;CIK=0001671122" TargetMode="External"/><Relationship Id="rId22" Type="http://schemas.openxmlformats.org/officeDocument/2006/relationships/hyperlink" Target="http://www.sec.gov/cgi-bin/browse-edgar?action=getcompany&amp;CIK=0001671185" TargetMode="External"/><Relationship Id="rId23" Type="http://schemas.openxmlformats.org/officeDocument/2006/relationships/hyperlink" Target="http://www.sec.gov/cgi-bin/browse-edgar?action=getcompany&amp;CIK=0001671176" TargetMode="External"/><Relationship Id="rId24"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2020-06-17T16:38:45Z</dcterms:created>
  <dcterms:modified xsi:type="dcterms:W3CDTF">2020-06-17T16:38:45Z</dcterms:modified>
</cp:coreProperties>
</file>