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22, 2022</w:t>
      </w:r>
    </w:p>
    <w:p>
      <w:pPr>
        <w:spacing w:after="0" w:line="158"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Registration No. 333-________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320 Park Avenue, 29</w:t>
            </w:r>
            <w:r>
              <w:rPr>
                <w:rFonts w:ascii="Times New Roman" w:cs="Times New Roman" w:eastAsia="Times New Roman" w:hAnsi="Times New Roman"/>
                <w:sz w:val="15"/>
                <w:szCs w:val="15"/>
                <w:b w:val="1"/>
                <w:bCs w:val="1"/>
                <w:color w:val="auto"/>
                <w:w w:val="99"/>
              </w:rPr>
              <w:t>th</w:t>
            </w:r>
            <w:r>
              <w:rPr>
                <w:rFonts w:ascii="Times New Roman" w:cs="Times New Roman" w:eastAsia="Times New Roman" w:hAnsi="Times New Roman"/>
                <w:sz w:val="18"/>
                <w:szCs w:val="18"/>
                <w:b w:val="1"/>
                <w:bCs w:val="1"/>
                <w:color w:val="auto"/>
                <w:w w:val="99"/>
              </w:rPr>
              <w:t xml:space="preserve"> Floor</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 2022 Employee Stock Purchase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Ajay Ayyappan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320 Park Avenue, 29</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Rakesh Gopalan,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Older,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McGuireWoods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N. Tryon St., Suite 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Charlotte, NC 28202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(704) 343-2000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168910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ExlService Holdings, Inc. (the “Company” or “registrant”) has prepared this Registration Statement in accordance with the requirements of Form S-8 under the Securities Act of 1933, as amended (the “Securities Act”), to register 800,000 shares of its common stock, par value $0.001 per share (“Common Stock”), that are reserved for issuance upon exercise of options granted, or in respect of awards to be granted, under the ExlService Holdings, Inc. 2022 Employee Stock Purchase Plan (the “Plan”). The Plan was adopted by the board of directors of the Company on April 13, 2022 and approved by the stockholders of the Company on June 21, 2022.</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in the Plan as specified by Rule 428(b)(1) under the Securities Act. Such documents are not required to be, and are not, being filed with the Securities and Exchange Commission, either as part of the Registration Statement or as prospectuses or prospectus supplements pursuant to Rule 424 under the Securities Act. These documents, and the documents incorporated by reference into this Registration Statement pursuant to Item 3 of Part II of the Form S-8, taken together, constitute a prospectus that meets the requirements of Section 10(a) of the Securities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Company Information and Employee Plan Annual Information.</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will furnish without charge to each person to whom the prospectus is delivered, upon the written or oral request of such person, a copy of any and all of the documents incorporated by reference in Item 3 of Part II of this Registration Statement, other than exhibits to such documents (unless such exhibits are specifically incorporated by reference to the information that is incorporated). Those documents are incorporated by reference in the Section 10(a) prospectus. Requests should be directed to ExlService Holdings, Inc., 320 Park Avenue, 29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 Attention: General Counsel; Telephone number (212) 277-7100.</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7"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registration statement to “we,” “us,” “our,” and the “Company,” or similar references, refer to ExlService Holdings, Inc., unless otherwise stated or the context otherwise requires.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by the Company with the Commission, are incorporated in this Registration Statement by reference:</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Commission on </w:t>
      </w:r>
      <w:hyperlink r:id="rId20">
        <w:r>
          <w:rPr>
            <w:rFonts w:ascii="Times New Roman" w:cs="Times New Roman" w:eastAsia="Times New Roman" w:hAnsi="Times New Roman"/>
            <w:sz w:val="18"/>
            <w:szCs w:val="18"/>
            <w:u w:val="single" w:color="auto"/>
            <w:color w:val="0000EE"/>
          </w:rPr>
          <w:t>April 20,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May 12,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June 22,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Company’s common stock contained in its registration statement filed pursuant to Section 12 of the Exchange Act and all amendments and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Company (other than any portion of such filings that are furnished under applicable SEC rules rather than filed) pursuant to Sections 13(a), 13(c), 14 and 15(d) of the Securities Exchange Act of 1934, as amended, after the date hereof and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80" w:lineRule="exact"/>
        <w:rPr>
          <w:rFonts w:ascii="Times New Roman" w:cs="Times New Roman" w:eastAsia="Times New Roman" w:hAnsi="Times New Roman"/>
          <w:sz w:val="18"/>
          <w:szCs w:val="18"/>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ectPr>
          <w:pgSz w:w="11900" w:h="16838" w:orient="portrait"/>
          <w:cols w:equalWidth="0" w:num="1">
            <w:col w:w="10980"/>
          </w:cols>
          <w:pgMar w:left="440" w:top="26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 Description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145(a) of the Delaware General Corporation Law, or the DGCL, provides, in general, that a corporation has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such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has the power to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any other enterprise,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8"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and amended and restated bylaws provide that the Company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the Company refers to as a proceeding, by reason of the fact that he or she, or a person for whom he or she is the legal representative, is or was a director or officer of the Company or, while a director or officer of the Company, is or was serving at the request of the Company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the Company shall be required to indemnify a person in connection with a proceeding (or part thereof) initiated by such person only if the commencement of such proceeding (or part thereof) was authorized by the board of directors.</w:t>
      </w:r>
    </w:p>
    <w:p>
      <w:pPr>
        <w:spacing w:after="0" w:line="188"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limits the personal liability of its directors to the fullest extent permitted by section 102 of the DGCL.</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ectPr>
          <w:pgSz w:w="11900" w:h="16838" w:orient="portrait"/>
          <w:cols w:equalWidth="0" w:num="1">
            <w:col w:w="11000"/>
          </w:cols>
          <w:pgMar w:left="440" w:top="266" w:right="459" w:bottom="1440" w:gutter="0" w:footer="0" w:header="0"/>
        </w:sectPr>
      </w:pPr>
    </w:p>
    <w:bookmarkStart w:id="3" w:name="page4"/>
    <w:bookmarkEnd w:id="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maintains directors’ and officers’ liability insurance for its officers and directors.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Exhibits listed on the Exhibit Index of this Registration Statement are filed herewith or are incorporated herein by reference to other filings.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900" w:type="dxa"/>
            <w:vAlign w:val="bottom"/>
            <w:gridSpan w:val="1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6"/>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00" w:type="dxa"/>
            <w:vAlign w:val="bottom"/>
            <w:gridSpan w:val="13"/>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2"/>
                <w:szCs w:val="22"/>
                <w:color w:val="auto"/>
              </w:rPr>
            </w:pPr>
          </w:p>
        </w:tc>
        <w:tc>
          <w:tcPr>
            <w:tcW w:w="37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Amended and Restated Certificate of Incorporation</w:t>
              </w:r>
            </w:hyperlink>
          </w:p>
        </w:tc>
        <w:tc>
          <w:tcPr>
            <w:tcW w:w="780" w:type="dxa"/>
            <w:vAlign w:val="bottom"/>
            <w:gridSpan w:val="6"/>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1-33089</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October 25, 2006</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38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Certificate of Amendment to Amended and Restated</w:t>
              </w:r>
            </w:hyperlink>
          </w:p>
        </w:tc>
        <w:tc>
          <w:tcPr>
            <w:tcW w:w="80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16"/>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Certificate of Incorporation</w:t>
              </w:r>
            </w:hyperlink>
          </w:p>
        </w:tc>
        <w:tc>
          <w:tcPr>
            <w:tcW w:w="14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DEF 14-A</w:t>
            </w:r>
          </w:p>
        </w:tc>
        <w:tc>
          <w:tcPr>
            <w:tcW w:w="9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1-33089</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Annex A</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April 26, 2019</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2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Fifth Amended and Restated By-laws</w:t>
              </w:r>
            </w:hyperlink>
          </w:p>
        </w:tc>
        <w:tc>
          <w:tcPr>
            <w:tcW w:w="1880" w:type="dxa"/>
            <w:vAlign w:val="bottom"/>
            <w:gridSpan w:val="10"/>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1-33089</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19, 2019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41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Opinion of McGuireWoods LLP regarding legality of the</w:t>
            </w:r>
          </w:p>
        </w:tc>
        <w:tc>
          <w:tcPr>
            <w:tcW w:w="460" w:type="dxa"/>
            <w:vAlign w:val="bottom"/>
            <w:gridSpan w:val="4"/>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being registered hereby</w:t>
            </w:r>
          </w:p>
        </w:tc>
        <w:tc>
          <w:tcPr>
            <w:tcW w:w="2180" w:type="dxa"/>
            <w:vAlign w:val="bottom"/>
            <w:gridSpan w:val="11"/>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4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Deloitte &amp; Touche LLP</w:t>
            </w:r>
          </w:p>
        </w:tc>
        <w:tc>
          <w:tcPr>
            <w:tcW w:w="24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24"/>
                <w:szCs w:val="24"/>
                <w:color w:val="auto"/>
              </w:rPr>
            </w:pPr>
          </w:p>
        </w:tc>
        <w:tc>
          <w:tcPr>
            <w:tcW w:w="4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Consent of McGuireWoods LLP (included in Exhibit 5.1 to</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this Registration Statement on Form S-8)</w:t>
            </w:r>
          </w:p>
        </w:tc>
        <w:tc>
          <w:tcPr>
            <w:tcW w:w="32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24"/>
                <w:szCs w:val="24"/>
                <w:color w:val="auto"/>
              </w:rPr>
            </w:pPr>
          </w:p>
        </w:tc>
        <w:tc>
          <w:tcPr>
            <w:tcW w:w="4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4600" w:type="dxa"/>
            <w:vAlign w:val="bottom"/>
            <w:gridSpan w:val="16"/>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ExlService Holding, Inc. 2022 Employee Stock Purchase</w:t>
              </w:r>
            </w:hyperlink>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Plan</w:t>
              </w:r>
            </w:hyperlink>
          </w:p>
        </w:tc>
        <w:tc>
          <w:tcPr>
            <w:tcW w:w="480" w:type="dxa"/>
            <w:vAlign w:val="bottom"/>
            <w:gridSpan w:val="5"/>
          </w:tcPr>
          <w:p>
            <w:pPr>
              <w:spacing w:after="0"/>
              <w:rPr>
                <w:sz w:val="17"/>
                <w:szCs w:val="17"/>
                <w:color w:val="auto"/>
              </w:rPr>
            </w:pPr>
          </w:p>
        </w:tc>
        <w:tc>
          <w:tcPr>
            <w:tcW w:w="14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9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1-33089</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June 22, 2022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20" w:type="dxa"/>
            <w:vAlign w:val="bottom"/>
            <w:gridSpan w:val="1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4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344" w:hanging="344"/>
        <w:spacing w:after="0"/>
        <w:tabs>
          <w:tab w:leader="none" w:pos="3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79"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31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1024"/>
          </w:cols>
          <w:pgMar w:left="436" w:top="270" w:right="439" w:bottom="1440" w:gutter="0" w:footer="0" w:header="0"/>
        </w:sectPr>
      </w:pPr>
    </w:p>
    <w:bookmarkStart w:id="4" w:name="page5"/>
    <w:bookmarkEnd w:id="4"/>
    <w:p>
      <w:pPr>
        <w:ind w:left="4" w:right="2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w:t>
      </w:r>
      <w:r>
        <w:rPr>
          <w:rFonts w:ascii="Times New Roman" w:cs="Times New Roman" w:eastAsia="Times New Roman" w:hAnsi="Times New Roman"/>
          <w:sz w:val="18"/>
          <w:szCs w:val="18"/>
          <w:color w:val="auto"/>
        </w:rPr>
        <w:t>, that paragraphs (a)(1)(i) and (a)(1)(ii) of this Item 9 do not apply if the Registration Statement is on Form S-8, and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67" w:lineRule="exact"/>
        <w:rPr>
          <w:sz w:val="20"/>
          <w:szCs w:val="20"/>
          <w:color w:val="auto"/>
        </w:rPr>
      </w:pPr>
    </w:p>
    <w:p>
      <w:pPr>
        <w:ind w:left="4" w:firstLine="436"/>
        <w:spacing w:after="0" w:line="266"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the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4" w:right="140" w:hanging="4"/>
        <w:spacing w:after="0" w:line="258"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5" w:lineRule="exact"/>
        <w:rPr>
          <w:rFonts w:ascii="Times New Roman" w:cs="Times New Roman" w:eastAsia="Times New Roman" w:hAnsi="Times New Roman"/>
          <w:sz w:val="18"/>
          <w:szCs w:val="18"/>
          <w:color w:val="auto"/>
        </w:rPr>
      </w:pPr>
    </w:p>
    <w:p>
      <w:pPr>
        <w:ind w:left="4" w:right="20" w:hanging="4"/>
        <w:spacing w:after="0" w:line="254"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64"/>
          </w:cols>
          <w:pgMar w:left="436" w:top="268" w:right="4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22nd day of June, 2022.</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9"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KNOW ALL PERSONS BY THESE PRESENTS, that each individual whose signature appears below hereby constitutes and appoints each of Rohit Kapoor, Maurizio Nicolelli and Ajay Ayyappan, and each of them acting individually, as his or her true and lawful attorney-in-fact and agent, with power to act without any other and with full and several power of substitution, for him or her and in his or her name, place and stead, to sign, in his or her capacity or capacities as shown below, any and all amendments to this Registration Statement on Form S-3 (including post-effective amendments),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connection with any such amendments, as fully for all intents and purposes as he or she might or could do in person, and does hereby ratify and confirm all that said attorneys-in-fact and agents, or either of them, or their substitutes, may lawfully do or cause to be done by virtue hereof.</w:t>
      </w:r>
    </w:p>
    <w:p>
      <w:pPr>
        <w:spacing w:after="0" w:line="17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74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 Rohit Kapoor</w:t>
            </w:r>
          </w:p>
        </w:tc>
        <w:tc>
          <w:tcPr>
            <w:tcW w:w="12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June 22, 2022</w:t>
            </w:r>
          </w:p>
        </w:tc>
        <w:tc>
          <w:tcPr>
            <w:tcW w:w="10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Vice Chairman and Director</w:t>
            </w:r>
          </w:p>
        </w:tc>
      </w:tr>
      <w:tr>
        <w:trPr>
          <w:trHeight w:val="234"/>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Rohit Kapoor</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Maurizio Nicolelli</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2022</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Maurizio Nicolelli</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2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Vikram S. Pandit</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2022</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Vikram S. Pandit</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2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 Anne E. Minto</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2022</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Anne E. Minto</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2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 Som Mittal</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2022</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Som Mittal</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2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Clyde W. Ostler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2022</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Clyde W. Ostler</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2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 Kristy Pipes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2022</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Kristy Pipes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27"/>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 Nitin Sahney</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2022</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Nitin Sahney</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27"/>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 Jaynie M. Studenmund</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22, 2022</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Jaynie M. Studenmund</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1748790" cy="660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74879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201 North Tryon Street</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Suite 3000</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 Park Avenue, 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ectPr>
          <w:pgSz w:w="11900" w:h="16838" w:orient="portrait"/>
          <w:cols w:equalWidth="0" w:num="1">
            <w:col w:w="11020"/>
          </w:cols>
          <w:pgMar w:left="440" w:top="117" w:right="439" w:bottom="1440" w:gutter="0" w:footer="0" w:header="0"/>
        </w:sectPr>
      </w:pP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800,000 Shares of Common Stock of ExlService Holdings, Inc. to be issued pursuant to the ExlService Holdings, Inc. 2022 Employee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Purchase Plan</w:t>
      </w:r>
    </w:p>
    <w:p>
      <w:pPr>
        <w:spacing w:after="0" w:line="200" w:lineRule="exact"/>
        <w:rPr>
          <w:sz w:val="20"/>
          <w:szCs w:val="20"/>
          <w:color w:val="auto"/>
        </w:rPr>
      </w:pPr>
    </w:p>
    <w:p>
      <w:pPr>
        <w:sectPr>
          <w:pgSz w:w="11900" w:h="16838" w:orient="portrait"/>
          <w:cols w:equalWidth="0" w:num="2">
            <w:col w:w="680" w:space="280"/>
            <w:col w:w="10060"/>
          </w:cols>
          <w:pgMar w:left="440" w:top="117"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counsel to ExlService Holdings,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the Registration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 on Form S-8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that is being filed on the date hereof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Corporation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the registration of 800,000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Corporation’s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which may be issued pursuant to the ExlService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Inc. 2022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including the exhibits being filed therewith or incorporated by reference therein. In addition, we have examined and relied upon the following:</w:t>
      </w:r>
    </w:p>
    <w:p>
      <w:pPr>
        <w:spacing w:after="0" w:line="162" w:lineRule="exact"/>
        <w:rPr>
          <w:sz w:val="20"/>
          <w:szCs w:val="20"/>
          <w:color w:val="auto"/>
        </w:rPr>
      </w:pPr>
    </w:p>
    <w:p>
      <w:pPr>
        <w:ind w:right="360" w:firstLine="436"/>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an officer of the Corporation certifying as to (A) true and correct copies of the Amended and Restated Certificate of Incorporation, as amended, and the Fifth Amended and Restated By-laws of the Corporation and (B) the resolutions of the Board of Directors of the Corporation with respect to the Plan and the Registration Statement;</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7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June 22, 2022 issued by the Secretary of State of the State of Delaware, attesting to the corporate status of the Corporation in the State of Delaware; and</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7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or copies identified to our satisfaction as being true copies, of such other records, documents and instruments as we have deemed necessary for the purposes of this opinion letter.</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McGuireWoods LLP | www.mcguirewoods.com</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Atlanta | Austin | Baltimore | Charlotte | Charlottesville | Chicago | Dallas | Houston | Jacksonville | London | Los Angeles - Century City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Los Angeles - Downtown | New York | Norfolk | Pittsburgh | Raleigh | Richmond | San Francisco | Tysons | Washington, D.C.</w:t>
      </w:r>
    </w:p>
    <w:p>
      <w:pPr>
        <w:sectPr>
          <w:pgSz w:w="11900" w:h="16838" w:orient="portrait"/>
          <w:cols w:equalWidth="0" w:num="1">
            <w:col w:w="11020"/>
          </w:cols>
          <w:pgMar w:left="440" w:top="117"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ExlService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For all purposes of the opinion expressed herein, we have assumed, without independent investigation, the following: (a) to the extent that we have reviewed and relied upon certificates of the Corporation or authorized representatives thereof and certificates and assurances from public officials, all of such certificates, representations and assurances are accurate with regard to factual matters; (b) all documents submitted to us as originals are authentic, complete and accurate, and all documents submitted to us as copies conform to authentic original documents; (c) the genuineness of all signatures; and (d) the Registration Statement will be effective under the Securities Act.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and the exclusions, qualifications, limitations and other assumptions set forth in this opinion letter, we are of the opinion that the Shares have been validly authorized and, when issued and paid for in accordance with and upon the terms and conditions of the Plan, will be validly issued, fully paid and nonassessable.</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foregoing opinion is limited to the Delaware General Corporation Law (including statutory provisions, all applicable provisions of the Delaware Constitution and reported judicial decisions interpreting the foregoing), as in effect on the date hereof, and we do not express any opinion concerning any other law.</w:t>
      </w:r>
    </w:p>
    <w:p>
      <w:pPr>
        <w:spacing w:after="0" w:line="176"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foregoing opinion is being furnished only for the purpose referred to in the first paragraph of this opinion letter. We hereby consent to the filing of this opinion as Exhibit 5.1 to the Registration Statement. In giving this consent, we do not admit that we are within the category of persons whose consent is required by Section 7 of the Securities Act or the rules and regulations of the SEC promulgated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MCGUIREWOODS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24, 2022, relating to the financial statements of ExlService Holdings, Inc. and the effectiveness of ExlService Holdings, Inc.’s internal control over financial reporting, appearing in the Annual Report on Form 10-K of ExlService Holdings, Inc.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2022</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974" w:type="dxa"/>
        <w:tblCellMar>
          <w:top w:w="0" w:type="dxa"/>
          <w:left w:w="0" w:type="dxa"/>
          <w:bottom w:w="0" w:type="dxa"/>
          <w:right w:w="0" w:type="dxa"/>
        </w:tblCellMar>
      </w:tblPr>
      <w:tr>
        <w:trPr>
          <w:trHeight w:val="130"/>
        </w:trPr>
        <w:tc>
          <w:tcPr>
            <w:tcW w:w="940" w:type="dxa"/>
            <w:vAlign w:val="bottom"/>
            <w:tcBorders>
              <w:top w:val="single" w:sz="8" w:color="auto"/>
              <w:left w:val="single" w:sz="8" w:color="auto"/>
              <w:right w:val="single" w:sz="8" w:color="auto"/>
            </w:tcBorders>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16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9"/>
              </w:rPr>
              <w:t>Proposed</w:t>
            </w:r>
          </w:p>
        </w:tc>
        <w:tc>
          <w:tcPr>
            <w:tcW w:w="138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65"/>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Registered</w:t>
            </w:r>
            <w:r>
              <w:rPr>
                <w:rFonts w:ascii="Times New Roman" w:cs="Times New Roman" w:eastAsia="Times New Roman" w:hAnsi="Times New Roman"/>
                <w:sz w:val="10"/>
                <w:szCs w:val="10"/>
                <w:color w:val="auto"/>
                <w:w w:val="98"/>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r>
              <w:rPr>
                <w:rFonts w:ascii="Times New Roman" w:cs="Times New Roman" w:eastAsia="Times New Roman" w:hAnsi="Times New Roman"/>
                <w:sz w:val="10"/>
                <w:szCs w:val="10"/>
                <w:color w:val="auto"/>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Fee</w:t>
            </w:r>
            <w:r>
              <w:rPr>
                <w:rFonts w:ascii="Times New Roman" w:cs="Times New Roman" w:eastAsia="Times New Roman" w:hAnsi="Times New Roman"/>
                <w:sz w:val="10"/>
                <w:szCs w:val="10"/>
                <w:color w:val="auto"/>
                <w:w w:val="99"/>
              </w:rPr>
              <w:t>)</w:t>
            </w:r>
          </w:p>
        </w:tc>
      </w:tr>
      <w:tr>
        <w:trPr>
          <w:trHeight w:val="211"/>
        </w:trPr>
        <w:tc>
          <w:tcPr>
            <w:tcW w:w="9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191"/>
        </w:trPr>
        <w:tc>
          <w:tcPr>
            <w:tcW w:w="940" w:type="dxa"/>
            <w:vAlign w:val="bottom"/>
            <w:tcBorders>
              <w:left w:val="single" w:sz="8" w:color="auto"/>
              <w:right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Fees to Be</w:t>
            </w:r>
          </w:p>
        </w:tc>
        <w:tc>
          <w:tcPr>
            <w:tcW w:w="5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6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457(c); 457(h)</w:t>
            </w:r>
          </w:p>
        </w:tc>
        <w:tc>
          <w:tcPr>
            <w:tcW w:w="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800,000</w:t>
            </w:r>
          </w:p>
        </w:tc>
        <w:tc>
          <w:tcPr>
            <w:tcW w:w="740" w:type="dxa"/>
            <w:vAlign w:val="bottom"/>
            <w:tcBorders>
              <w:right w:val="single" w:sz="8" w:color="auto"/>
            </w:tcBorders>
          </w:tcPr>
          <w:p>
            <w:pPr>
              <w:jc w:val="right"/>
              <w:ind w:right="13"/>
              <w:spacing w:after="0" w:line="191" w:lineRule="exact"/>
              <w:rPr>
                <w:sz w:val="20"/>
                <w:szCs w:val="20"/>
                <w:color w:val="auto"/>
              </w:rPr>
            </w:pPr>
            <w:r>
              <w:rPr>
                <w:rFonts w:ascii="Times New Roman" w:cs="Times New Roman" w:eastAsia="Times New Roman" w:hAnsi="Times New Roman"/>
                <w:sz w:val="18"/>
                <w:szCs w:val="18"/>
                <w:color w:val="auto"/>
              </w:rPr>
              <w:t>$136.17</w:t>
            </w:r>
          </w:p>
        </w:tc>
        <w:tc>
          <w:tcPr>
            <w:tcW w:w="1380" w:type="dxa"/>
            <w:vAlign w:val="bottom"/>
            <w:tcBorders>
              <w:right w:val="single" w:sz="8" w:color="auto"/>
            </w:tcBorders>
          </w:tcPr>
          <w:p>
            <w:pPr>
              <w:jc w:val="right"/>
              <w:ind w:right="6"/>
              <w:spacing w:after="0" w:line="191" w:lineRule="exact"/>
              <w:rPr>
                <w:sz w:val="20"/>
                <w:szCs w:val="20"/>
                <w:color w:val="auto"/>
              </w:rPr>
            </w:pPr>
            <w:r>
              <w:rPr>
                <w:rFonts w:ascii="Times New Roman" w:cs="Times New Roman" w:eastAsia="Times New Roman" w:hAnsi="Times New Roman"/>
                <w:sz w:val="18"/>
                <w:szCs w:val="18"/>
                <w:color w:val="auto"/>
              </w:rPr>
              <w:t>$108,936,000.00</w:t>
            </w:r>
          </w:p>
        </w:tc>
        <w:tc>
          <w:tcPr>
            <w:tcW w:w="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$92.70 per</w:t>
            </w:r>
          </w:p>
        </w:tc>
        <w:tc>
          <w:tcPr>
            <w:tcW w:w="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$10,098.37</w:t>
            </w:r>
          </w:p>
        </w:tc>
      </w:tr>
      <w:tr>
        <w:trPr>
          <w:trHeight w:val="216"/>
        </w:trPr>
        <w:tc>
          <w:tcPr>
            <w:tcW w:w="94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$0.001 par value per</w:t>
            </w:r>
          </w:p>
        </w:tc>
        <w:tc>
          <w:tcPr>
            <w:tcW w:w="12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9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2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r>
      <w:tr>
        <w:trPr>
          <w:trHeight w:val="210"/>
        </w:trPr>
        <w:tc>
          <w:tcPr>
            <w:tcW w:w="9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jc w:val="center"/>
              <w:ind w:right="589"/>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7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$108,936,000.00</w:t>
            </w: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$10,098.37</w:t>
            </w: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jc w:val="center"/>
              <w:ind w:right="589"/>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7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10"/>
        </w:trPr>
        <w:tc>
          <w:tcPr>
            <w:tcW w:w="9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jc w:val="center"/>
              <w:ind w:right="589"/>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7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left="518"/>
              <w:spacing w:after="0"/>
              <w:rPr>
                <w:sz w:val="20"/>
                <w:szCs w:val="20"/>
                <w:color w:val="auto"/>
              </w:rPr>
            </w:pPr>
            <w:r>
              <w:rPr>
                <w:rFonts w:ascii="Times New Roman" w:cs="Times New Roman" w:eastAsia="Times New Roman" w:hAnsi="Times New Roman"/>
                <w:sz w:val="18"/>
                <w:szCs w:val="18"/>
                <w:color w:val="auto"/>
              </w:rPr>
              <w:t>Net Fee Due</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$10,098.37</w:t>
            </w:r>
          </w:p>
        </w:tc>
      </w:tr>
    </w:tbl>
    <w:p>
      <w:pPr>
        <w:spacing w:after="0" w:line="225" w:lineRule="exact"/>
        <w:rPr>
          <w:sz w:val="20"/>
          <w:szCs w:val="20"/>
          <w:color w:val="auto"/>
        </w:rPr>
      </w:pPr>
    </w:p>
    <w:p>
      <w:pPr>
        <w:ind w:left="544" w:right="80" w:hanging="544"/>
        <w:spacing w:after="0" w:line="272" w:lineRule="auto"/>
        <w:tabs>
          <w:tab w:leader="none" w:pos="5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under the Securities Act of 1933, as amended (the “Securities Act”), this registration statement shall also cover any additional shares of the Registrant’s common stock, par value $0.001 per share (“Common Stock”) which become issuable under the ExlService Holdings, Inc. 2022 Employee Stock Purchase Plan by reason of any stock dividend, stock split, recapitalization or other similar transaction.</w:t>
      </w:r>
    </w:p>
    <w:p>
      <w:pPr>
        <w:spacing w:after="0" w:line="1" w:lineRule="exact"/>
        <w:rPr>
          <w:rFonts w:ascii="Times New Roman" w:cs="Times New Roman" w:eastAsia="Times New Roman" w:hAnsi="Times New Roman"/>
          <w:sz w:val="17"/>
          <w:szCs w:val="17"/>
          <w:color w:val="auto"/>
        </w:rPr>
      </w:pPr>
    </w:p>
    <w:p>
      <w:pPr>
        <w:ind w:left="544" w:right="240" w:hanging="544"/>
        <w:spacing w:after="0" w:line="255" w:lineRule="auto"/>
        <w:tabs>
          <w:tab w:leader="none" w:pos="5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457(h) of the Securities Act solely for purposes of calculating the aggregate offering price and the amount of the registration fee based upon the average of the high and low prices of the Registrant’s Common Stock reported by the NASDAQ Global Select Market on June 21, 2022.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Letter"/>
      <w:start w:val="1"/>
    </w:lvl>
    <w:lvl w:ilvl="1">
      <w:lvlJc w:val="left"/>
      <w:lvlText w:val="(%2)"/>
      <w:numFmt w:val="decimal"/>
      <w:start w:val="2"/>
    </w:lvl>
  </w:abstractNum>
  <w:abstractNum w:abstractNumId="3">
    <w:nsid w:val="46E87CCD"/>
    <w:multiLevelType w:val="hybridMultilevel"/>
    <w:lvl w:ilvl="0">
      <w:lvlJc w:val="left"/>
      <w:lvlText w:val="(%1)"/>
      <w:numFmt w:val="lowerLetter"/>
      <w:start w:val="2"/>
    </w:lvl>
    <w:lvl w:ilvl="1">
      <w:lvlJc w:val="left"/>
      <w:lvlText w:val="%2"/>
      <w:numFmt w:val="decimal"/>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18" Type="http://schemas.openxmlformats.org/officeDocument/2006/relationships/hyperlink" Target="http://www.sec.gov/ix?doc=/Archives/edgar/data/1297989/000129798922000004/exls-20211231.htm" TargetMode="External"/><Relationship Id="rId19" Type="http://schemas.openxmlformats.org/officeDocument/2006/relationships/hyperlink" Target="http://www.sec.gov/ix?doc=/Archives/edgar/data/1297989/000129798922000006/exls-20220331.htm" TargetMode="External"/><Relationship Id="rId20" Type="http://schemas.openxmlformats.org/officeDocument/2006/relationships/hyperlink" Target="http://www.sec.gov/ix?doc=/Archives/edgar/data/1297989/000110465922047905/tm2213111d1_8k.htm" TargetMode="External"/><Relationship Id="rId21" Type="http://schemas.openxmlformats.org/officeDocument/2006/relationships/hyperlink" Target="http://www.sec.gov/ix?doc=/Archives/edgar/data/1297989/000119312522148003/d316862d8k.htm" TargetMode="External"/><Relationship Id="rId22" Type="http://schemas.openxmlformats.org/officeDocument/2006/relationships/hyperlink" Target="http://www.sec.gov/ix?doc=/Archives/edgar/data/1297989/000119312522178131/d352737d8k.htm" TargetMode="External"/><Relationship Id="rId25" Type="http://schemas.openxmlformats.org/officeDocument/2006/relationships/hyperlink" Target="http://www.sec.gov/Archives/edgar/data/1297989/000119312506214684/dex31.htm" TargetMode="External"/><Relationship Id="rId26" Type="http://schemas.openxmlformats.org/officeDocument/2006/relationships/hyperlink" Target="http://www.sec.gov/Archives/edgar/data/1297989/000104746919002609/a2238453zdef14a.htm" TargetMode="External"/><Relationship Id="rId27" Type="http://schemas.openxmlformats.org/officeDocument/2006/relationships/hyperlink" Target="http://www.sec.gov/Archives/edgar/data/1297989/000114420419031504/tv523830_ex3-2.htm" TargetMode="External"/><Relationship Id="rId28" Type="http://schemas.openxmlformats.org/officeDocument/2006/relationships/hyperlink" Target="http://www.sec.gov/Archives/edgar/data/1297989/000119312522178131/d3527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2022-06-22T16:04:57Z</dcterms:created>
  <dcterms:modified xsi:type="dcterms:W3CDTF">2022-06-22T16:04:57Z</dcterms:modified>
</cp:coreProperties>
</file>