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SEC File Number 001-33089</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CUSIP Number 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NOTIFICATION OF LATE FILING</w:t>
      </w:r>
    </w:p>
    <w:p>
      <w:pPr>
        <w:spacing w:after="0" w:line="304" w:lineRule="exact"/>
        <w:rPr>
          <w:sz w:val="24"/>
          <w:szCs w:val="24"/>
          <w:color w:val="auto"/>
        </w:rPr>
      </w:pPr>
    </w:p>
    <w:p>
      <w:pPr>
        <w:jc w:val="center"/>
        <w:ind w:right="80"/>
        <w:spacing w:after="0" w:line="414" w:lineRule="exact"/>
        <w:rPr>
          <w:sz w:val="20"/>
          <w:szCs w:val="20"/>
          <w:color w:val="auto"/>
        </w:rPr>
      </w:pPr>
      <w:r>
        <w:rPr>
          <w:rFonts w:ascii="Arial" w:cs="Arial" w:eastAsia="Arial" w:hAnsi="Arial"/>
          <w:sz w:val="36"/>
          <w:szCs w:val="36"/>
          <w:color w:val="auto"/>
          <w:vertAlign w:val="superscript"/>
        </w:rPr>
        <w:t>(Check one):</w:t>
      </w:r>
      <w:r>
        <w:rPr>
          <w:rFonts w:ascii="Arial" w:cs="Arial" w:eastAsia="Arial" w:hAnsi="Arial"/>
          <w:sz w:val="18"/>
          <w:szCs w:val="18"/>
          <w:color w:val="auto"/>
        </w:rPr>
        <w:t xml:space="preserve"> </w:t>
      </w:r>
      <w:r>
        <w:rPr>
          <w:rFonts w:ascii="MS PGothic" w:cs="MS PGothic" w:eastAsia="MS PGothic" w:hAnsi="MS PGothic"/>
          <w:sz w:val="21"/>
          <w:szCs w:val="21"/>
          <w:color w:val="auto"/>
        </w:rPr>
        <w:t>☒</w:t>
      </w:r>
      <w:r>
        <w:rPr>
          <w:rFonts w:ascii="Arial" w:cs="Arial" w:eastAsia="Arial" w:hAnsi="Arial"/>
          <w:sz w:val="18"/>
          <w:szCs w:val="18"/>
          <w:color w:val="auto"/>
        </w:rPr>
        <w:t xml:space="preserve"> Form 10-K </w:t>
      </w:r>
      <w:r>
        <w:rPr>
          <w:rFonts w:ascii="MS PGothic" w:cs="MS PGothic" w:eastAsia="MS PGothic" w:hAnsi="MS PGothic"/>
          <w:sz w:val="21"/>
          <w:szCs w:val="21"/>
          <w:color w:val="auto"/>
        </w:rPr>
        <w:t>☐</w:t>
      </w:r>
      <w:r>
        <w:rPr>
          <w:rFonts w:ascii="Arial" w:cs="Arial" w:eastAsia="Arial" w:hAnsi="Arial"/>
          <w:sz w:val="18"/>
          <w:szCs w:val="18"/>
          <w:color w:val="auto"/>
        </w:rPr>
        <w:t xml:space="preserve"> Form 20-F </w:t>
      </w:r>
      <w:r>
        <w:rPr>
          <w:rFonts w:ascii="MS PGothic" w:cs="MS PGothic" w:eastAsia="MS PGothic" w:hAnsi="MS PGothic"/>
          <w:sz w:val="21"/>
          <w:szCs w:val="21"/>
          <w:color w:val="auto"/>
        </w:rPr>
        <w:t>☐</w:t>
      </w:r>
      <w:r>
        <w:rPr>
          <w:rFonts w:ascii="Arial" w:cs="Arial" w:eastAsia="Arial" w:hAnsi="Arial"/>
          <w:sz w:val="18"/>
          <w:szCs w:val="18"/>
          <w:color w:val="auto"/>
        </w:rPr>
        <w:t xml:space="preserve"> Form 11-K </w:t>
      </w:r>
      <w:r>
        <w:rPr>
          <w:rFonts w:ascii="MS PGothic" w:cs="MS PGothic" w:eastAsia="MS PGothic" w:hAnsi="MS PGothic"/>
          <w:sz w:val="21"/>
          <w:szCs w:val="21"/>
          <w:color w:val="auto"/>
        </w:rPr>
        <w:t>☐</w:t>
      </w:r>
      <w:r>
        <w:rPr>
          <w:rFonts w:ascii="Arial" w:cs="Arial" w:eastAsia="Arial" w:hAnsi="Arial"/>
          <w:sz w:val="18"/>
          <w:szCs w:val="18"/>
          <w:color w:val="auto"/>
        </w:rPr>
        <w:t xml:space="preserve"> Form 10-Q</w:t>
      </w:r>
    </w:p>
    <w:p>
      <w:pPr>
        <w:ind w:left="4040" w:right="3780" w:firstLine="6"/>
        <w:spacing w:after="0" w:line="343" w:lineRule="exact"/>
        <w:tabs>
          <w:tab w:leader="none" w:pos="427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 xml:space="preserve">Form 10-D </w:t>
      </w:r>
      <w:r>
        <w:rPr>
          <w:rFonts w:ascii="MS PGothic" w:cs="MS PGothic" w:eastAsia="MS PGothic" w:hAnsi="MS PGothic"/>
          <w:sz w:val="21"/>
          <w:szCs w:val="21"/>
          <w:color w:val="auto"/>
        </w:rPr>
        <w:t>☐</w:t>
      </w:r>
      <w:r>
        <w:rPr>
          <w:rFonts w:ascii="Arial" w:cs="Arial" w:eastAsia="Arial" w:hAnsi="Arial"/>
          <w:sz w:val="18"/>
          <w:szCs w:val="18"/>
          <w:color w:val="auto"/>
        </w:rPr>
        <w:t xml:space="preserve"> Form N-SAR </w:t>
      </w:r>
      <w:r>
        <w:rPr>
          <w:rFonts w:ascii="MS PGothic" w:cs="MS PGothic" w:eastAsia="MS PGothic" w:hAnsi="MS PGothic"/>
          <w:sz w:val="21"/>
          <w:szCs w:val="21"/>
          <w:color w:val="auto"/>
        </w:rPr>
        <w:t>☐</w:t>
      </w:r>
      <w:r>
        <w:rPr>
          <w:rFonts w:ascii="Arial" w:cs="Arial" w:eastAsia="Arial" w:hAnsi="Arial"/>
          <w:sz w:val="18"/>
          <w:szCs w:val="18"/>
          <w:color w:val="auto"/>
        </w:rPr>
        <w:t xml:space="preserve"> Form N-CSR For Period Ended: December 31, 2016</w:t>
      </w:r>
    </w:p>
    <w:p>
      <w:pPr>
        <w:spacing w:after="0" w:line="243" w:lineRule="exact"/>
        <w:rPr>
          <w:rFonts w:ascii="MS PGothic" w:cs="MS PGothic" w:eastAsia="MS PGothic" w:hAnsi="MS PGothic"/>
          <w:sz w:val="22"/>
          <w:szCs w:val="22"/>
          <w:color w:val="auto"/>
        </w:rPr>
      </w:pPr>
    </w:p>
    <w:p>
      <w:pPr>
        <w:ind w:left="4280" w:hanging="234"/>
        <w:spacing w:after="0"/>
        <w:tabs>
          <w:tab w:leader="none" w:pos="4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10-K</w:t>
      </w:r>
    </w:p>
    <w:p>
      <w:pPr>
        <w:spacing w:after="0" w:line="37" w:lineRule="exact"/>
        <w:rPr>
          <w:rFonts w:ascii="MS PGothic" w:cs="MS PGothic" w:eastAsia="MS PGothic" w:hAnsi="MS PGothic"/>
          <w:sz w:val="22"/>
          <w:szCs w:val="22"/>
          <w:color w:val="auto"/>
        </w:rPr>
      </w:pPr>
    </w:p>
    <w:p>
      <w:pPr>
        <w:ind w:left="4280" w:hanging="234"/>
        <w:spacing w:after="0" w:line="235" w:lineRule="auto"/>
        <w:tabs>
          <w:tab w:leader="none" w:pos="4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20-F</w:t>
      </w:r>
    </w:p>
    <w:p>
      <w:pPr>
        <w:spacing w:after="0" w:line="34" w:lineRule="exact"/>
        <w:rPr>
          <w:rFonts w:ascii="MS PGothic" w:cs="MS PGothic" w:eastAsia="MS PGothic" w:hAnsi="MS PGothic"/>
          <w:sz w:val="22"/>
          <w:szCs w:val="22"/>
          <w:color w:val="auto"/>
        </w:rPr>
      </w:pPr>
    </w:p>
    <w:p>
      <w:pPr>
        <w:ind w:left="4280" w:hanging="234"/>
        <w:spacing w:after="0" w:line="235" w:lineRule="auto"/>
        <w:tabs>
          <w:tab w:leader="none" w:pos="4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11-K</w:t>
      </w:r>
    </w:p>
    <w:p>
      <w:pPr>
        <w:spacing w:after="0" w:line="34" w:lineRule="exact"/>
        <w:rPr>
          <w:rFonts w:ascii="MS PGothic" w:cs="MS PGothic" w:eastAsia="MS PGothic" w:hAnsi="MS PGothic"/>
          <w:sz w:val="22"/>
          <w:szCs w:val="22"/>
          <w:color w:val="auto"/>
        </w:rPr>
      </w:pPr>
    </w:p>
    <w:p>
      <w:pPr>
        <w:ind w:left="4280" w:hanging="234"/>
        <w:spacing w:after="0" w:line="235" w:lineRule="auto"/>
        <w:tabs>
          <w:tab w:leader="none" w:pos="4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10-Q</w:t>
      </w:r>
    </w:p>
    <w:p>
      <w:pPr>
        <w:spacing w:after="0" w:line="34" w:lineRule="exact"/>
        <w:rPr>
          <w:rFonts w:ascii="MS PGothic" w:cs="MS PGothic" w:eastAsia="MS PGothic" w:hAnsi="MS PGothic"/>
          <w:sz w:val="22"/>
          <w:szCs w:val="22"/>
          <w:color w:val="auto"/>
        </w:rPr>
      </w:pPr>
    </w:p>
    <w:p>
      <w:pPr>
        <w:ind w:left="4280" w:hanging="234"/>
        <w:spacing w:after="0" w:line="235" w:lineRule="auto"/>
        <w:tabs>
          <w:tab w:leader="none" w:pos="428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Transition Report on Form N-SAR</w:t>
      </w:r>
    </w:p>
    <w:p>
      <w:pPr>
        <w:spacing w:after="0" w:line="202" w:lineRule="exact"/>
        <w:rPr>
          <w:sz w:val="24"/>
          <w:szCs w:val="24"/>
          <w:color w:val="auto"/>
        </w:rPr>
      </w:pPr>
    </w:p>
    <w:p>
      <w:pPr>
        <w:ind w:left="4040"/>
        <w:spacing w:after="0"/>
        <w:rPr>
          <w:sz w:val="20"/>
          <w:szCs w:val="20"/>
          <w:color w:val="auto"/>
        </w:rPr>
      </w:pPr>
      <w:r>
        <w:rPr>
          <w:rFonts w:ascii="Arial" w:cs="Arial" w:eastAsia="Arial" w:hAnsi="Arial"/>
          <w:sz w:val="18"/>
          <w:szCs w:val="18"/>
          <w:color w:val="auto"/>
        </w:rPr>
        <w:t>For Transition Period Ended: ____________________________</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PART I — REGISTRANT INFORMATION</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EXLSERVICE HOLDINGS,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Full Name of Registrant</w:t>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Former Name if Applicable</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280 PARK AVENUE, 38</w:t>
      </w:r>
      <w:r>
        <w:rPr>
          <w:rFonts w:ascii="Arial" w:cs="Arial" w:eastAsia="Arial" w:hAnsi="Arial"/>
          <w:sz w:val="12"/>
          <w:szCs w:val="12"/>
          <w:b w:val="1"/>
          <w:bCs w:val="1"/>
          <w:color w:val="auto"/>
        </w:rPr>
        <w:t>TH</w:t>
      </w:r>
      <w:r>
        <w:rPr>
          <w:rFonts w:ascii="Arial" w:cs="Arial" w:eastAsia="Arial" w:hAnsi="Arial"/>
          <w:sz w:val="18"/>
          <w:szCs w:val="18"/>
          <w:b w:val="1"/>
          <w:bCs w:val="1"/>
          <w:color w:val="auto"/>
        </w:rPr>
        <w:t xml:space="preserve"> FLOOR,</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Address of Principal Executive Office </w:t>
      </w:r>
      <w:r>
        <w:rPr>
          <w:rFonts w:ascii="Arial" w:cs="Arial" w:eastAsia="Arial" w:hAnsi="Arial"/>
          <w:sz w:val="18"/>
          <w:szCs w:val="18"/>
          <w:b w:val="1"/>
          <w:bCs w:val="1"/>
          <w:i w:val="1"/>
          <w:iCs w:val="1"/>
          <w:color w:val="auto"/>
        </w:rPr>
        <w:t>(Street and Number)</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NEW YORK, NEW YORK 10017</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29"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1160" w:hanging="450"/>
        <w:spacing w:after="0"/>
        <w:tabs>
          <w:tab w:leader="none" w:pos="11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reason described in reasonable detail in Part III of this form could not be eliminated without unreasonable effort or expense</w:t>
      </w:r>
    </w:p>
    <w:p>
      <w:pPr>
        <w:spacing w:after="0" w:line="225" w:lineRule="exact"/>
        <w:rPr>
          <w:rFonts w:ascii="Arial" w:cs="Arial" w:eastAsia="Arial" w:hAnsi="Arial"/>
          <w:sz w:val="18"/>
          <w:szCs w:val="18"/>
          <w:color w:val="auto"/>
        </w:rPr>
      </w:pPr>
    </w:p>
    <w:p>
      <w:pPr>
        <w:ind w:left="1160" w:right="40" w:hanging="1116"/>
        <w:spacing w:after="0" w:line="200" w:lineRule="auto"/>
        <w:tabs>
          <w:tab w:leader="none" w:pos="714"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color w:val="auto"/>
        </w:rPr>
        <w:t>(b) The subject annual report, semi-annual report, transition report on Form 10-K, Form 20-F, Form 11-K, Form N-SAR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4" w:lineRule="exact"/>
        <w:rPr>
          <w:rFonts w:ascii="MS PGothic" w:cs="MS PGothic" w:eastAsia="MS PGothic" w:hAnsi="MS PGothic"/>
          <w:sz w:val="43"/>
          <w:szCs w:val="43"/>
          <w:color w:val="auto"/>
          <w:vertAlign w:val="subscript"/>
        </w:rPr>
      </w:pPr>
    </w:p>
    <w:p>
      <w:pPr>
        <w:ind w:left="1160" w:hanging="450"/>
        <w:spacing w:after="0"/>
        <w:tabs>
          <w:tab w:leader="none" w:pos="11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-1082040</wp:posOffset>
            </wp:positionV>
            <wp:extent cx="8890" cy="1097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0979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N-SAR, N-CSR, or the transition report or portion thereof, could not be filed within the prescribed time period.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EXLService Holdings, Inc. (the “Registrant”) is unable to timely file its Annual Report on Form 10-K for the fiscal year ended December 31, 2016 (the “2016 Form 10-K”) due to an open comment letter from the Division of Corporation Finance of the Securities and Exchange Commission (the “Commission”) related to segment reporting and the segment aggregation criteria under applicable accounting rules and standards. The Registrant does not expect changes to its reportable segments, if any, to affect its consolidated results of operations, assets, liabilities or cash flows. The Registrant continues to discuss these matters with the Commission and the Registrant’s independent registered public accounting firm and will file the 2016 Form 10-K within the 15-day extension period provided by Rule 12b-25.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3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rPr>
              <w:t>PART IV — OTHER INFORMATION</w:t>
            </w:r>
          </w:p>
        </w:tc>
        <w:tc>
          <w:tcPr>
            <w:tcW w:w="3180" w:type="dxa"/>
            <w:vAlign w:val="bottom"/>
          </w:tcPr>
          <w:p>
            <w:pPr>
              <w:spacing w:after="0"/>
              <w:rPr>
                <w:sz w:val="20"/>
                <w:szCs w:val="20"/>
                <w:color w:val="auto"/>
              </w:rPr>
            </w:pPr>
          </w:p>
        </w:tc>
      </w:tr>
      <w:tr>
        <w:trPr>
          <w:trHeight w:val="432"/>
        </w:trPr>
        <w:tc>
          <w:tcPr>
            <w:tcW w:w="7440" w:type="dxa"/>
            <w:vAlign w:val="bottom"/>
            <w:gridSpan w:val="5"/>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3180" w:type="dxa"/>
            <w:vAlign w:val="bottom"/>
          </w:tcPr>
          <w:p>
            <w:pPr>
              <w:spacing w:after="0"/>
              <w:rPr>
                <w:sz w:val="24"/>
                <w:szCs w:val="24"/>
                <w:color w:val="auto"/>
              </w:rPr>
            </w:pPr>
          </w:p>
        </w:tc>
      </w:tr>
      <w:tr>
        <w:trPr>
          <w:trHeight w:val="432"/>
        </w:trPr>
        <w:tc>
          <w:tcPr>
            <w:tcW w:w="360" w:type="dxa"/>
            <w:vAlign w:val="bottom"/>
          </w:tcPr>
          <w:p>
            <w:pPr>
              <w:spacing w:after="0"/>
              <w:rPr>
                <w:sz w:val="24"/>
                <w:szCs w:val="24"/>
                <w:color w:val="auto"/>
              </w:rPr>
            </w:pPr>
          </w:p>
        </w:tc>
        <w:tc>
          <w:tcPr>
            <w:tcW w:w="3760" w:type="dxa"/>
            <w:vAlign w:val="bottom"/>
          </w:tcPr>
          <w:p>
            <w:pPr>
              <w:ind w:left="1240"/>
              <w:spacing w:after="0"/>
              <w:rPr>
                <w:sz w:val="20"/>
                <w:szCs w:val="20"/>
                <w:color w:val="auto"/>
              </w:rPr>
            </w:pPr>
            <w:r>
              <w:rPr>
                <w:rFonts w:ascii="Arial" w:cs="Arial" w:eastAsia="Arial" w:hAnsi="Arial"/>
                <w:sz w:val="18"/>
                <w:szCs w:val="18"/>
                <w:b w:val="1"/>
                <w:bCs w:val="1"/>
                <w:color w:val="auto"/>
              </w:rPr>
              <w:t>Vishal Chhibbar</w:t>
            </w:r>
          </w:p>
        </w:tc>
        <w:tc>
          <w:tcPr>
            <w:tcW w:w="264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90"/>
              </w:rPr>
              <w:t>(212)</w:t>
            </w:r>
          </w:p>
        </w:tc>
        <w:tc>
          <w:tcPr>
            <w:tcW w:w="680" w:type="dxa"/>
            <w:vAlign w:val="bottom"/>
          </w:tcPr>
          <w:p>
            <w:pPr>
              <w:spacing w:after="0"/>
              <w:rPr>
                <w:sz w:val="24"/>
                <w:szCs w:val="24"/>
                <w:color w:val="auto"/>
              </w:rPr>
            </w:pPr>
          </w:p>
        </w:tc>
        <w:tc>
          <w:tcPr>
            <w:tcW w:w="3180" w:type="dxa"/>
            <w:vAlign w:val="bottom"/>
          </w:tcPr>
          <w:p>
            <w:pPr>
              <w:jc w:val="right"/>
              <w:ind w:right="1110"/>
              <w:spacing w:after="0"/>
              <w:rPr>
                <w:sz w:val="20"/>
                <w:szCs w:val="20"/>
                <w:color w:val="auto"/>
              </w:rPr>
            </w:pPr>
            <w:r>
              <w:rPr>
                <w:rFonts w:ascii="Arial" w:cs="Arial" w:eastAsia="Arial" w:hAnsi="Arial"/>
                <w:sz w:val="18"/>
                <w:szCs w:val="18"/>
                <w:b w:val="1"/>
                <w:bCs w:val="1"/>
                <w:color w:val="auto"/>
              </w:rPr>
              <w:t>277-7100</w:t>
            </w:r>
          </w:p>
        </w:tc>
      </w:tr>
      <w:tr>
        <w:trPr>
          <w:trHeight w:val="228"/>
        </w:trPr>
        <w:tc>
          <w:tcPr>
            <w:tcW w:w="360" w:type="dxa"/>
            <w:vAlign w:val="bottom"/>
          </w:tcPr>
          <w:p>
            <w:pPr>
              <w:spacing w:after="0"/>
              <w:rPr>
                <w:sz w:val="19"/>
                <w:szCs w:val="19"/>
                <w:color w:val="auto"/>
              </w:rPr>
            </w:pPr>
          </w:p>
        </w:tc>
        <w:tc>
          <w:tcPr>
            <w:tcW w:w="3760" w:type="dxa"/>
            <w:vAlign w:val="bottom"/>
            <w:tcBorders>
              <w:top w:val="single" w:sz="8" w:color="auto"/>
            </w:tcBorders>
          </w:tcPr>
          <w:p>
            <w:pPr>
              <w:ind w:left="1420"/>
              <w:spacing w:after="0"/>
              <w:rPr>
                <w:sz w:val="20"/>
                <w:szCs w:val="20"/>
                <w:color w:val="auto"/>
              </w:rPr>
            </w:pPr>
            <w:r>
              <w:rPr>
                <w:rFonts w:ascii="Arial" w:cs="Arial" w:eastAsia="Arial" w:hAnsi="Arial"/>
                <w:sz w:val="18"/>
                <w:szCs w:val="18"/>
                <w:b w:val="1"/>
                <w:bCs w:val="1"/>
                <w:color w:val="auto"/>
              </w:rPr>
              <w:t>(Name)</w:t>
            </w:r>
          </w:p>
        </w:tc>
        <w:tc>
          <w:tcPr>
            <w:tcW w:w="480" w:type="dxa"/>
            <w:vAlign w:val="bottom"/>
          </w:tcPr>
          <w:p>
            <w:pPr>
              <w:spacing w:after="0"/>
              <w:rPr>
                <w:sz w:val="19"/>
                <w:szCs w:val="19"/>
                <w:color w:val="auto"/>
              </w:rPr>
            </w:pPr>
          </w:p>
        </w:tc>
        <w:tc>
          <w:tcPr>
            <w:tcW w:w="216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(Area Code)</w:t>
            </w:r>
          </w:p>
        </w:tc>
        <w:tc>
          <w:tcPr>
            <w:tcW w:w="680" w:type="dxa"/>
            <w:vAlign w:val="bottom"/>
          </w:tcPr>
          <w:p>
            <w:pPr>
              <w:spacing w:after="0"/>
              <w:rPr>
                <w:sz w:val="19"/>
                <w:szCs w:val="19"/>
                <w:color w:val="auto"/>
              </w:rPr>
            </w:pPr>
          </w:p>
        </w:tc>
        <w:tc>
          <w:tcPr>
            <w:tcW w:w="3180" w:type="dxa"/>
            <w:vAlign w:val="bottom"/>
            <w:tcBorders>
              <w:top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(Telephone Number)</w:t>
            </w:r>
          </w:p>
        </w:tc>
      </w:tr>
    </w:tbl>
    <w:p>
      <w:pPr>
        <w:spacing w:after="0" w:line="183" w:lineRule="exact"/>
        <w:rPr>
          <w:sz w:val="20"/>
          <w:szCs w:val="20"/>
          <w:color w:val="auto"/>
        </w:rPr>
      </w:pPr>
    </w:p>
    <w:p>
      <w:pPr>
        <w:ind w:left="360" w:right="80" w:hanging="352"/>
        <w:spacing w:after="0" w:line="245" w:lineRule="exact"/>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70" w:lineRule="exact"/>
        <w:rPr>
          <w:rFonts w:ascii="Arial" w:cs="Arial" w:eastAsia="Arial" w:hAnsi="Arial"/>
          <w:sz w:val="18"/>
          <w:szCs w:val="18"/>
          <w:color w:val="auto"/>
        </w:rPr>
      </w:pPr>
    </w:p>
    <w:p>
      <w:pPr>
        <w:ind w:left="360" w:right="80" w:hanging="352"/>
        <w:spacing w:after="0" w:line="260" w:lineRule="exact"/>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Is it anticipated that any significant change in results of operations from the corresponding period for the last fiscal year will be reflected by the earnings statements to be included in the subject report or portion thereof?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1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Revenues for the year ended December 31, 2016 increased 9.1% to $686.0 million, compared to $628.5 million for the year ended December 31, 2015. Operating income margin for the year ended December 31, 2016 was 9.4%, compared to 10.7% for the year ended December 31, 2015. Diluted earnings per share for the year ended December 31, 2016 was $1.79, compared to $1.51 for the year ended December 31, 2015. Please refer to the Registrant’s press release filed as Exhibit 99.1 to the Current Report on Form 8-K filed with the Commission on February 28, 2017 for a fuller explanation of the significant changes in results of operations for the fiscal period ended December 31, 2016 from the period ended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March 1, 2017</w:t>
            </w:r>
          </w:p>
        </w:tc>
        <w:tc>
          <w:tcPr>
            <w:tcW w:w="2500" w:type="dxa"/>
            <w:vAlign w:val="bottom"/>
          </w:tcPr>
          <w:p>
            <w:pPr>
              <w:ind w:left="1840"/>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Vishal Chhibbar</w:t>
            </w:r>
          </w:p>
        </w:tc>
      </w:tr>
      <w:tr>
        <w:trPr>
          <w:trHeight w:val="195"/>
        </w:trPr>
        <w:tc>
          <w:tcPr>
            <w:tcW w:w="3320" w:type="dxa"/>
            <w:vAlign w:val="bottom"/>
          </w:tcPr>
          <w:p>
            <w:pPr>
              <w:spacing w:after="0"/>
              <w:rPr>
                <w:sz w:val="16"/>
                <w:szCs w:val="16"/>
                <w:color w:val="auto"/>
              </w:rPr>
            </w:pPr>
          </w:p>
        </w:tc>
        <w:tc>
          <w:tcPr>
            <w:tcW w:w="2500" w:type="dxa"/>
            <w:vAlign w:val="bottom"/>
          </w:tcPr>
          <w:p>
            <w:pPr>
              <w:ind w:left="1840"/>
              <w:spacing w:after="0" w:line="195" w:lineRule="exact"/>
              <w:rPr>
                <w:sz w:val="20"/>
                <w:szCs w:val="20"/>
                <w:color w:val="auto"/>
              </w:rPr>
            </w:pPr>
            <w:r>
              <w:rPr>
                <w:rFonts w:ascii="Arial" w:cs="Arial" w:eastAsia="Arial" w:hAnsi="Arial"/>
                <w:sz w:val="18"/>
                <w:szCs w:val="18"/>
                <w:color w:val="auto"/>
              </w:rPr>
              <w:t>Name</w:t>
            </w: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Vishal Chhibbar</w:t>
            </w:r>
          </w:p>
        </w:tc>
      </w:tr>
      <w:tr>
        <w:trPr>
          <w:trHeight w:val="230"/>
        </w:trPr>
        <w:tc>
          <w:tcPr>
            <w:tcW w:w="3320" w:type="dxa"/>
            <w:vAlign w:val="bottom"/>
          </w:tcPr>
          <w:p>
            <w:pPr>
              <w:spacing w:after="0"/>
              <w:rPr>
                <w:sz w:val="20"/>
                <w:szCs w:val="20"/>
                <w:color w:val="auto"/>
              </w:rPr>
            </w:pPr>
          </w:p>
        </w:tc>
        <w:tc>
          <w:tcPr>
            <w:tcW w:w="2500" w:type="dxa"/>
            <w:vAlign w:val="bottom"/>
          </w:tcPr>
          <w:p>
            <w:pPr>
              <w:ind w:left="1840"/>
              <w:spacing w:after="0"/>
              <w:rPr>
                <w:sz w:val="20"/>
                <w:szCs w:val="20"/>
                <w:color w:val="auto"/>
              </w:rPr>
            </w:pPr>
            <w:r>
              <w:rPr>
                <w:rFonts w:ascii="Arial" w:cs="Arial" w:eastAsia="Arial" w:hAnsi="Arial"/>
                <w:sz w:val="18"/>
                <w:szCs w:val="18"/>
                <w:color w:val="auto"/>
              </w:rPr>
              <w:t>Title</w:t>
            </w: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91"/>
        </w:trPr>
        <w:tc>
          <w:tcPr>
            <w:tcW w:w="33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
      <w:numFmt w:val="bullet"/>
      <w:start w:val="1"/>
    </w:lvl>
    <w:lvl w:ilvl="1">
      <w:lvlJc w:val="left"/>
      <w:lvlText w:val="(%2)"/>
      <w:numFmt w:val="lowerLetter"/>
      <w:start w:val="3"/>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2019-12-06T23:08:51Z</dcterms:created>
  <dcterms:modified xsi:type="dcterms:W3CDTF">2019-12-06T23:08:51Z</dcterms:modified>
</cp:coreProperties>
</file>