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Jetley Vivek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EVP and Head of Analytics</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01/30/2023</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6,547</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200" w:type="dxa"/>
            <w:vAlign w:val="bottom"/>
          </w:tcPr>
          <w:p>
            <w:pPr>
              <w:spacing w:after="0"/>
              <w:rPr>
                <w:sz w:val="21"/>
                <w:szCs w:val="21"/>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58,278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01/30/2023</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2,783</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170.01</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55,495</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20, 2020. Such shares of Common Stock were deemed earned on January 30, 2023 based on the Compensation Committee of the Board of Directors administering the award certifying the achievement of performance targets applicable to the PRSUs for the performance period ending on December 31, 2022.</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2023-02-01T16:29:19Z</dcterms:created>
  <dcterms:modified xsi:type="dcterms:W3CDTF">2023-02-01T16:29:19Z</dcterms:modified>
</cp:coreProperties>
</file>