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254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2548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01/13/2020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80" w:type="dxa"/>
            <w:vAlign w:val="bottom"/>
            <w:gridSpan w:val="7"/>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20" w:type="dxa"/>
            <w:vAlign w:val="bottom"/>
            <w:gridSpan w:val="11"/>
            <w:vMerge w:val="restart"/>
          </w:tcPr>
          <w:p>
            <w:pPr>
              <w:ind w:left="3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80" w:type="dxa"/>
            <w:vAlign w:val="bottom"/>
            <w:gridSpan w:val="7"/>
            <w:vMerge w:val="continue"/>
          </w:tcPr>
          <w:p>
            <w:pPr>
              <w:spacing w:after="0"/>
              <w:rPr>
                <w:sz w:val="11"/>
                <w:szCs w:val="11"/>
                <w:color w:val="auto"/>
              </w:rPr>
            </w:pPr>
          </w:p>
        </w:tc>
        <w:tc>
          <w:tcPr>
            <w:tcW w:w="382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60" w:type="dxa"/>
            <w:vAlign w:val="bottom"/>
            <w:gridSpan w:val="4"/>
          </w:tcPr>
          <w:p>
            <w:pPr>
              <w:ind w:left="36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580" w:type="dxa"/>
            <w:vAlign w:val="bottom"/>
          </w:tcPr>
          <w:p>
            <w:pPr>
              <w:ind w:left="20"/>
              <w:spacing w:after="0"/>
              <w:rPr>
                <w:sz w:val="20"/>
                <w:szCs w:val="20"/>
                <w:color w:val="auto"/>
              </w:rPr>
            </w:pPr>
            <w:r>
              <w:rPr>
                <w:rFonts w:ascii="Arial" w:cs="Arial" w:eastAsia="Arial" w:hAnsi="Arial"/>
                <w:sz w:val="18"/>
                <w:szCs w:val="18"/>
                <w:color w:val="0000FF"/>
              </w:rPr>
              <w:t>10022</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540" w:type="dxa"/>
            <w:vAlign w:val="bottom"/>
            <w:gridSpan w:val="7"/>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200" w:type="dxa"/>
            <w:vAlign w:val="bottom"/>
            <w:gridSpan w:val="8"/>
            <w:vMerge w:val="restart"/>
          </w:tcPr>
          <w:p>
            <w:pPr>
              <w:ind w:left="3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20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300"/>
              <w:spacing w:after="0"/>
              <w:rPr>
                <w:sz w:val="20"/>
                <w:szCs w:val="20"/>
                <w:color w:val="auto"/>
              </w:rPr>
            </w:pPr>
            <w:r>
              <w:rPr>
                <w:rFonts w:ascii="Arial" w:cs="Arial" w:eastAsia="Arial" w:hAnsi="Arial"/>
                <w:sz w:val="14"/>
                <w:szCs w:val="14"/>
                <w:color w:val="auto"/>
                <w:w w:val="94"/>
              </w:rPr>
              <w:t>Person</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2780" w:type="dxa"/>
            <w:vAlign w:val="bottom"/>
            <w:tcBorders>
              <w:bottom w:val="single" w:sz="8" w:color="2C2C2C"/>
            </w:tcBorders>
            <w:gridSpan w:val="5"/>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jc w:val="center"/>
              <w:ind w:left="72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4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8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6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8"/>
              </w:rPr>
              <w:t>01/13/2020</w:t>
            </w: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91"/>
                <w:vertAlign w:val="subscript"/>
              </w:rPr>
              <w:t>M</w:t>
            </w:r>
            <w:r>
              <w:rPr>
                <w:rFonts w:ascii="Arial" w:cs="Arial" w:eastAsia="Arial" w:hAnsi="Arial"/>
                <w:sz w:val="11"/>
                <w:szCs w:val="11"/>
                <w:color w:val="008000"/>
                <w:w w:val="91"/>
              </w:rPr>
              <w:t>(1)</w:t>
            </w:r>
          </w:p>
        </w:tc>
        <w:tc>
          <w:tcPr>
            <w:tcW w:w="720" w:type="dxa"/>
            <w:vAlign w:val="bottom"/>
            <w:tcBorders>
              <w:bottom w:val="single" w:sz="8" w:color="2C2C2C"/>
            </w:tcBorders>
          </w:tcPr>
          <w:p>
            <w:pPr>
              <w:jc w:val="right"/>
              <w:ind w:right="30"/>
              <w:spacing w:after="0"/>
              <w:rPr>
                <w:sz w:val="20"/>
                <w:szCs w:val="20"/>
                <w:color w:val="auto"/>
              </w:rPr>
            </w:pPr>
            <w:r>
              <w:rPr>
                <w:rFonts w:ascii="Arial" w:cs="Arial" w:eastAsia="Arial" w:hAnsi="Arial"/>
                <w:sz w:val="18"/>
                <w:szCs w:val="18"/>
                <w:color w:val="0000FF"/>
              </w:rPr>
              <w:t>6,759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24.77</w:t>
            </w:r>
          </w:p>
        </w:tc>
        <w:tc>
          <w:tcPr>
            <w:tcW w:w="12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6"/>
              </w:rPr>
              <w:t>218,111</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45"/>
              <w:spacing w:after="0"/>
              <w:rPr>
                <w:sz w:val="20"/>
                <w:szCs w:val="20"/>
                <w:color w:val="auto"/>
              </w:rPr>
            </w:pPr>
            <w:r>
              <w:rPr>
                <w:rFonts w:ascii="Arial" w:cs="Arial" w:eastAsia="Arial" w:hAnsi="Arial"/>
                <w:sz w:val="18"/>
                <w:szCs w:val="18"/>
                <w:color w:val="0000FF"/>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8"/>
              </w:rPr>
              <w:t>01/13/2020</w:t>
            </w: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right"/>
              <w:ind w:right="30"/>
              <w:spacing w:after="0"/>
              <w:rPr>
                <w:sz w:val="20"/>
                <w:szCs w:val="20"/>
                <w:color w:val="auto"/>
              </w:rPr>
            </w:pPr>
            <w:r>
              <w:rPr>
                <w:rFonts w:ascii="Arial" w:cs="Arial" w:eastAsia="Arial" w:hAnsi="Arial"/>
                <w:sz w:val="18"/>
                <w:szCs w:val="18"/>
                <w:color w:val="0000FF"/>
              </w:rPr>
              <w:t>6,759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70.9</w:t>
            </w:r>
            <w:r>
              <w:rPr>
                <w:rFonts w:ascii="Arial" w:cs="Arial" w:eastAsia="Arial" w:hAnsi="Arial"/>
                <w:sz w:val="22"/>
                <w:szCs w:val="22"/>
                <w:color w:val="008000"/>
                <w:w w:val="85"/>
                <w:vertAlign w:val="superscript"/>
              </w:rPr>
              <w:t>(3)</w:t>
            </w:r>
          </w:p>
        </w:tc>
        <w:tc>
          <w:tcPr>
            <w:tcW w:w="12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6"/>
              </w:rPr>
              <w:t>211,352</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45"/>
              <w:spacing w:after="0"/>
              <w:rPr>
                <w:sz w:val="20"/>
                <w:szCs w:val="20"/>
                <w:color w:val="auto"/>
              </w:rPr>
            </w:pPr>
            <w:r>
              <w:rPr>
                <w:rFonts w:ascii="Arial" w:cs="Arial" w:eastAsia="Arial" w:hAnsi="Arial"/>
                <w:sz w:val="18"/>
                <w:szCs w:val="18"/>
                <w:color w:val="0000FF"/>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8"/>
              </w:rPr>
              <w:t>01/13/2020</w:t>
            </w: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jc w:val="center"/>
              <w:ind w:right="26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(4)</w:t>
            </w: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color w:val="0000FF"/>
              </w:rPr>
              <w:t>9,697</w:t>
            </w:r>
          </w:p>
        </w:tc>
        <w:tc>
          <w:tcPr>
            <w:tcW w:w="680" w:type="dxa"/>
            <w:vAlign w:val="bottom"/>
            <w:vMerge w:val="restart"/>
          </w:tcPr>
          <w:p>
            <w:pPr>
              <w:ind w:left="300"/>
              <w:spacing w:after="0"/>
              <w:rPr>
                <w:sz w:val="20"/>
                <w:szCs w:val="20"/>
                <w:color w:val="auto"/>
              </w:rPr>
            </w:pPr>
            <w:r>
              <w:rPr>
                <w:rFonts w:ascii="Arial" w:cs="Arial" w:eastAsia="Arial" w:hAnsi="Arial"/>
                <w:sz w:val="18"/>
                <w:szCs w:val="18"/>
                <w:color w:val="0000FF"/>
              </w:rPr>
              <w:t>D</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70.9</w:t>
            </w:r>
            <w:r>
              <w:rPr>
                <w:rFonts w:ascii="Arial" w:cs="Arial" w:eastAsia="Arial" w:hAnsi="Arial"/>
                <w:sz w:val="22"/>
                <w:szCs w:val="22"/>
                <w:color w:val="008000"/>
                <w:w w:val="85"/>
                <w:vertAlign w:val="superscript"/>
              </w:rPr>
              <w:t>(5)</w:t>
            </w:r>
          </w:p>
        </w:tc>
        <w:tc>
          <w:tcPr>
            <w:tcW w:w="1280" w:type="dxa"/>
            <w:vAlign w:val="bottom"/>
            <w:gridSpan w:val="4"/>
            <w:vMerge w:val="restart"/>
          </w:tcPr>
          <w:p>
            <w:pPr>
              <w:jc w:val="center"/>
              <w:spacing w:after="0"/>
              <w:rPr>
                <w:sz w:val="20"/>
                <w:szCs w:val="20"/>
                <w:color w:val="auto"/>
              </w:rPr>
            </w:pPr>
            <w:r>
              <w:rPr>
                <w:rFonts w:ascii="Arial" w:cs="Arial" w:eastAsia="Arial" w:hAnsi="Arial"/>
                <w:sz w:val="18"/>
                <w:szCs w:val="18"/>
                <w:color w:val="0000FF"/>
                <w:w w:val="86"/>
              </w:rPr>
              <w:t>258,185</w:t>
            </w:r>
          </w:p>
        </w:tc>
        <w:tc>
          <w:tcPr>
            <w:tcW w:w="360" w:type="dxa"/>
            <w:vAlign w:val="bottom"/>
          </w:tcPr>
          <w:p>
            <w:pPr>
              <w:spacing w:after="0"/>
              <w:rPr>
                <w:sz w:val="22"/>
                <w:szCs w:val="22"/>
                <w:color w:val="auto"/>
              </w:rPr>
            </w:pPr>
          </w:p>
        </w:tc>
        <w:tc>
          <w:tcPr>
            <w:tcW w:w="560" w:type="dxa"/>
            <w:vAlign w:val="bottom"/>
            <w:vMerge w:val="restart"/>
          </w:tcPr>
          <w:p>
            <w:pPr>
              <w:jc w:val="center"/>
              <w:ind w:right="345"/>
              <w:spacing w:after="0"/>
              <w:rPr>
                <w:sz w:val="20"/>
                <w:szCs w:val="20"/>
                <w:color w:val="auto"/>
              </w:rPr>
            </w:pPr>
            <w:r>
              <w:rPr>
                <w:rFonts w:ascii="Arial" w:cs="Arial" w:eastAsia="Arial" w:hAnsi="Arial"/>
                <w:sz w:val="18"/>
                <w:szCs w:val="18"/>
                <w:color w:val="0000FF"/>
              </w:rPr>
              <w:t>I</w:t>
            </w:r>
          </w:p>
        </w:tc>
        <w:tc>
          <w:tcPr>
            <w:tcW w:w="340" w:type="dxa"/>
            <w:vAlign w:val="bottom"/>
          </w:tcPr>
          <w:p>
            <w:pPr>
              <w:ind w:left="60"/>
              <w:spacing w:after="0"/>
              <w:rPr>
                <w:sz w:val="20"/>
                <w:szCs w:val="20"/>
                <w:color w:val="auto"/>
              </w:rPr>
            </w:pPr>
            <w:r>
              <w:rPr>
                <w:rFonts w:ascii="Arial" w:cs="Arial" w:eastAsia="Arial" w:hAnsi="Arial"/>
                <w:sz w:val="18"/>
                <w:szCs w:val="18"/>
                <w:color w:val="0000FF"/>
                <w:w w:val="81"/>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00" w:type="dxa"/>
            <w:vAlign w:val="bottom"/>
            <w:gridSpan w:val="6"/>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gridSpan w:val="4"/>
            <w:vMerge w:val="restart"/>
          </w:tcPr>
          <w:p>
            <w:pPr>
              <w:jc w:val="center"/>
              <w:spacing w:after="0"/>
              <w:rPr>
                <w:sz w:val="20"/>
                <w:szCs w:val="20"/>
                <w:color w:val="auto"/>
              </w:rPr>
            </w:pPr>
            <w:r>
              <w:rPr>
                <w:rFonts w:ascii="Arial" w:cs="Arial" w:eastAsia="Arial" w:hAnsi="Arial"/>
                <w:sz w:val="18"/>
                <w:szCs w:val="18"/>
                <w:color w:val="0000FF"/>
                <w:w w:val="87"/>
              </w:rPr>
              <w:t>40,219</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45"/>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81"/>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gridSpan w:val="4"/>
            <w:vMerge w:val="restart"/>
          </w:tcPr>
          <w:p>
            <w:pPr>
              <w:jc w:val="center"/>
              <w:spacing w:after="0"/>
              <w:rPr>
                <w:sz w:val="20"/>
                <w:szCs w:val="20"/>
                <w:color w:val="auto"/>
              </w:rPr>
            </w:pPr>
            <w:r>
              <w:rPr>
                <w:rFonts w:ascii="Arial" w:cs="Arial" w:eastAsia="Arial" w:hAnsi="Arial"/>
                <w:sz w:val="18"/>
                <w:szCs w:val="18"/>
                <w:color w:val="0000FF"/>
                <w:w w:val="86"/>
              </w:rPr>
              <w:t>177,134</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45"/>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81"/>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gridSpan w:val="4"/>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45"/>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81"/>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gridSpan w:val="4"/>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45"/>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81"/>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500" w:type="dxa"/>
            <w:vAlign w:val="bottom"/>
            <w:gridSpan w:val="15"/>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4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right"/>
              <w:ind w:right="3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(11)</w:t>
            </w:r>
          </w:p>
        </w:tc>
        <w:tc>
          <w:tcPr>
            <w:tcW w:w="720" w:type="dxa"/>
            <w:vAlign w:val="bottom"/>
          </w:tcPr>
          <w:p>
            <w:pPr>
              <w:spacing w:after="0"/>
              <w:rPr>
                <w:sz w:val="12"/>
                <w:szCs w:val="12"/>
                <w:color w:val="auto"/>
              </w:rPr>
            </w:pPr>
          </w:p>
        </w:tc>
        <w:tc>
          <w:tcPr>
            <w:tcW w:w="6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6,759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24.77</w:t>
            </w:r>
          </w:p>
        </w:tc>
        <w:tc>
          <w:tcPr>
            <w:tcW w:w="160" w:type="dxa"/>
            <w:vAlign w:val="bottom"/>
          </w:tcPr>
          <w:p>
            <w:pPr>
              <w:spacing w:after="0"/>
              <w:rPr>
                <w:sz w:val="12"/>
                <w:szCs w:val="12"/>
                <w:color w:val="auto"/>
              </w:rPr>
            </w:pPr>
          </w:p>
        </w:tc>
        <w:tc>
          <w:tcPr>
            <w:tcW w:w="1080" w:type="dxa"/>
            <w:vAlign w:val="bottom"/>
          </w:tcPr>
          <w:p>
            <w:pPr>
              <w:jc w:val="right"/>
              <w:ind w:right="129"/>
              <w:spacing w:after="0" w:line="149" w:lineRule="exact"/>
              <w:rPr>
                <w:sz w:val="20"/>
                <w:szCs w:val="20"/>
                <w:color w:val="auto"/>
              </w:rPr>
            </w:pPr>
            <w:r>
              <w:rPr>
                <w:rFonts w:ascii="Arial" w:cs="Arial" w:eastAsia="Arial" w:hAnsi="Arial"/>
                <w:sz w:val="14"/>
                <w:szCs w:val="14"/>
                <w:color w:val="0000FF"/>
              </w:rPr>
              <w:t>01/13/2020</w:t>
            </w: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ind w:left="400"/>
              <w:spacing w:after="0" w:line="149" w:lineRule="exact"/>
              <w:rPr>
                <w:sz w:val="20"/>
                <w:szCs w:val="20"/>
                <w:color w:val="auto"/>
              </w:rPr>
            </w:pPr>
            <w:r>
              <w:rPr>
                <w:rFonts w:ascii="Arial" w:cs="Arial" w:eastAsia="Arial" w:hAnsi="Arial"/>
                <w:sz w:val="14"/>
                <w:szCs w:val="14"/>
                <w:color w:val="0000FF"/>
              </w:rPr>
              <w:t>6,759</w:t>
            </w:r>
          </w:p>
        </w:tc>
        <w:tc>
          <w:tcPr>
            <w:tcW w:w="840" w:type="dxa"/>
            <w:vAlign w:val="bottom"/>
            <w:gridSpan w:val="2"/>
            <w:vMerge w:val="continue"/>
          </w:tcPr>
          <w:p>
            <w:pPr>
              <w:spacing w:after="0"/>
              <w:rPr>
                <w:sz w:val="12"/>
                <w:szCs w:val="12"/>
                <w:color w:val="auto"/>
              </w:rPr>
            </w:pPr>
          </w:p>
        </w:tc>
        <w:tc>
          <w:tcPr>
            <w:tcW w:w="720" w:type="dxa"/>
            <w:vAlign w:val="bottom"/>
          </w:tcPr>
          <w:p>
            <w:pPr>
              <w:ind w:left="40"/>
              <w:spacing w:after="0" w:line="149" w:lineRule="exact"/>
              <w:rPr>
                <w:sz w:val="20"/>
                <w:szCs w:val="20"/>
                <w:color w:val="auto"/>
              </w:rPr>
            </w:pPr>
            <w:r>
              <w:rPr>
                <w:rFonts w:ascii="Arial" w:cs="Arial" w:eastAsia="Arial" w:hAnsi="Arial"/>
                <w:sz w:val="14"/>
                <w:szCs w:val="14"/>
                <w:color w:val="0000FF"/>
                <w:w w:val="94"/>
              </w:rPr>
              <w:t>02/07/2022</w:t>
            </w:r>
          </w:p>
        </w:tc>
        <w:tc>
          <w:tcPr>
            <w:tcW w:w="68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800" w:type="dxa"/>
            <w:vAlign w:val="bottom"/>
            <w:gridSpan w:val="3"/>
          </w:tcPr>
          <w:p>
            <w:pPr>
              <w:jc w:val="right"/>
              <w:ind w:right="298"/>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2"/>
          </w:tcPr>
          <w:p>
            <w:pPr>
              <w:ind w:left="240"/>
              <w:spacing w:after="0" w:line="149" w:lineRule="exact"/>
              <w:rPr>
                <w:sz w:val="20"/>
                <w:szCs w:val="20"/>
                <w:color w:val="auto"/>
              </w:rPr>
            </w:pPr>
            <w:r>
              <w:rPr>
                <w:rFonts w:ascii="Arial" w:cs="Arial" w:eastAsia="Arial" w:hAnsi="Arial"/>
                <w:sz w:val="14"/>
                <w:szCs w:val="14"/>
                <w:color w:val="0000FF"/>
              </w:rPr>
              <w:t>22,500</w:t>
            </w:r>
          </w:p>
        </w:tc>
        <w:tc>
          <w:tcPr>
            <w:tcW w:w="560" w:type="dxa"/>
            <w:vAlign w:val="bottom"/>
          </w:tcPr>
          <w:p>
            <w:pPr>
              <w:ind w:left="420"/>
              <w:spacing w:after="0" w:line="149" w:lineRule="exact"/>
              <w:rPr>
                <w:sz w:val="20"/>
                <w:szCs w:val="20"/>
                <w:color w:val="auto"/>
              </w:rPr>
            </w:pPr>
            <w:r>
              <w:rPr>
                <w:rFonts w:ascii="Arial" w:cs="Arial" w:eastAsia="Arial" w:hAnsi="Arial"/>
                <w:sz w:val="14"/>
                <w:szCs w:val="14"/>
                <w:color w:val="0000FF"/>
              </w:rPr>
              <w:t>D</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w w:val="97"/>
              </w:rPr>
              <w:t>per share</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13, 2020, the reporting person exercised previously issued options to purchase an aggregate of 6,759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$70.90 to $70.95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Rohit Kapoor 2016 Family Trust.</w:t>
      </w:r>
    </w:p>
    <w:p>
      <w:pPr>
        <w:spacing w:after="0" w:line="41" w:lineRule="exact"/>
        <w:rPr>
          <w:rFonts w:ascii="Arial" w:cs="Arial" w:eastAsia="Arial" w:hAnsi="Arial"/>
          <w:sz w:val="14"/>
          <w:szCs w:val="14"/>
          <w:color w:val="008000"/>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$70.90 to $70.95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41" w:lineRule="exact"/>
        <w:rPr>
          <w:rFonts w:ascii="Arial" w:cs="Arial" w:eastAsia="Arial" w:hAnsi="Arial"/>
          <w:sz w:val="14"/>
          <w:szCs w:val="14"/>
          <w:color w:val="008000"/>
        </w:rPr>
      </w:pPr>
    </w:p>
    <w:p>
      <w:pPr>
        <w:ind w:left="40" w:right="380" w:firstLine="9"/>
        <w:spacing w:after="0" w:line="298" w:lineRule="auto"/>
        <w:tabs>
          <w:tab w:leader="none" w:pos="23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7, 2012, the reporting person was granted 97,500 stock options. 25 percent of these options became vested and exercisable on February 7, 2013, an additional 25 percent became vested and exercisable on February 7, 2014, an additional 25 percent became vested and exercisable on February 7, 2015, and the balance of 25 percent became vested and exercisable on February 7, 2016.</w:t>
      </w:r>
    </w:p>
    <w:p>
      <w:pPr>
        <w:sectPr>
          <w:pgSz w:w="11900" w:h="16838" w:orient="portrait"/>
          <w:cols w:equalWidth="0" w:num="1">
            <w:col w:w="11520"/>
          </w:cols>
          <w:pgMar w:left="240" w:top="226" w:right="139" w:bottom="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8000"/>
        </w:rPr>
        <w:t>Mr. Oseni is the Company's Head of Administration and Accounts.</w:t>
      </w:r>
    </w:p>
    <w:p>
      <w:pPr>
        <w:ind w:left="682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9"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2020-01-15T16:03:18Z</dcterms:created>
  <dcterms:modified xsi:type="dcterms:W3CDTF">2020-01-15T16:03:18Z</dcterms:modified>
</cp:coreProperties>
</file>