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4302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430276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restart"/>
          </w:tcPr>
          <w:p>
            <w:pPr>
              <w:spacing w:after="0" w:line="181" w:lineRule="exact"/>
              <w:rPr>
                <w:rFonts w:ascii="Arial" w:cs="Arial" w:eastAsia="Arial" w:hAnsi="Arial"/>
                <w:sz w:val="16"/>
                <w:szCs w:val="16"/>
                <w:color w:val="0000EE"/>
                <w:w w:val="91"/>
              </w:rPr>
            </w:pPr>
            <w:hyperlink r:id="rId11">
              <w:r>
                <w:rPr>
                  <w:rFonts w:ascii="Arial" w:cs="Arial" w:eastAsia="Arial" w:hAnsi="Arial"/>
                  <w:sz w:val="16"/>
                  <w:szCs w:val="16"/>
                  <w:color w:val="0000EE"/>
                  <w:w w:val="91"/>
                </w:rPr>
                <w:t>Rai Ankor</w:t>
              </w:r>
            </w:hyperlink>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0000EE"/>
            </w:tcBorders>
            <w:vMerge w:val="continue"/>
          </w:tcPr>
          <w:p>
            <w:pPr>
              <w:spacing w:after="0"/>
              <w:rPr>
                <w:sz w:val="9"/>
                <w:szCs w:val="9"/>
                <w:color w:val="auto"/>
              </w:rPr>
            </w:pPr>
          </w:p>
        </w:tc>
        <w:tc>
          <w:tcPr>
            <w:tcW w:w="20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10/05/2021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0"/>
                <w:szCs w:val="10"/>
                <w:color w:val="auto"/>
              </w:rPr>
              <w:t>(Last)</w:t>
            </w:r>
          </w:p>
        </w:tc>
        <w:tc>
          <w:tcPr>
            <w:tcW w:w="1140" w:type="dxa"/>
            <w:vAlign w:val="bottom"/>
          </w:tcPr>
          <w:p>
            <w:pPr>
              <w:ind w:left="18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320 PARK AVENUE</w:t>
            </w: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90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3"/>
                <w:szCs w:val="13"/>
                <w:color w:val="0000FF"/>
              </w:rPr>
              <w:t>NEW YORK</w:t>
            </w:r>
          </w:p>
        </w:tc>
        <w:tc>
          <w:tcPr>
            <w:tcW w:w="1140" w:type="dxa"/>
            <w:vAlign w:val="bottom"/>
          </w:tcPr>
          <w:p>
            <w:pPr>
              <w:ind w:left="180"/>
              <w:spacing w:after="0"/>
              <w:rPr>
                <w:sz w:val="20"/>
                <w:szCs w:val="20"/>
                <w:color w:val="auto"/>
              </w:rPr>
            </w:pPr>
            <w:r>
              <w:rPr>
                <w:rFonts w:ascii="Arial" w:cs="Arial" w:eastAsia="Arial" w:hAnsi="Arial"/>
                <w:sz w:val="13"/>
                <w:szCs w:val="13"/>
                <w:color w:val="0000FF"/>
              </w:rPr>
              <w:t>NY</w:t>
            </w:r>
          </w:p>
        </w:tc>
        <w:tc>
          <w:tcPr>
            <w:tcW w:w="1140" w:type="dxa"/>
            <w:vAlign w:val="bottom"/>
          </w:tcPr>
          <w:p>
            <w:pPr>
              <w:ind w:left="100"/>
              <w:spacing w:after="0"/>
              <w:rPr>
                <w:sz w:val="20"/>
                <w:szCs w:val="20"/>
                <w:color w:val="auto"/>
              </w:rPr>
            </w:pPr>
            <w:r>
              <w:rPr>
                <w:rFonts w:ascii="Arial" w:cs="Arial" w:eastAsia="Arial" w:hAnsi="Arial"/>
                <w:sz w:val="13"/>
                <w:szCs w:val="13"/>
                <w:color w:val="0000FF"/>
              </w:rPr>
              <w:t>10022</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ExlService Holdings,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EXLS</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3"/>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182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1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400" w:type="dxa"/>
            <w:vAlign w:val="bottom"/>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42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100"/>
        </w:trPr>
        <w:tc>
          <w:tcPr>
            <w:tcW w:w="400" w:type="dxa"/>
            <w:vAlign w:val="bottom"/>
            <w:vMerge w:val="continue"/>
          </w:tcPr>
          <w:p>
            <w:pPr>
              <w:spacing w:after="0"/>
              <w:rPr>
                <w:sz w:val="8"/>
                <w:szCs w:val="8"/>
                <w:color w:val="auto"/>
              </w:rPr>
            </w:pPr>
          </w:p>
        </w:tc>
        <w:tc>
          <w:tcPr>
            <w:tcW w:w="142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420" w:type="dxa"/>
            <w:vAlign w:val="bottom"/>
            <w:vMerge w:val="restart"/>
          </w:tcPr>
          <w:p>
            <w:pPr>
              <w:ind w:left="28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2840" w:type="dxa"/>
            <w:vAlign w:val="bottom"/>
            <w:gridSpan w:val="2"/>
            <w:vMerge w:val="restart"/>
          </w:tcPr>
          <w:p>
            <w:pPr>
              <w:ind w:left="500"/>
              <w:spacing w:after="0"/>
              <w:rPr>
                <w:sz w:val="20"/>
                <w:szCs w:val="20"/>
                <w:color w:val="auto"/>
              </w:rPr>
            </w:pPr>
            <w:r>
              <w:rPr>
                <w:rFonts w:ascii="Arial" w:cs="Arial" w:eastAsia="Arial" w:hAnsi="Arial"/>
                <w:sz w:val="13"/>
                <w:szCs w:val="13"/>
                <w:color w:val="0000FF"/>
              </w:rPr>
              <w:t>EVP, Chief Digital Officer</w:t>
            </w:r>
          </w:p>
        </w:tc>
        <w:tc>
          <w:tcPr>
            <w:tcW w:w="1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00" w:type="dxa"/>
            <w:vAlign w:val="bottom"/>
          </w:tcPr>
          <w:p>
            <w:pPr>
              <w:spacing w:after="0"/>
              <w:rPr>
                <w:sz w:val="9"/>
                <w:szCs w:val="9"/>
                <w:color w:val="auto"/>
              </w:rPr>
            </w:pPr>
          </w:p>
        </w:tc>
        <w:tc>
          <w:tcPr>
            <w:tcW w:w="2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52"/>
        </w:trPr>
        <w:tc>
          <w:tcPr>
            <w:tcW w:w="4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000" w:type="dxa"/>
            <w:vAlign w:val="bottom"/>
          </w:tcPr>
          <w:p>
            <w:pPr>
              <w:ind w:left="40"/>
              <w:spacing w:after="0"/>
              <w:rPr>
                <w:sz w:val="20"/>
                <w:szCs w:val="20"/>
                <w:color w:val="auto"/>
              </w:rPr>
            </w:pPr>
            <w:r>
              <w:rPr>
                <w:rFonts w:ascii="Arial" w:cs="Arial" w:eastAsia="Arial" w:hAnsi="Arial"/>
                <w:sz w:val="13"/>
                <w:szCs w:val="13"/>
                <w:color w:val="0000FF"/>
              </w:rPr>
              <w:t>Common Stock, par value $0.001 per share</w:t>
            </w: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20" w:type="dxa"/>
            <w:vAlign w:val="bottom"/>
          </w:tcPr>
          <w:p>
            <w:pPr>
              <w:jc w:val="right"/>
              <w:ind w:right="1098"/>
              <w:spacing w:after="0"/>
              <w:rPr>
                <w:sz w:val="20"/>
                <w:szCs w:val="20"/>
                <w:color w:val="auto"/>
              </w:rPr>
            </w:pPr>
            <w:r>
              <w:rPr>
                <w:rFonts w:ascii="Arial" w:cs="Arial" w:eastAsia="Arial" w:hAnsi="Arial"/>
                <w:sz w:val="13"/>
                <w:szCs w:val="13"/>
                <w:color w:val="0000FF"/>
              </w:rPr>
              <w:t>0</w:t>
            </w:r>
          </w:p>
        </w:tc>
        <w:tc>
          <w:tcPr>
            <w:tcW w:w="660" w:type="dxa"/>
            <w:vAlign w:val="bottom"/>
          </w:tcPr>
          <w:p>
            <w:pPr>
              <w:ind w:left="40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38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300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3380" w:type="dxa"/>
            <w:vAlign w:val="bottom"/>
            <w:tcBorders>
              <w:top w:val="single" w:sz="8" w:color="2C2C2C"/>
            </w:tcBorders>
            <w:gridSpan w:val="3"/>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60" w:type="dxa"/>
            <w:vAlign w:val="bottom"/>
            <w:tcBorders>
              <w:top w:val="single" w:sz="8" w:color="2C2C2C"/>
            </w:tcBorders>
          </w:tcPr>
          <w:p>
            <w:pPr>
              <w:spacing w:after="0"/>
              <w:rPr>
                <w:sz w:val="13"/>
                <w:szCs w:val="13"/>
                <w:color w:val="auto"/>
              </w:rPr>
            </w:pPr>
          </w:p>
        </w:tc>
        <w:tc>
          <w:tcPr>
            <w:tcW w:w="72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168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740" w:type="dxa"/>
            <w:vAlign w:val="bottom"/>
            <w:gridSpan w:val="5"/>
          </w:tcPr>
          <w:p>
            <w:pPr>
              <w:ind w:left="7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0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700" w:type="dxa"/>
            <w:vAlign w:val="bottom"/>
          </w:tcPr>
          <w:p>
            <w:pPr>
              <w:spacing w:after="0"/>
              <w:rPr>
                <w:sz w:val="11"/>
                <w:szCs w:val="11"/>
                <w:color w:val="auto"/>
              </w:rPr>
            </w:pPr>
          </w:p>
        </w:tc>
        <w:tc>
          <w:tcPr>
            <w:tcW w:w="126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700" w:type="dxa"/>
            <w:vAlign w:val="bottom"/>
            <w:gridSpan w:val="2"/>
          </w:tcPr>
          <w:p>
            <w:pPr>
              <w:ind w:left="12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6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6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tcPr>
          <w:p>
            <w:pPr>
              <w:jc w:val="center"/>
              <w:spacing w:after="0" w:line="110" w:lineRule="exact"/>
              <w:rPr>
                <w:sz w:val="20"/>
                <w:szCs w:val="20"/>
                <w:color w:val="auto"/>
              </w:rPr>
            </w:pPr>
            <w:r>
              <w:rPr>
                <w:rFonts w:ascii="Arial" w:cs="Arial" w:eastAsia="Arial" w:hAnsi="Arial"/>
                <w:sz w:val="10"/>
                <w:szCs w:val="10"/>
                <w:b w:val="1"/>
                <w:bCs w:val="1"/>
                <w:color w:val="auto"/>
                <w:w w:val="98"/>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0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(1)</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(1)</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0"/>
              </w:rPr>
              <w:t>12,181</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(2)</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(2)</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3,840</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(3)</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(3)</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2,520</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(4)</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(4)</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9,133</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(5)</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(5)</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1,343</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vMerge w:val="restart"/>
          </w:tcPr>
          <w:p>
            <w:pPr>
              <w:ind w:left="40"/>
              <w:spacing w:after="0"/>
              <w:rPr>
                <w:sz w:val="20"/>
                <w:szCs w:val="20"/>
                <w:color w:val="auto"/>
              </w:rPr>
            </w:pPr>
            <w:r>
              <w:rPr>
                <w:rFonts w:ascii="Arial" w:cs="Arial" w:eastAsia="Arial" w:hAnsi="Arial"/>
                <w:sz w:val="13"/>
                <w:szCs w:val="13"/>
                <w:color w:val="0000FF"/>
              </w:rPr>
              <w:t>Restricted Stock Units</w:t>
            </w:r>
          </w:p>
        </w:tc>
        <w:tc>
          <w:tcPr>
            <w:tcW w:w="1360" w:type="dxa"/>
            <w:vAlign w:val="bottom"/>
            <w:gridSpan w:val="2"/>
            <w:vMerge w:val="restart"/>
          </w:tcPr>
          <w:p>
            <w:pPr>
              <w:jc w:val="right"/>
              <w:ind w:right="227"/>
              <w:spacing w:after="0"/>
              <w:rPr>
                <w:sz w:val="20"/>
                <w:szCs w:val="20"/>
                <w:color w:val="auto"/>
              </w:rPr>
            </w:pPr>
            <w:r>
              <w:rPr>
                <w:rFonts w:ascii="Arial" w:cs="Arial" w:eastAsia="Arial" w:hAnsi="Arial"/>
                <w:sz w:val="8"/>
                <w:szCs w:val="8"/>
                <w:color w:val="008000"/>
              </w:rPr>
              <w:t>(6)</w:t>
            </w:r>
          </w:p>
        </w:tc>
        <w:tc>
          <w:tcPr>
            <w:tcW w:w="600" w:type="dxa"/>
            <w:vAlign w:val="bottom"/>
            <w:vMerge w:val="restart"/>
          </w:tcPr>
          <w:p>
            <w:pPr>
              <w:jc w:val="center"/>
              <w:spacing w:after="0"/>
              <w:rPr>
                <w:sz w:val="20"/>
                <w:szCs w:val="20"/>
                <w:color w:val="auto"/>
              </w:rPr>
            </w:pPr>
            <w:r>
              <w:rPr>
                <w:rFonts w:ascii="Arial" w:cs="Arial" w:eastAsia="Arial" w:hAnsi="Arial"/>
                <w:sz w:val="8"/>
                <w:szCs w:val="8"/>
                <w:color w:val="008000"/>
                <w:w w:val="81"/>
              </w:rPr>
              <w:t>(6)</w:t>
            </w:r>
          </w:p>
        </w:tc>
        <w:tc>
          <w:tcPr>
            <w:tcW w:w="2120" w:type="dxa"/>
            <w:vAlign w:val="bottom"/>
          </w:tcPr>
          <w:p>
            <w:pPr>
              <w:jc w:val="center"/>
              <w:spacing w:after="0"/>
              <w:rPr>
                <w:sz w:val="20"/>
                <w:szCs w:val="20"/>
                <w:color w:val="auto"/>
              </w:rPr>
            </w:pPr>
            <w:r>
              <w:rPr>
                <w:rFonts w:ascii="Arial" w:cs="Arial" w:eastAsia="Arial" w:hAnsi="Arial"/>
                <w:sz w:val="13"/>
                <w:szCs w:val="13"/>
                <w:color w:val="0000FF"/>
                <w:w w:val="90"/>
              </w:rPr>
              <w:t>Common Stock, par value $0.001 per</w:t>
            </w: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92"/>
              </w:rPr>
              <w:t>537</w:t>
            </w:r>
          </w:p>
        </w:tc>
        <w:tc>
          <w:tcPr>
            <w:tcW w:w="720" w:type="dxa"/>
            <w:vAlign w:val="bottom"/>
            <w:vMerge w:val="restart"/>
          </w:tcPr>
          <w:p>
            <w:pPr>
              <w:jc w:val="right"/>
              <w:ind w:right="202"/>
              <w:spacing w:after="0"/>
              <w:rPr>
                <w:sz w:val="20"/>
                <w:szCs w:val="20"/>
                <w:color w:val="auto"/>
              </w:rPr>
            </w:pPr>
            <w:r>
              <w:rPr>
                <w:rFonts w:ascii="Arial" w:cs="Arial" w:eastAsia="Arial" w:hAnsi="Arial"/>
                <w:sz w:val="13"/>
                <w:szCs w:val="13"/>
                <w:color w:val="0000FF"/>
              </w:rPr>
              <w:t>0.0</w:t>
            </w:r>
          </w:p>
        </w:tc>
        <w:tc>
          <w:tcPr>
            <w:tcW w:w="84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000FF"/>
                <w:w w:val="85"/>
              </w:rPr>
              <w:t>share</w:t>
            </w: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September 1, 2021, the reporting person was granted 12,181 restricted stock units. The restricted stock units will vest in two installments, one-third on the second anniversary of the grant date, and two-thirds on the third anniversary of the grant date.</w:t>
      </w:r>
    </w:p>
    <w:p>
      <w:pPr>
        <w:spacing w:after="0" w:line="46" w:lineRule="exact"/>
        <w:rPr>
          <w:rFonts w:ascii="Arial" w:cs="Arial" w:eastAsia="Arial" w:hAnsi="Arial"/>
          <w:sz w:val="9"/>
          <w:szCs w:val="9"/>
          <w:color w:val="008000"/>
        </w:rPr>
      </w:pPr>
    </w:p>
    <w:p>
      <w:pPr>
        <w:ind w:left="40" w:right="60" w:hanging="10"/>
        <w:spacing w:after="0" w:line="282"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February 17, 2021, the reporting person was granted 3,840 restricted stock units, twenty-five percent of the restricted stock units will vest on February 17, 2022 an additional twenty-five percent of the restricted stock units will vest on February 17, 2023, an additional twenty-five percent of the restricted stock units will vest on February 17, 2024, and the remaining balance of twenty-five percent of the restricted stock units will vest on February 17, 2025. On February 17, 2021,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5" w:lineRule="exact"/>
        <w:rPr>
          <w:rFonts w:ascii="Arial" w:cs="Arial" w:eastAsia="Arial" w:hAnsi="Arial"/>
          <w:sz w:val="9"/>
          <w:szCs w:val="9"/>
          <w:color w:val="008000"/>
        </w:rPr>
      </w:pPr>
    </w:p>
    <w:p>
      <w:pPr>
        <w:ind w:left="40" w:right="80" w:hanging="10"/>
        <w:spacing w:after="0" w:line="238"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On February 19, 2020, the reporting person was granted 3,360 restricted stock units, twenty-five percent of the restricted stock units became vested February 19, 2021 an additional twenty-five percent of the restricted stock units will vest on February 19, 2022, an additional twenty-five percent of the restricted stock units will vest on February 19, 2023, and the remaining balance of twenty-five percent of the restricted stock units will vest on February 19, 2024. On February 19, 2020,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24"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October 22, 2019, the reporting person was granted 9,133 restricted stock units, fifty percent of the restricted stock units will vest on October 22, 2021, and the remaining balance of fifty percent of the restricted stock units will vest on October 22, 2022.</w:t>
      </w:r>
    </w:p>
    <w:p>
      <w:pPr>
        <w:spacing w:after="0" w:line="46" w:lineRule="exact"/>
        <w:rPr>
          <w:rFonts w:ascii="Arial" w:cs="Arial" w:eastAsia="Arial" w:hAnsi="Arial"/>
          <w:sz w:val="9"/>
          <w:szCs w:val="9"/>
          <w:color w:val="008000"/>
        </w:rPr>
      </w:pPr>
    </w:p>
    <w:p>
      <w:pPr>
        <w:ind w:left="40" w:right="80" w:hanging="10"/>
        <w:spacing w:after="0" w:line="238"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On February 20, 2019, the reporting person was granted 2,685 restricted stock units, twenty five percent of the restricted stock units became vested on February 20, 2020, an additional twenty five percent of the restricted stock units became vested on February 20, 2021, an additional twenty five percent of the restricted stock units will vest on February 20, 2022, and the remaining balance of twenty five percent of the restricted stock units will vest on February 20, 2023. On February 20, 2019,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24" w:lineRule="exact"/>
        <w:rPr>
          <w:rFonts w:ascii="Arial" w:cs="Arial" w:eastAsia="Arial" w:hAnsi="Arial"/>
          <w:sz w:val="10"/>
          <w:szCs w:val="10"/>
          <w:color w:val="008000"/>
        </w:rPr>
      </w:pPr>
    </w:p>
    <w:p>
      <w:pPr>
        <w:ind w:left="40" w:right="80" w:hanging="10"/>
        <w:spacing w:after="0" w:line="238"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On February 22, 2018, the reporting person was granted 2,145 restricted stock units, twenty-five percent of the restricted stock units became vested on February 22, 2019, an additional twenty-five percent of the restricted stock units became vested February 22, 2020, an additional twenty-five percent of the restricted stock units became vested on February 22, 2021, and the remaining balance of twenty-five percent of the restricted stock units will vest on February 22, 2022. On February 22, 2018,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Remarks: Mr. Oseni is the Company's Head of Administration and Accounts Exhibit List Exhibit 24.1: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Lazbart Oseni,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10/15/2021</w:t>
            </w:r>
          </w:p>
        </w:tc>
      </w:tr>
      <w:tr>
        <w:trPr>
          <w:trHeight w:val="170"/>
        </w:trPr>
        <w:tc>
          <w:tcPr>
            <w:tcW w:w="6580" w:type="dxa"/>
            <w:vAlign w:val="bottom"/>
          </w:tcPr>
          <w:p>
            <w:pPr>
              <w:spacing w:after="0"/>
              <w:rPr>
                <w:sz w:val="14"/>
                <w:szCs w:val="14"/>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3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24.1</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Rohit Kapoor, Maurizio Nicolelli, Ajay Ayyappan, Lazb</w:t>
      </w:r>
    </w:p>
    <w:p>
      <w:pPr>
        <w:spacing w:after="0" w:line="3" w:lineRule="exact"/>
        <w:rPr>
          <w:sz w:val="20"/>
          <w:szCs w:val="20"/>
          <w:color w:val="auto"/>
        </w:rPr>
      </w:pPr>
    </w:p>
    <w:p>
      <w:pPr>
        <w:ind w:left="540" w:hanging="540"/>
        <w:spacing w:after="0"/>
        <w:tabs>
          <w:tab w:leader="none" w:pos="54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ExlService Holdings, Inc.</w:t>
      </w:r>
    </w:p>
    <w:p>
      <w:pPr>
        <w:spacing w:after="0" w:line="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w:t>
      </w:r>
    </w:p>
    <w:p>
      <w:pPr>
        <w:spacing w:after="0" w:line="3" w:lineRule="exact"/>
        <w:rPr>
          <w:rFonts w:ascii="Courier New" w:cs="Courier New" w:eastAsia="Courier New" w:hAnsi="Courier New"/>
          <w:sz w:val="13"/>
          <w:szCs w:val="13"/>
          <w:color w:val="auto"/>
        </w:rPr>
      </w:pPr>
    </w:p>
    <w:p>
      <w:pPr>
        <w:spacing w:after="0" w:line="244" w:lineRule="auto"/>
        <w:tabs>
          <w:tab w:leader="none" w:pos="547"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The undersigned hereby grants to each such attorney-in-fact full power and authority to do and perform any and every act and thing whatsoever This Power of Attorney shall remain in full force and effect until the undersigned is no longer required to file Forms 3, 4 and 5 with respect IN WITNESS WHEREOF, the undersigned has caused this Power of Attorney to be executed as of October 14, 2021.</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/s/Ankor Rai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Signature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Ankor Rai</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Print Name</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88174"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2021-10-15T16:17:40Z</dcterms:created>
  <dcterms:modified xsi:type="dcterms:W3CDTF">2021-10-15T16:17:40Z</dcterms:modified>
</cp:coreProperties>
</file>