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38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67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4"/>
              </w:rPr>
              <w:t>DELAWARE</w:t>
            </w:r>
          </w:p>
        </w:tc>
        <w:tc>
          <w:tcPr>
            <w:tcW w:w="1500" w:type="dxa"/>
            <w:vAlign w:val="bottom"/>
          </w:tcPr>
          <w:p>
            <w:pPr>
              <w:jc w:val="right"/>
              <w:ind w:right="2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7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7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5"/>
              </w:rPr>
              <w:t>280 PARK AVENUE, 38TH FLOOR, NEW YORK,</w:t>
            </w:r>
          </w:p>
        </w:tc>
        <w:tc>
          <w:tcPr>
            <w:tcW w:w="1500" w:type="dxa"/>
            <w:vAlign w:val="bottom"/>
          </w:tcPr>
          <w:p>
            <w:pPr>
              <w:spacing w:after="0"/>
              <w:rPr>
                <w:sz w:val="24"/>
                <w:szCs w:val="24"/>
                <w:color w:val="auto"/>
              </w:rPr>
            </w:pPr>
          </w:p>
        </w:tc>
      </w:tr>
      <w:tr>
        <w:trPr>
          <w:trHeight w:val="231"/>
        </w:trPr>
        <w:tc>
          <w:tcPr>
            <w:tcW w:w="67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8"/>
              </w:rPr>
              <w:t>NEW YORK</w:t>
            </w:r>
          </w:p>
        </w:tc>
        <w:tc>
          <w:tcPr>
            <w:tcW w:w="1500" w:type="dxa"/>
            <w:vAlign w:val="bottom"/>
          </w:tcPr>
          <w:p>
            <w:pPr>
              <w:jc w:val="right"/>
              <w:ind w:right="224"/>
              <w:spacing w:after="0"/>
              <w:rPr>
                <w:sz w:val="20"/>
                <w:szCs w:val="20"/>
                <w:color w:val="auto"/>
              </w:rPr>
            </w:pPr>
            <w:r>
              <w:rPr>
                <w:rFonts w:ascii="Arial" w:cs="Arial" w:eastAsia="Arial" w:hAnsi="Arial"/>
                <w:sz w:val="18"/>
                <w:szCs w:val="18"/>
                <w:b w:val="1"/>
                <w:bCs w:val="1"/>
                <w:color w:val="auto"/>
              </w:rPr>
              <w:t>10017</w:t>
            </w:r>
          </w:p>
        </w:tc>
      </w:tr>
      <w:tr>
        <w:trPr>
          <w:trHeight w:val="174"/>
        </w:trPr>
        <w:tc>
          <w:tcPr>
            <w:tcW w:w="67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20" w:type="dxa"/>
            <w:vAlign w:val="bottom"/>
          </w:tcPr>
          <w:p>
            <w:pPr>
              <w:jc w:val="right"/>
              <w:ind w:right="1342"/>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720" w:type="dxa"/>
            <w:vAlign w:val="bottom"/>
          </w:tcPr>
          <w:p>
            <w:pPr>
              <w:jc w:val="center"/>
              <w:ind w:left="27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As of April 30, 2013, there were 32,628,516 shares of the registrant’s common stock outstanding (excluding 349,280 shares held in treasury and 4,834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p>
      <w:pPr>
        <w:ind w:left="10980"/>
        <w:spacing w:after="0"/>
        <w:rPr>
          <w:sz w:val="20"/>
          <w:szCs w:val="20"/>
          <w:color w:val="auto"/>
        </w:rPr>
      </w:pPr>
      <w:r>
        <w:rPr>
          <w:rFonts w:ascii="Arial" w:cs="Arial" w:eastAsia="Arial" w:hAnsi="Arial"/>
          <w:sz w:val="12"/>
          <w:szCs w:val="12"/>
          <w:u w:val="single" w:color="auto"/>
          <w:color w:val="auto"/>
        </w:rPr>
        <w:t>PAGE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w:t>
      </w:r>
    </w:p>
    <w:tbl>
      <w:tblPr>
        <w:tblLayout w:type="fixed"/>
        <w:tblInd w:w="480" w:type="dxa"/>
        <w:tblCellMar>
          <w:top w:w="0" w:type="dxa"/>
          <w:left w:w="0" w:type="dxa"/>
          <w:bottom w:w="0" w:type="dxa"/>
          <w:right w:w="0" w:type="dxa"/>
        </w:tblCellMar>
      </w:tblPr>
      <w:tr>
        <w:trPr>
          <w:trHeight w:val="179"/>
        </w:trPr>
        <w:tc>
          <w:tcPr>
            <w:tcW w:w="2820" w:type="dxa"/>
            <w:vAlign w:val="bottom"/>
            <w:tcBorders>
              <w:bottom w:val="single" w:sz="8" w:color="0000EE"/>
            </w:tcBorders>
          </w:tcPr>
          <w:p>
            <w:pPr>
              <w:spacing w:after="0" w:line="179"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020" w:type="dxa"/>
            <w:vAlign w:val="bottom"/>
          </w:tcPr>
          <w:p>
            <w:pPr>
              <w:jc w:val="right"/>
              <w:spacing w:after="0" w:line="179" w:lineRule="exact"/>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w:t>
      </w:r>
    </w:p>
    <w:tbl>
      <w:tblPr>
        <w:tblLayout w:type="fixed"/>
        <w:tblInd w:w="0" w:type="dxa"/>
        <w:tblCellMar>
          <w:top w:w="0" w:type="dxa"/>
          <w:left w:w="0" w:type="dxa"/>
          <w:bottom w:w="0" w:type="dxa"/>
          <w:right w:w="0" w:type="dxa"/>
        </w:tblCellMar>
      </w:tblPr>
      <w:tr>
        <w:trPr>
          <w:trHeight w:val="193"/>
        </w:trPr>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40" w:type="dxa"/>
            <w:vAlign w:val="bottom"/>
            <w:gridSpan w:val="17"/>
          </w:tcPr>
          <w:p>
            <w:pPr>
              <w:spacing w:after="0" w:line="193"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2013 (Unaudited) and December 31, 2012</w:t>
              </w:r>
            </w:hyperlink>
          </w:p>
        </w:tc>
        <w:tc>
          <w:tcPr>
            <w:tcW w:w="106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 (Unaudited) for the Three Months Ended March 31, 2013 and 2012</w:t>
              </w:r>
            </w:hyperlink>
          </w:p>
        </w:tc>
        <w:tc>
          <w:tcPr>
            <w:tcW w:w="202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40" w:type="dxa"/>
            <w:vAlign w:val="bottom"/>
            <w:gridSpan w:val="17"/>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Comprehensive Income (Unaudited) for the Three Months Ended March 31, 2013 and 2012</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 for the Three Months Ended March 31, 2013 and 2012</w:t>
              </w:r>
            </w:hyperlink>
          </w:p>
        </w:tc>
        <w:tc>
          <w:tcPr>
            <w:tcW w:w="840" w:type="dxa"/>
            <w:vAlign w:val="bottom"/>
            <w:tcBorders>
              <w:top w:val="single" w:sz="8" w:color="0000EE"/>
            </w:tcBorders>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538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97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480" w:type="dxa"/>
            <w:vAlign w:val="bottom"/>
            <w:gridSpan w:val="5"/>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Controls and Procedures</w:t>
              </w:r>
            </w:hyperlink>
          </w:p>
        </w:tc>
        <w:tc>
          <w:tcPr>
            <w:tcW w:w="804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8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250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280" w:type="dxa"/>
            <w:vAlign w:val="bottom"/>
            <w:gridSpan w:val="9"/>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48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97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540" w:type="dxa"/>
            <w:vAlign w:val="bottom"/>
            <w:gridSpan w:val="8"/>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520" w:type="dxa"/>
            <w:vAlign w:val="bottom"/>
            <w:gridSpan w:val="10"/>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806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8500" w:type="dxa"/>
            <w:vAlign w:val="bottom"/>
            <w:gridSpan w:val="14"/>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0" w:type="dxa"/>
            <w:vAlign w:val="bottom"/>
            <w:gridSpan w:val="1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04"/>
        </w:trPr>
        <w:tc>
          <w:tcPr>
            <w:tcW w:w="102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40" w:type="dxa"/>
            <w:vAlign w:val="bottom"/>
            <w:gridSpan w:val="13"/>
          </w:tcPr>
          <w:p>
            <w:pPr>
              <w:jc w:val="right"/>
              <w:ind w:right="10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PART 1. FINANCIAL INFORMATION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EXLSERVICE HOLDINGS, INC.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7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(Recasted)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6,137</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76,612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73,729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210,677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207,390</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38,973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39,356</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14,249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14,123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40,711</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Goodwill</w:t>
            </w:r>
          </w:p>
        </w:tc>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110,055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109,662</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8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8"/>
                <w:szCs w:val="18"/>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437,852</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31,737</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58,139</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91,337</w:t>
            </w: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15)</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32,971,996 shares issued and 32,622,716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2013 and 32,540,082 shares issued and 32,203,820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2012</w:t>
            </w:r>
          </w:p>
        </w:tc>
        <w:tc>
          <w:tcPr>
            <w:tcW w:w="8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200,813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195,248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198,644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188,882</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(32,553)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(36,647)</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366,937</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347,516</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Less: 349,280 shares as of March 31, 2013 and 336,262 shares as of December 31, 2012,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363,524</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363,550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344,517</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437,852</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435,854</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116,006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72,913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9,755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31,312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11,781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income/(expense):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provision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2,997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Basic</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32,521,481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31,445,592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33,719,794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32,783,855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4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Unrealized gain on effective cash flow hedges, net of taxes $626 and $2,100</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280"/>
              <w:spacing w:after="0"/>
              <w:rPr>
                <w:sz w:val="20"/>
                <w:szCs w:val="20"/>
                <w:color w:val="auto"/>
              </w:rPr>
            </w:pPr>
            <w:r>
              <w:rPr>
                <w:rFonts w:ascii="Arial" w:cs="Arial" w:eastAsia="Arial" w:hAnsi="Arial"/>
                <w:sz w:val="18"/>
                <w:szCs w:val="18"/>
                <w:color w:val="auto"/>
              </w:rPr>
              <w:t>Realized loss on cash flow hedges, net of taxes $428 and $104</w:t>
            </w:r>
            <w:r>
              <w:rPr>
                <w:rFonts w:ascii="Arial" w:cs="Arial" w:eastAsia="Arial" w:hAnsi="Arial"/>
                <w:sz w:val="11"/>
                <w:szCs w:val="11"/>
                <w:color w:val="auto"/>
              </w:rPr>
              <w:t>(1)</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Retirement benefits, net of taxes $8 and $7</w:t>
            </w:r>
            <w:r>
              <w:rPr>
                <w:rFonts w:ascii="Arial" w:cs="Arial" w:eastAsia="Arial" w:hAnsi="Arial"/>
                <w:sz w:val="11"/>
                <w:szCs w:val="11"/>
                <w:color w:val="auto"/>
              </w:rPr>
              <w:t>(2)</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w:t>
            </w: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13,856</w:t>
            </w: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80" w:hanging="452"/>
        <w:spacing w:after="0" w:line="254"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(loss)/gain in the unaudited consolidated statements of income. See Note 7 to the unaudited consolidated financial statements.</w:t>
      </w:r>
    </w:p>
    <w:p>
      <w:pPr>
        <w:ind w:left="460" w:right="12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9,762</w:t>
            </w:r>
          </w:p>
        </w:tc>
        <w:tc>
          <w:tcPr>
            <w:tcW w:w="1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Unrealized foreign exchange loss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Business acquisition</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21"/>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102,307</w:t>
            </w:r>
          </w:p>
        </w:tc>
        <w:tc>
          <w:tcPr>
            <w:tcW w:w="18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80" w:hanging="232"/>
        <w:spacing w:after="0" w:line="347" w:lineRule="auto"/>
        <w:tabs>
          <w:tab w:leader="none" w:pos="18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U.S. and the U.K.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(“GAAP”) for interim financial information, the instructions to Form 10-Q and Article 10 of Regulation S-X. Accordingly, they do not include all of the information and footnotes required by GAAP for annual financial statements and therefore should be read in conjunction with the audited consolidated financial statements and footnotes thereto included in the Company’s Annual Report on Form 10-K for the fiscal year ended December 31, 2012.</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sheets and unaudited consolidated statements of income, respectively. This non-controlling interest in these operations for the three months ended March 31, 2013 and 2012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2011, the Financial Accounting Standards Board (FASB) issued Accounting Standard Update (ASU) No. 2011-11,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Offsetting Assets and Liabilities,</w:t>
      </w:r>
      <w:r>
        <w:rPr>
          <w:rFonts w:ascii="Arial" w:cs="Arial" w:eastAsia="Arial" w:hAnsi="Arial"/>
          <w:sz w:val="16"/>
          <w:szCs w:val="16"/>
          <w:color w:val="auto"/>
        </w:rPr>
        <w:t>” (ASU No. 2011-11) which is effective for annual reporting periods beginning on or after January 1, 2013, and interim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those annual periods. This authoritative guidance was issued to enhance disclosure requirements on offsetting financial assets and liabilities. The new rules require companies to disclose both gross and net information about instruments and transactions eligible for offset in the statement of financial position, as well as instruments and transactions subject to a netting arrangement. In January 2013, the FASB further issued ASU No. 2013-01, “</w:t>
      </w:r>
      <w:r>
        <w:rPr>
          <w:rFonts w:ascii="Arial" w:cs="Arial" w:eastAsia="Arial" w:hAnsi="Arial"/>
          <w:sz w:val="16"/>
          <w:szCs w:val="16"/>
          <w:i w:val="1"/>
          <w:iCs w:val="1"/>
          <w:color w:val="auto"/>
        </w:rPr>
        <w:t>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to address implementation issues surrounding the scope of ASU No. 2011-11 and to clarify the scope of the offsetting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and address any unintended consequences. The adoption of this guidance from January 2013 did not have a material impact on the Company’s unaudited consolidated financial statements.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July 2012, the FASB issued ASU No. 2012-02, “</w:t>
      </w:r>
      <w:r>
        <w:rPr>
          <w:rFonts w:ascii="Arial" w:cs="Arial" w:eastAsia="Arial" w:hAnsi="Arial"/>
          <w:sz w:val="16"/>
          <w:szCs w:val="16"/>
          <w:i w:val="1"/>
          <w:iCs w:val="1"/>
          <w:color w:val="auto"/>
        </w:rPr>
        <w:t>Testing Indefinite-Lived Intangible Assets for Impairment</w:t>
      </w:r>
      <w:r>
        <w:rPr>
          <w:rFonts w:ascii="Arial" w:cs="Arial" w:eastAsia="Arial" w:hAnsi="Arial"/>
          <w:sz w:val="16"/>
          <w:szCs w:val="16"/>
          <w:color w:val="auto"/>
        </w:rPr>
        <w:t>” (ASU 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 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The Company does not expect the new guidance to have an impact on its 2013 impairment test results.</w:t>
      </w:r>
    </w:p>
    <w:p>
      <w:pPr>
        <w:spacing w:after="0" w:line="118"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In October 2012, the FASB issued ASU No. 2012-04</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makes technical corrections and improvements to a variety of topics in the FASB Accounting Standards Codification (the “Codification”). The changes include source literature amendments, guidance clarification, reference corrections and relocated guidance. The ASU also includes conforming amendments to the Codification to reflect ASC 820’s fair value measurement and disclosure requirements. The adoption of this standard effective January 1, 2013 did not have a material impact on the Company’s unaudited consolidated financial statements.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Under ASU No. 2013-02, an entity is required to provide information about the amounts reclassified out of accumulated other comprehensive 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No. 2013-02 does not change the current requirements for reporting net income or other comprehensive income in the financial statements. ASU No. 2013-02 became effective from January 1, 2013 and the new guidance did not have any material impact on the Company’s unaudited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34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8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$ 16,059</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5,007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$ 27,965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40" w:type="dxa"/>
            <w:vAlign w:val="bottom"/>
            <w:vMerge w:val="restart"/>
          </w:tcPr>
          <w:p>
            <w:pPr>
              <w:jc w:val="right"/>
              <w:ind w:right="214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Non-current liabilities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Retirement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13,764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161"/>
        </w:trPr>
        <w:tc>
          <w:tcPr>
            <w:tcW w:w="55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9,762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Basic weighted average common shares outstanding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32,521,481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31,445,592</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share based awards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1,198,313</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1,338,263</w:t>
            </w:r>
          </w:p>
        </w:tc>
        <w:tc>
          <w:tcPr>
            <w:tcW w:w="100" w:type="dxa"/>
            <w:vAlign w:val="bottom"/>
            <w:shd w:val="clear" w:color="auto" w:fill="CCEEFF"/>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33,719,794</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32,783,855</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8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r>
      <w:tr>
        <w:trPr>
          <w:trHeight w:val="208"/>
        </w:trPr>
        <w:tc>
          <w:tcPr>
            <w:tcW w:w="5560" w:type="dxa"/>
            <w:vAlign w:val="bottom"/>
          </w:tcPr>
          <w:p>
            <w:pPr>
              <w:spacing w:after="0"/>
              <w:rPr>
                <w:sz w:val="20"/>
                <w:szCs w:val="20"/>
                <w:color w:val="auto"/>
              </w:rPr>
            </w:pPr>
            <w:r>
              <w:rPr>
                <w:rFonts w:ascii="Arial" w:cs="Arial" w:eastAsia="Arial" w:hAnsi="Arial"/>
                <w:sz w:val="18"/>
                <w:szCs w:val="18"/>
                <w:color w:val="auto"/>
                <w:w w:val="96"/>
              </w:rPr>
              <w:t>Weighted average common shares considered anti-dilutive in computing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56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356,717</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338,237</w:t>
            </w:r>
          </w:p>
        </w:tc>
        <w:tc>
          <w:tcPr>
            <w:tcW w:w="10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 of Landacorp, Inc. (“Landacorp”) is classified within the outsourcing services segment. See note 5 for further details regarding the acquisition of Landacorp (the “Landacorp Acquisition”).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2013 and 2012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9"/>
          </w:tcPr>
          <w:p>
            <w:pPr>
              <w:ind w:left="280"/>
              <w:spacing w:after="0"/>
              <w:rPr>
                <w:sz w:val="20"/>
                <w:szCs w:val="20"/>
                <w:color w:val="auto"/>
              </w:rPr>
            </w:pPr>
            <w:r>
              <w:rPr>
                <w:rFonts w:ascii="Arial" w:cs="Arial" w:eastAsia="Arial" w:hAnsi="Arial"/>
                <w:sz w:val="14"/>
                <w:szCs w:val="14"/>
                <w:b w:val="1"/>
                <w:bCs w:val="1"/>
                <w:color w:val="auto"/>
              </w:rPr>
              <w:t>Three months ended March 31, 2013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9"/>
          </w:tcPr>
          <w:p>
            <w:pPr>
              <w:ind w:left="300"/>
              <w:spacing w:after="0"/>
              <w:rPr>
                <w:sz w:val="20"/>
                <w:szCs w:val="20"/>
                <w:color w:val="auto"/>
              </w:rPr>
            </w:pPr>
            <w:r>
              <w:rPr>
                <w:rFonts w:ascii="Arial" w:cs="Arial" w:eastAsia="Arial" w:hAnsi="Arial"/>
                <w:sz w:val="14"/>
                <w:szCs w:val="14"/>
                <w:b w:val="1"/>
                <w:bCs w:val="1"/>
                <w:color w:val="auto"/>
              </w:rPr>
              <w:t>Three months ended March 31,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Outsourcing</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116,006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104,608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33,256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the Company acquired Landacorp, a leading provider of healthcare solutions and technology. Landacorp has more than 50 million lives under management on its software platforms and has developed services and technology solutions that share vital clinical data with payers, providers, plan participants and accountable care organizations. The Landacorp Acquisition furthers the Company’s strategic intent to continue investing in the healthcare domain and strengthen its capabilities to serve the U.S. healthcare industry and continue to invest in building processes, analytics and platform capabilities in its focused verticals. Accordingly, the Company paid a premium for the acquisition which is being reflected in the goodwill recognized from the purchase price allocation of the total purchase consideration paid by the Company.</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180" w:type="dxa"/>
            <w:vAlign w:val="bottom"/>
            <w:gridSpan w:val="4"/>
          </w:tcPr>
          <w:p>
            <w:pPr>
              <w:spacing w:after="0"/>
              <w:rPr>
                <w:sz w:val="20"/>
                <w:szCs w:val="20"/>
                <w:color w:val="auto"/>
              </w:rPr>
            </w:pPr>
            <w:r>
              <w:rPr>
                <w:rFonts w:ascii="Arial" w:cs="Arial" w:eastAsia="Arial" w:hAnsi="Arial"/>
                <w:sz w:val="18"/>
                <w:szCs w:val="18"/>
                <w:color w:val="auto"/>
              </w:rPr>
              <w:t>The total purchase price of the acquisition is as follows:</w:t>
            </w:r>
          </w:p>
        </w:tc>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Add: Working capital adjustments*</w:t>
            </w:r>
          </w:p>
        </w:tc>
        <w:tc>
          <w:tcPr>
            <w:tcW w:w="2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Paid in January 2013.</w:t>
      </w:r>
    </w:p>
    <w:p>
      <w:pPr>
        <w:spacing w:after="0" w:line="25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After the December 31, 2012 consolidated financial statements were issued, the Company received a revised valuation report from a third party valuation firm with respect to the Landacorp Acquisition. After considering the results of that valuation report, the Company revised its estimates related to certain of its acquired intangibles and other assets as of the date of acquisition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Revised Allocation</w:t>
            </w:r>
          </w:p>
        </w:tc>
        <w:tc>
          <w:tcPr>
            <w:tcW w:w="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6"/>
              </w:rPr>
              <w:t>Initial Allocation</w:t>
            </w:r>
          </w:p>
        </w:tc>
      </w:tr>
      <w:tr>
        <w:trPr>
          <w:trHeight w:val="196"/>
        </w:trPr>
        <w:tc>
          <w:tcPr>
            <w:tcW w:w="7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8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Trade names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Net tangible assets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10,547</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EFF"/>
          </w:tcPr>
          <w:p>
            <w:pPr>
              <w:spacing w:after="0"/>
              <w:rPr>
                <w:sz w:val="18"/>
                <w:szCs w:val="18"/>
                <w:color w:val="auto"/>
              </w:rPr>
            </w:pPr>
          </w:p>
        </w:tc>
      </w:tr>
      <w:tr>
        <w:trPr>
          <w:trHeight w:val="222"/>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Total purchase price*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38,683</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38,683</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$4,500 deposited in escrow accounts in connection with the acquisition.</w:t>
      </w:r>
    </w:p>
    <w:p>
      <w:pPr>
        <w:sectPr>
          <w:pgSz w:w="11900" w:h="16838" w:orient="portrait"/>
          <w:cols w:equalWidth="0" w:num="1">
            <w:col w:w="11420"/>
          </w:cols>
          <w:pgMar w:left="240" w:top="459" w:right="239" w:bottom="1440" w:gutter="0" w:footer="0" w:header="0"/>
        </w:sectPr>
      </w:pPr>
    </w:p>
    <w:bookmarkStart w:id="10" w:name="page11"/>
    <w:bookmarkEnd w:id="10"/>
    <w:p>
      <w:pPr>
        <w:ind w:firstLine="456"/>
        <w:spacing w:after="0" w:line="256" w:lineRule="auto"/>
        <w:rPr>
          <w:sz w:val="20"/>
          <w:szCs w:val="20"/>
          <w:color w:val="auto"/>
        </w:rPr>
      </w:pPr>
      <w:r>
        <w:rPr>
          <w:rFonts w:ascii="Arial" w:cs="Arial" w:eastAsia="Arial" w:hAnsi="Arial"/>
          <w:sz w:val="18"/>
          <w:szCs w:val="18"/>
          <w:color w:val="auto"/>
        </w:rPr>
        <w:t>This revision did not have a material impact on the Company’s consolidated earnings for the year ended December 31, 2012. As required by the accounting guidance for business combinations, this adjustment was recorded by the Company retrospectively as of the acquisition date resulting in changes to the preliminary amounts as set forth in the Company’s December 31, 2012 consolidated balance sheet included in its Annual Report on Form 10-K for the year ended December 31,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preliminary allocation of the purchase price to the tangible and intangible assets and liabilities acquired may change up to a period of one year from the date of acquisition. Accordingly, the Company may adjust the amounts recorded as of March 31, 2013 to reflect any revised valuations of the assets acquired or liabilities assumed. The Company’s purchase accounting as of March 31, 2013 was incomplete primarily due to the pending final assessment of the realizability of the Landacorp’s federal and state net operating losses in the U.S. and valuation of intangibles as of October 12, 2012. The total amount of deferred tax assets recognized for the acquired federal and state net operating losses is approximately $5,745 as of March 31, 2013 and is included under “deferred tax assets” in the unaudited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March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7"/>
              </w:rPr>
              <w:t>Transformation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79"/>
              </w:rPr>
              <w:t>Services</w:t>
            </w: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Services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75,502</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Goodwill arising from Landacorp acquisition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17,990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17,990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109,662</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16,785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110,055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the acquisition of Business Process Outsourcing Inc. (“OPI”) on May 31, 2011 (the “OPI Acquisition”) pertaining to service tax receivables included under “other current assets” in the consolidated balance sheet as of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March 31, 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780" w:type="dxa"/>
            <w:vAlign w:val="bottom"/>
          </w:tcPr>
          <w:p>
            <w:pPr>
              <w:spacing w:after="0"/>
              <w:rPr>
                <w:sz w:val="12"/>
                <w:szCs w:val="12"/>
                <w:color w:val="auto"/>
              </w:rPr>
            </w:pPr>
          </w:p>
        </w:tc>
        <w:tc>
          <w:tcPr>
            <w:tcW w:w="13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5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6"/>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$38,742</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Leasehold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3,399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1,316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52,793</w:t>
            </w:r>
          </w:p>
        </w:tc>
        <w:tc>
          <w:tcPr>
            <w:tcW w:w="9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(13,675)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39,118</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8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2012</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8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780" w:type="dxa"/>
            <w:vAlign w:val="bottom"/>
          </w:tcPr>
          <w:p>
            <w:pPr>
              <w:spacing w:after="0"/>
              <w:rPr>
                <w:sz w:val="12"/>
                <w:szCs w:val="12"/>
                <w:color w:val="auto"/>
              </w:rPr>
            </w:pPr>
          </w:p>
        </w:tc>
        <w:tc>
          <w:tcPr>
            <w:tcW w:w="13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58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4"/>
                <w:szCs w:val="1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6"/>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$38,728</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Leasehold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3,355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1,316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8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52,734</w:t>
            </w:r>
          </w:p>
        </w:tc>
        <w:tc>
          <w:tcPr>
            <w:tcW w:w="9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(12,023)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40,711</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for the three months ended March 31, 2013 and 2012 was $1,634 and $1,394,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lived trade names and trademarks as of March 31, 2013 and December 31, 2012.</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March 31,</w:t>
            </w:r>
          </w:p>
        </w:tc>
        <w:tc>
          <w:tcPr>
            <w:tcW w:w="1960" w:type="dxa"/>
            <w:vAlign w:val="bottom"/>
          </w:tcPr>
          <w:p>
            <w:pPr>
              <w:spacing w:after="0"/>
              <w:rPr>
                <w:sz w:val="14"/>
                <w:szCs w:val="14"/>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2015</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$5,679</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2017</w:t>
            </w: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$5,575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$5,519</w:t>
            </w:r>
          </w:p>
        </w:tc>
      </w:tr>
      <w:tr>
        <w:trPr>
          <w:trHeight w:val="363"/>
        </w:trPr>
        <w:tc>
          <w:tcPr>
            <w:tcW w:w="5800" w:type="dxa"/>
            <w:vAlign w:val="bottom"/>
          </w:tcPr>
          <w:p>
            <w:pPr>
              <w:ind w:left="3780"/>
              <w:spacing w:after="0"/>
              <w:rPr>
                <w:sz w:val="20"/>
                <w:szCs w:val="20"/>
                <w:color w:val="auto"/>
              </w:rPr>
            </w:pPr>
            <w:r>
              <w:rPr>
                <w:rFonts w:ascii="Arial" w:cs="Arial" w:eastAsia="Arial" w:hAnsi="Arial"/>
                <w:sz w:val="18"/>
                <w:szCs w:val="18"/>
                <w:color w:val="auto"/>
              </w:rPr>
              <w:t>12</w:t>
            </w:r>
          </w:p>
        </w:tc>
        <w:tc>
          <w:tcPr>
            <w:tcW w:w="19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March 31, 2013 and December 31, 2012. The table excludes short-term investments, accounts receivable, accounts payable and accrued expenses for which fair values approximate their carrying amounts.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2013</w:t>
            </w:r>
          </w:p>
        </w:tc>
        <w:tc>
          <w:tcPr>
            <w:tcW w:w="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59,946</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59,946</w:t>
            </w:r>
          </w:p>
        </w:tc>
        <w:tc>
          <w:tcPr>
            <w:tcW w:w="3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2,172</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6,774</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6,774</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2012</w:t>
            </w:r>
          </w:p>
        </w:tc>
        <w:tc>
          <w:tcPr>
            <w:tcW w:w="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64,766</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64,766</w:t>
            </w:r>
          </w:p>
        </w:tc>
        <w:tc>
          <w:tcPr>
            <w:tcW w:w="3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1,730</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9,861</w:t>
            </w:r>
          </w:p>
        </w:tc>
        <w:tc>
          <w:tcPr>
            <w:tcW w:w="62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9,861</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derivative financial instruments consist of foreign currency forward exchange contracts. Fair values for derivative financial instruments are based on independent sources including highly rated financial institutions and are classified as Level 2. See Note 7 for further details on Derivatives and Hedge Accounting.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Company’s functional currency. The Company’s primary exchange rate exposure is with the U.K. pound sterling and the Indian rupee. The Company also has exposure in Philippine pesos, Czech koruna and other local currencies in which it operates.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$240,761 and GBP 12,975 as of March 31, 2013 and totaling $221,255 and GBP 11,544 as of December 31, 2012. The Company estimates that approximately $3,230 of net derivative losses included in AOCI could be reclassified into earnings within the next 12 months based on exchange rates prevailing as of March 31, 2013. As of March 31, 2013, the maximum outstanding term of derivative instruments that hedge forecasted transactions was thirty-three months.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(loss)/gain. For hedging positions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months ended March 31, 2013 and 2012.</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gridSpan w:val="4"/>
          </w:tcPr>
          <w:p>
            <w:pPr>
              <w:ind w:left="200"/>
              <w:spacing w:after="0"/>
              <w:rPr>
                <w:sz w:val="20"/>
                <w:szCs w:val="20"/>
                <w:color w:val="auto"/>
              </w:rPr>
            </w:pPr>
            <w:r>
              <w:rPr>
                <w:rFonts w:ascii="Arial" w:cs="Arial" w:eastAsia="Arial" w:hAnsi="Arial"/>
                <w:sz w:val="14"/>
                <w:szCs w:val="14"/>
                <w:b w:val="1"/>
                <w:bCs w:val="1"/>
                <w:color w:val="auto"/>
                <w:w w:val="86"/>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87"/>
              </w:rPr>
              <w:t>Foreign currency exchange contracts</w:t>
            </w:r>
          </w:p>
        </w:tc>
        <w:tc>
          <w:tcPr>
            <w:tcW w:w="2820" w:type="dxa"/>
            <w:vAlign w:val="bottom"/>
            <w:gridSpan w:val="3"/>
          </w:tcPr>
          <w:p>
            <w:pPr>
              <w:ind w:left="26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1,344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87"/>
              </w:rPr>
              <w:t>Foreign currency exchange contracts</w:t>
            </w:r>
          </w:p>
        </w:tc>
        <w:tc>
          <w:tcPr>
            <w:tcW w:w="2820" w:type="dxa"/>
            <w:vAlign w:val="bottom"/>
            <w:gridSpan w:val="3"/>
          </w:tcPr>
          <w:p>
            <w:pPr>
              <w:ind w:left="26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jc w:val="center"/>
              <w:ind w:right="272"/>
              <w:spacing w:after="0"/>
              <w:rPr>
                <w:sz w:val="20"/>
                <w:szCs w:val="20"/>
                <w:color w:val="auto"/>
              </w:rPr>
            </w:pPr>
            <w:r>
              <w:rPr>
                <w:rFonts w:ascii="Arial" w:cs="Arial" w:eastAsia="Arial" w:hAnsi="Arial"/>
                <w:sz w:val="18"/>
                <w:szCs w:val="18"/>
                <w:b w:val="1"/>
                <w:bCs w:val="1"/>
                <w:color w:val="auto"/>
                <w:w w:val="87"/>
              </w:rPr>
              <w:t>Accrued expenses and other current liabilities: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87"/>
              </w:rPr>
              <w:t>Foreign currency exchange contracts</w:t>
            </w:r>
          </w:p>
        </w:tc>
        <w:tc>
          <w:tcPr>
            <w:tcW w:w="2820" w:type="dxa"/>
            <w:vAlign w:val="bottom"/>
            <w:gridSpan w:val="3"/>
          </w:tcPr>
          <w:p>
            <w:pPr>
              <w:ind w:left="26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4,574</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87"/>
              </w:rPr>
              <w:t>Foreign currency exchange contracts</w:t>
            </w:r>
          </w:p>
        </w:tc>
        <w:tc>
          <w:tcPr>
            <w:tcW w:w="2820" w:type="dxa"/>
            <w:vAlign w:val="bottom"/>
            <w:gridSpan w:val="3"/>
          </w:tcPr>
          <w:p>
            <w:pPr>
              <w:ind w:left="26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2,148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r>
      <w:tr>
        <w:trPr>
          <w:trHeight w:val="451"/>
        </w:trPr>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jc w:val="center"/>
              <w:ind w:right="272"/>
              <w:spacing w:after="0" w:line="196" w:lineRule="exact"/>
              <w:rPr>
                <w:sz w:val="20"/>
                <w:szCs w:val="20"/>
                <w:color w:val="auto"/>
              </w:rPr>
            </w:pPr>
            <w:r>
              <w:rPr>
                <w:rFonts w:ascii="Arial" w:cs="Arial" w:eastAsia="Arial" w:hAnsi="Arial"/>
                <w:sz w:val="18"/>
                <w:szCs w:val="18"/>
                <w:b w:val="1"/>
                <w:bCs w:val="1"/>
                <w:color w:val="auto"/>
                <w:w w:val="87"/>
              </w:rPr>
              <w:t>Accrued expenses and other current liabilities:</w:t>
            </w:r>
          </w:p>
        </w:tc>
        <w:tc>
          <w:tcPr>
            <w:tcW w:w="2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87"/>
              </w:rPr>
              <w:t>Foreign currency exchange contracts</w:t>
            </w:r>
          </w:p>
        </w:tc>
        <w:tc>
          <w:tcPr>
            <w:tcW w:w="27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356"/>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00" w:type="dxa"/>
            <w:vAlign w:val="bottom"/>
          </w:tcPr>
          <w:p>
            <w:pPr>
              <w:jc w:val="right"/>
              <w:ind w:right="1857"/>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Location of</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Gain/(Loss)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Income 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Location of</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Gain/(Loss)</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120" w:type="dxa"/>
            <w:vAlign w:val="bottom"/>
          </w:tcPr>
          <w:p>
            <w:pPr>
              <w:spacing w:after="0"/>
              <w:rPr>
                <w:sz w:val="12"/>
                <w:szCs w:val="12"/>
                <w:color w:val="auto"/>
              </w:rPr>
            </w:pPr>
          </w:p>
        </w:tc>
        <w:tc>
          <w:tcPr>
            <w:tcW w:w="1600" w:type="dxa"/>
            <w:vAlign w:val="bottom"/>
            <w:gridSpan w:val="3"/>
          </w:tcPr>
          <w:p>
            <w:pPr>
              <w:jc w:val="center"/>
              <w:ind w:left="130"/>
              <w:spacing w:after="0" w:line="149" w:lineRule="exact"/>
              <w:rPr>
                <w:sz w:val="20"/>
                <w:szCs w:val="20"/>
                <w:color w:val="auto"/>
              </w:rPr>
            </w:pPr>
            <w:r>
              <w:rPr>
                <w:rFonts w:ascii="Arial" w:cs="Arial" w:eastAsia="Arial" w:hAnsi="Arial"/>
                <w:sz w:val="14"/>
                <w:szCs w:val="14"/>
                <w:b w:val="1"/>
                <w:bCs w:val="1"/>
                <w:color w:val="auto"/>
                <w:w w:val="87"/>
              </w:rPr>
              <w:t>Amount of Gain/(Loss)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2"/>
                <w:szCs w:val="12"/>
                <w:color w:val="auto"/>
              </w:rPr>
            </w:pPr>
          </w:p>
        </w:tc>
        <w:tc>
          <w:tcPr>
            <w:tcW w:w="20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0" w:type="dxa"/>
            <w:vAlign w:val="bottom"/>
          </w:tcPr>
          <w:p>
            <w:pPr>
              <w:spacing w:after="0"/>
              <w:rPr>
                <w:sz w:val="1"/>
                <w:szCs w:val="1"/>
                <w:color w:val="auto"/>
              </w:rPr>
            </w:pPr>
          </w:p>
        </w:tc>
      </w:tr>
      <w:tr>
        <w:trPr>
          <w:trHeight w:val="135"/>
        </w:trPr>
        <w:tc>
          <w:tcPr>
            <w:tcW w:w="22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AOCI into</w:t>
            </w:r>
          </w:p>
        </w:tc>
        <w:tc>
          <w:tcPr>
            <w:tcW w:w="340" w:type="dxa"/>
            <w:vAlign w:val="bottom"/>
          </w:tcPr>
          <w:p>
            <w:pPr>
              <w:spacing w:after="0"/>
              <w:rPr>
                <w:sz w:val="11"/>
                <w:szCs w:val="11"/>
                <w:color w:val="auto"/>
              </w:rPr>
            </w:pPr>
          </w:p>
        </w:tc>
        <w:tc>
          <w:tcPr>
            <w:tcW w:w="1960" w:type="dxa"/>
            <w:vAlign w:val="bottom"/>
            <w:gridSpan w:val="5"/>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20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Excluded</w:t>
            </w:r>
          </w:p>
        </w:tc>
        <w:tc>
          <w:tcPr>
            <w:tcW w:w="120" w:type="dxa"/>
            <w:vAlign w:val="bottom"/>
          </w:tcPr>
          <w:p>
            <w:pPr>
              <w:spacing w:after="0"/>
              <w:rPr>
                <w:sz w:val="11"/>
                <w:szCs w:val="11"/>
                <w:color w:val="auto"/>
              </w:rPr>
            </w:pPr>
          </w:p>
        </w:tc>
        <w:tc>
          <w:tcPr>
            <w:tcW w:w="1600" w:type="dxa"/>
            <w:vAlign w:val="bottom"/>
            <w:gridSpan w:val="3"/>
          </w:tcPr>
          <w:p>
            <w:pPr>
              <w:jc w:val="center"/>
              <w:ind w:left="130"/>
              <w:spacing w:after="0" w:line="135" w:lineRule="exact"/>
              <w:rPr>
                <w:sz w:val="20"/>
                <w:szCs w:val="20"/>
                <w:color w:val="auto"/>
              </w:rPr>
            </w:pPr>
            <w:r>
              <w:rPr>
                <w:rFonts w:ascii="Arial" w:cs="Arial" w:eastAsia="Arial" w:hAnsi="Arial"/>
                <w:sz w:val="14"/>
                <w:szCs w:val="14"/>
                <w:b w:val="1"/>
                <w:bCs w:val="1"/>
                <w:color w:val="auto"/>
                <w:w w:val="88"/>
              </w:rPr>
              <w:t>Derivative (Ineffective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234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Amount of Gain/(Loss)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340" w:type="dxa"/>
            <w:vAlign w:val="bottom"/>
          </w:tcPr>
          <w:p>
            <w:pPr>
              <w:spacing w:after="0"/>
              <w:rPr>
                <w:sz w:val="12"/>
                <w:szCs w:val="12"/>
                <w:color w:val="auto"/>
              </w:rPr>
            </w:pPr>
          </w:p>
        </w:tc>
        <w:tc>
          <w:tcPr>
            <w:tcW w:w="19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(Loss) Reclassified</w:t>
            </w: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20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Portion and Amount Excluded</w:t>
            </w:r>
          </w:p>
        </w:tc>
        <w:tc>
          <w:tcPr>
            <w:tcW w:w="0" w:type="dxa"/>
            <w:vAlign w:val="bottom"/>
          </w:tcPr>
          <w:p>
            <w:pPr>
              <w:spacing w:after="0"/>
              <w:rPr>
                <w:sz w:val="1"/>
                <w:szCs w:val="1"/>
                <w:color w:val="auto"/>
              </w:rPr>
            </w:pPr>
          </w:p>
        </w:tc>
      </w:tr>
      <w:tr>
        <w:trPr>
          <w:trHeight w:val="149"/>
        </w:trPr>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Hedging</w:t>
            </w:r>
          </w:p>
        </w:tc>
        <w:tc>
          <w:tcPr>
            <w:tcW w:w="234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Recognized in AOCI 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(Effective</w:t>
            </w:r>
          </w:p>
        </w:tc>
        <w:tc>
          <w:tcPr>
            <w:tcW w:w="340" w:type="dxa"/>
            <w:vAlign w:val="bottom"/>
          </w:tcPr>
          <w:p>
            <w:pPr>
              <w:spacing w:after="0"/>
              <w:rPr>
                <w:sz w:val="12"/>
                <w:szCs w:val="12"/>
                <w:color w:val="auto"/>
              </w:rPr>
            </w:pPr>
          </w:p>
        </w:tc>
        <w:tc>
          <w:tcPr>
            <w:tcW w:w="19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from AOCI into Income</w:t>
            </w:r>
          </w:p>
        </w:tc>
        <w:tc>
          <w:tcPr>
            <w:tcW w:w="2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120" w:type="dxa"/>
            <w:vAlign w:val="bottom"/>
          </w:tcPr>
          <w:p>
            <w:pPr>
              <w:spacing w:after="0"/>
              <w:rPr>
                <w:sz w:val="12"/>
                <w:szCs w:val="12"/>
                <w:color w:val="auto"/>
              </w:rPr>
            </w:pPr>
          </w:p>
        </w:tc>
        <w:tc>
          <w:tcPr>
            <w:tcW w:w="1600" w:type="dxa"/>
            <w:vAlign w:val="bottom"/>
            <w:gridSpan w:val="3"/>
          </w:tcPr>
          <w:p>
            <w:pPr>
              <w:jc w:val="center"/>
              <w:ind w:left="110"/>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2340" w:type="dxa"/>
            <w:vAlign w:val="bottom"/>
            <w:gridSpan w:val="5"/>
          </w:tcPr>
          <w:p>
            <w:pPr>
              <w:ind w:left="20"/>
              <w:spacing w:after="0"/>
              <w:rPr>
                <w:sz w:val="20"/>
                <w:szCs w:val="20"/>
                <w:color w:val="auto"/>
              </w:rPr>
            </w:pPr>
            <w:r>
              <w:rPr>
                <w:rFonts w:ascii="Arial" w:cs="Arial" w:eastAsia="Arial" w:hAnsi="Arial"/>
                <w:sz w:val="14"/>
                <w:szCs w:val="14"/>
                <w:b w:val="1"/>
                <w:bCs w:val="1"/>
                <w:color w:val="auto"/>
              </w:rPr>
              <w:t>Derivative (Effective Portion)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Portion)</w:t>
            </w:r>
          </w:p>
        </w:tc>
        <w:tc>
          <w:tcPr>
            <w:tcW w:w="340" w:type="dxa"/>
            <w:vAlign w:val="bottom"/>
          </w:tcPr>
          <w:p>
            <w:pPr>
              <w:spacing w:after="0"/>
              <w:rPr>
                <w:sz w:val="14"/>
                <w:szCs w:val="14"/>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(Effective Portion)</w:t>
            </w: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Testing)</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Testing)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49"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0"/>
              <w:spacing w:after="0" w:line="149" w:lineRule="exact"/>
              <w:rPr>
                <w:sz w:val="20"/>
                <w:szCs w:val="20"/>
                <w:color w:val="auto"/>
              </w:rPr>
            </w:pPr>
            <w:r>
              <w:rPr>
                <w:rFonts w:ascii="Arial" w:cs="Arial" w:eastAsia="Arial" w:hAnsi="Arial"/>
                <w:sz w:val="14"/>
                <w:szCs w:val="14"/>
                <w:b w:val="1"/>
                <w:bCs w:val="1"/>
                <w:color w:val="auto"/>
              </w:rPr>
              <w:t>2013</w:t>
            </w:r>
          </w:p>
        </w:tc>
        <w:tc>
          <w:tcPr>
            <w:tcW w:w="1300" w:type="dxa"/>
            <w:vAlign w:val="bottom"/>
            <w:tcBorders>
              <w:top w:val="single" w:sz="8" w:color="auto"/>
            </w:tcBorders>
            <w:gridSpan w:val="3"/>
          </w:tcPr>
          <w:p>
            <w:pPr>
              <w:jc w:val="right"/>
              <w:ind w:right="152"/>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Foreign</w:t>
            </w: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gridSpan w:val="3"/>
            <w:shd w:val="clear" w:color="auto" w:fill="CCEEFF"/>
          </w:tcPr>
          <w:p>
            <w:pPr>
              <w:ind w:left="200"/>
              <w:spacing w:after="0" w:line="188" w:lineRule="exact"/>
              <w:rPr>
                <w:sz w:val="20"/>
                <w:szCs w:val="20"/>
                <w:color w:val="auto"/>
              </w:rPr>
            </w:pPr>
            <w:r>
              <w:rPr>
                <w:rFonts w:ascii="Arial" w:cs="Arial" w:eastAsia="Arial" w:hAnsi="Arial"/>
                <w:sz w:val="18"/>
                <w:szCs w:val="18"/>
                <w:color w:val="auto"/>
              </w:rPr>
              <w:t>Foreign</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exchange</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exchange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2,073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8,309</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(loss)/gain</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(1,354)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(381)</w:t>
            </w:r>
          </w:p>
        </w:tc>
        <w:tc>
          <w:tcPr>
            <w:tcW w:w="1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(loss)/gain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Derivatives not designated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1029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jc w:val="right"/>
        <w:ind w:right="1520"/>
        <w:spacing w:after="0"/>
        <w:rPr>
          <w:sz w:val="20"/>
          <w:szCs w:val="20"/>
          <w:color w:val="auto"/>
        </w:rPr>
      </w:pPr>
      <w:r>
        <w:rPr>
          <w:rFonts w:ascii="Arial" w:cs="Arial" w:eastAsia="Arial" w:hAnsi="Arial"/>
          <w:sz w:val="18"/>
          <w:szCs w:val="18"/>
          <w:color w:val="auto"/>
        </w:rPr>
        <w:t>Foreign exchange contracts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left="-359"/>
        <w:spacing w:after="0"/>
        <w:rPr>
          <w:sz w:val="20"/>
          <w:szCs w:val="20"/>
          <w:color w:val="auto"/>
        </w:rPr>
      </w:pPr>
      <w:r>
        <w:rPr>
          <w:rFonts w:ascii="Arial" w:cs="Arial" w:eastAsia="Arial" w:hAnsi="Arial"/>
          <w:sz w:val="14"/>
          <w:szCs w:val="14"/>
          <w:b w:val="1"/>
          <w:bCs w:val="1"/>
          <w:color w:val="auto"/>
        </w:rPr>
        <w:t>Location of Gain or (Loss)</w:t>
      </w:r>
    </w:p>
    <w:p>
      <w:pPr>
        <w:spacing w:after="0" w:line="2" w:lineRule="exact"/>
        <w:rPr>
          <w:sz w:val="20"/>
          <w:szCs w:val="20"/>
          <w:color w:val="auto"/>
        </w:rPr>
      </w:pPr>
    </w:p>
    <w:p>
      <w:pPr>
        <w:jc w:val="center"/>
        <w:ind w:left="-359"/>
        <w:spacing w:after="0"/>
        <w:rPr>
          <w:sz w:val="20"/>
          <w:szCs w:val="20"/>
          <w:color w:val="auto"/>
        </w:rPr>
      </w:pPr>
      <w:r>
        <w:rPr>
          <w:rFonts w:ascii="Arial" w:cs="Arial" w:eastAsia="Arial" w:hAnsi="Arial"/>
          <w:sz w:val="11"/>
          <w:szCs w:val="11"/>
          <w:b w:val="1"/>
          <w:bCs w:val="1"/>
          <w:color w:val="auto"/>
        </w:rPr>
        <w:t>Recognized 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21590</wp:posOffset>
            </wp:positionV>
            <wp:extent cx="608012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(loss)/gain</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4"/>
          <w:szCs w:val="14"/>
          <w:b w:val="1"/>
          <w:bCs w:val="1"/>
          <w:color w:val="auto"/>
        </w:rPr>
        <w:t>Amount of Gain/</w:t>
      </w:r>
    </w:p>
    <w:p>
      <w:pPr>
        <w:jc w:val="center"/>
        <w:ind w:right="1020"/>
        <w:spacing w:after="0" w:line="223" w:lineRule="auto"/>
        <w:rPr>
          <w:sz w:val="20"/>
          <w:szCs w:val="20"/>
          <w:color w:val="auto"/>
        </w:rPr>
      </w:pPr>
      <w:r>
        <w:rPr>
          <w:rFonts w:ascii="Arial" w:cs="Arial" w:eastAsia="Arial" w:hAnsi="Arial"/>
          <w:sz w:val="14"/>
          <w:szCs w:val="14"/>
          <w:b w:val="1"/>
          <w:bCs w:val="1"/>
          <w:color w:val="auto"/>
        </w:rPr>
        <w:t>(Loss) Recognized</w:t>
      </w:r>
    </w:p>
    <w:p>
      <w:pPr>
        <w:jc w:val="center"/>
        <w:ind w:right="1020"/>
        <w:spacing w:after="0" w:line="222" w:lineRule="auto"/>
        <w:rPr>
          <w:sz w:val="20"/>
          <w:szCs w:val="20"/>
          <w:color w:val="auto"/>
        </w:rPr>
      </w:pPr>
      <w:r>
        <w:rPr>
          <w:rFonts w:ascii="Arial" w:cs="Arial" w:eastAsia="Arial" w:hAnsi="Arial"/>
          <w:sz w:val="14"/>
          <w:szCs w:val="14"/>
          <w:b w:val="1"/>
          <w:bCs w:val="1"/>
          <w:color w:val="auto"/>
        </w:rPr>
        <w:t>in Income on</w:t>
      </w:r>
    </w:p>
    <w:p>
      <w:pPr>
        <w:jc w:val="center"/>
        <w:ind w:right="1020"/>
        <w:spacing w:after="0"/>
        <w:rPr>
          <w:sz w:val="20"/>
          <w:szCs w:val="20"/>
          <w:color w:val="auto"/>
        </w:rPr>
      </w:pPr>
      <w:r>
        <w:rPr>
          <w:rFonts w:ascii="Arial" w:cs="Arial" w:eastAsia="Arial" w:hAnsi="Arial"/>
          <w:sz w:val="14"/>
          <w:szCs w:val="14"/>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926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left="120"/>
        <w:spacing w:after="0"/>
        <w:tabs>
          <w:tab w:leader="none" w:pos="10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$2,298</w:t>
      </w:r>
      <w:r>
        <w:rPr>
          <w:sz w:val="20"/>
          <w:szCs w:val="20"/>
          <w:color w:val="auto"/>
        </w:rPr>
        <w:tab/>
      </w:r>
      <w:r>
        <w:rPr>
          <w:rFonts w:ascii="Arial" w:cs="Arial" w:eastAsia="Arial" w:hAnsi="Arial"/>
          <w:sz w:val="16"/>
          <w:szCs w:val="16"/>
          <w:color w:val="auto"/>
        </w:rPr>
        <w:t>$2,898</w:t>
      </w:r>
    </w:p>
    <w:p>
      <w:pPr>
        <w:spacing w:after="0" w:line="541" w:lineRule="exact"/>
        <w:rPr>
          <w:sz w:val="20"/>
          <w:szCs w:val="20"/>
          <w:color w:val="auto"/>
        </w:rPr>
      </w:pPr>
    </w:p>
    <w:p>
      <w:pPr>
        <w:sectPr>
          <w:pgSz w:w="11900" w:h="16838" w:orient="portrait"/>
          <w:cols w:equalWidth="0" w:num="3">
            <w:col w:w="4380" w:space="720"/>
            <w:col w:w="3120" w:space="720"/>
            <w:col w:w="24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components of fixed assets,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March 31,</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65,098</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Office furniture and equipment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Motor vehicles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106,636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(70,240)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(65,581)</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equipment, computers and software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440"/>
              <w:spacing w:after="0"/>
              <w:rPr>
                <w:sz w:val="20"/>
                <w:szCs w:val="20"/>
                <w:color w:val="auto"/>
              </w:rPr>
            </w:pPr>
            <w:r>
              <w:rPr>
                <w:rFonts w:ascii="Arial" w:cs="Arial" w:eastAsia="Arial" w:hAnsi="Arial"/>
                <w:sz w:val="18"/>
                <w:szCs w:val="18"/>
                <w:color w:val="auto"/>
              </w:rPr>
              <w:t>Motor vehicles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40"/>
              <w:spacing w:after="0"/>
              <w:rPr>
                <w:sz w:val="20"/>
                <w:szCs w:val="20"/>
                <w:color w:val="auto"/>
              </w:rPr>
            </w:pPr>
            <w:r>
              <w:rPr>
                <w:rFonts w:ascii="Arial" w:cs="Arial" w:eastAsia="Arial" w:hAnsi="Arial"/>
                <w:sz w:val="18"/>
                <w:szCs w:val="18"/>
                <w:color w:val="auto"/>
              </w:rPr>
              <w:t>Fixed assets, net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38,973</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Depreciation and amortization expense excluding amortization of acquisition-related intangibles for the three months ended March 31, 2013 and 2012 was $4,878 and $4,965, respectively.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ectPr>
          <w:pgSz w:w="11900" w:h="16838" w:orient="portrait"/>
          <w:cols w:equalWidth="0" w:num="1">
            <w:col w:w="11420"/>
          </w:cols>
          <w:pgMar w:left="240" w:top="459"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During the three months ended March 31, 2013, the Company acquired 13,018 shares of common stock from employees in connection with withholding tax payments related to the vesting of restricted stock for a total consideration of $389. The purchase price of $29.89 per share was the average of the high and low price of the Company’s shares of common stock on the Nasdaq Global Select Market on the trading day prior to the vesting date of the shares of restricted stock.</w:t>
      </w:r>
    </w:p>
    <w:p>
      <w:pPr>
        <w:spacing w:after="0" w:line="14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During the three months ended March 31, 2012, the Company acquired 7,455 shares of common stock from employees in connection with withholding tax payments related to the vesting of restricted stock for a total consideration of $182. The purchase price of $24.45 per share was the average of the high and low price of the Company’s shares of common stock on the Nasdaq Global Select Market on the trading day prior to the vesting date of the shares of restricted stock.</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acquired are held as treasury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cost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Actuarial loss</w:t>
            </w:r>
          </w:p>
        </w:tc>
        <w:tc>
          <w:tcPr>
            <w:tcW w:w="1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1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9.0% on these Gratuity Plans for the year ended March 31, 2013.</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Actual return</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tcPr>
          <w:p>
            <w:pPr>
              <w:ind w:left="1380"/>
              <w:spacing w:after="0"/>
              <w:rPr>
                <w:sz w:val="20"/>
                <w:szCs w:val="20"/>
                <w:color w:val="auto"/>
              </w:rPr>
            </w:pPr>
            <w:r>
              <w:rPr>
                <w:rFonts w:ascii="Arial" w:cs="Arial" w:eastAsia="Arial" w:hAnsi="Arial"/>
                <w:sz w:val="18"/>
                <w:szCs w:val="18"/>
                <w:color w:val="auto"/>
              </w:rPr>
              <w:t>Plan assets at March 31, 2013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$619 and $377 during the three month periods ended March 31, 2013 and March 31, 2012, respectively.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 periods ended March 31, 2013 and 2012, the Company contributed the following amounts to various defined contribution plans on behalf of its employees in India, the Philippines, Romania, Bulgaria, Malaysia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2013</w:t>
            </w:r>
          </w:p>
        </w:tc>
        <w:tc>
          <w:tcPr>
            <w:tcW w:w="2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$ 1,447</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Three months ended March 31, 2012</w:t>
            </w:r>
          </w:p>
        </w:tc>
        <w:tc>
          <w:tcPr>
            <w:tcW w:w="2900" w:type="dxa"/>
            <w:vAlign w:val="bottom"/>
          </w:tcPr>
          <w:p>
            <w:pPr>
              <w:jc w:val="right"/>
              <w:ind w:right="12"/>
              <w:spacing w:after="0"/>
              <w:rPr>
                <w:sz w:val="20"/>
                <w:szCs w:val="20"/>
                <w:color w:val="auto"/>
              </w:rPr>
            </w:pPr>
            <w:r>
              <w:rPr>
                <w:rFonts w:ascii="Arial" w:cs="Arial" w:eastAsia="Arial" w:hAnsi="Arial"/>
                <w:sz w:val="18"/>
                <w:szCs w:val="18"/>
                <w:color w:val="auto"/>
              </w:rPr>
              <w:t>$ 1,481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finances its use of certain computer hardware, leasehold improvements, furniture, fixtures, office equipment and motor vehicles under various lease arrangements provided by financial institutions. Future minimum lease payments under these capital leases as of March 31, 2013 are as follows:</w:t>
      </w:r>
    </w:p>
    <w:p>
      <w:pPr>
        <w:spacing w:after="0" w:line="11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2014</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2016</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2018</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current portion</w:t>
            </w:r>
          </w:p>
        </w:tc>
        <w:tc>
          <w:tcPr>
            <w:tcW w:w="2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24,022</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straight-line basis over the lease period. Rent expense under both cancellable and non-cancellable operating leases was $4,337 and $4,682 for the three months ended March 31, 2013 and 2012, respectively. Deferred rent as of March 31, 2013 and December 31, 2012 was $5,317 and $4,893, respectively, and is included under “Accrued expenses and other current liabilities” and “Non-current liabilities” in the consolidated balance sheets.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income tax expense of $2,997 and $3,020 for the three months ended March 31, 2013 and 2012, respectively. The effective rate of taxes decreased from 25.3% during the three months ended March 31, 2012 to 23.5% during the three months ended March 31, 2013. The decrease in effective tax rate is primarily due to the extension of a one year tax holiday period for one of the operating centers in the Philippines retroactively from May 2012 and other immaterial items, partially offset by the expiration of a portion of the tax holiday in our Bengaluru center in India as mentioned below.</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benefited from a four-year income tax holiday for one of its operations centers in the Philippines that expired in May 2012. The tax benefit is extendable by two successive one-year periods on fulfillment of certain performance and investment criteria. The Company had fulfilled such obligations and applied to the Philippines Economic Zone Authority (“PEZA”) for an extension of the tax holiday. In February 2013, the Company received a formal communication from PEZA approving a one-year extension retroactively from May 2012. Another operations center in the Philippines, which began operations in January 2012, benefits from a separate four-year income tax holiday that can be extended at PEZA’s discretion. While the Company is reasonably certain that PEZA will extend these tax holidays, it is possible that such extension requests may be denied, or that these tax holidays may be conditioned or removed entirely due to changes in applicable legislation by the government of the Philippines. Should any of these events occur, the Company’s tax liability in the Philippines would likely increase.</w:t>
      </w:r>
    </w:p>
    <w:p>
      <w:pPr>
        <w:spacing w:after="0" w:line="14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Company’s operations centers in Jaipur and Noida, India, which were established in Special Economic Zones (“SEZ”)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Under Indian tax regulations, the Bengaluru operations center is additionally entitled to a 50% tax exemption on export profits for five years from April 1, 2012. Our tax expense for the Bengaluru center increased after April 1, 2012 and will further increase after the expiry of the current five-year term that will expire in 2017. The Company also established a new operations center in Pune, India in June 2012, which is located in an SEZ. The Company anticipates establishing additional operations centers in SEZs or other tax advantaged locations in the future.</w:t>
      </w:r>
    </w:p>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March 31, 2013 and December 31, 2012, the Company performed an analysis of the deferred tax asset valuation allowance for net operating loss carry forward for its domestic entities. Based on this analysis, the Company continues to carry a valuation allowance on the deferred tax assets on net operating loss carry forwards. Accordingly, the Company had recorded a valuation allowance of $665 each as of March 31, 2013 and December 31, 2012.</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Indian subsidiaries are liable to pay the Minimum Alternative Tax (“MAT”) under the domestic tax laws. As of March 31, 2013 and December 31, 2012, deferred income taxes related to the MAT were approximately $3,040 and $2,932, respectively, expiring through various years until 2024.</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2013 through March 31, 2013:</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w w:val="91"/>
              </w:rPr>
              <w:t>The unrecognized tax benefits as of March 31, 2013 of $3,045, if recognized, would impact the effective tax rate.</w:t>
            </w: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recognized interest and penalties of $61 during the three months ended March 31, 2013, which are included in the income tax provision in the consolidated statements of income. The unrecognized tax benefits may increase or decrease in the next twelve months depending on the Company’s tax positions.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3,645</w:t>
            </w:r>
          </w:p>
        </w:tc>
        <w:tc>
          <w:tcPr>
            <w:tcW w:w="7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11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2"/>
          </w:tcPr>
          <w:p>
            <w:pPr>
              <w:jc w:val="right"/>
              <w:ind w:right="100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2,454,634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15.30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$ 27,554</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26.76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10.25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2,281,578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15.78</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$ 39,005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1,560,413</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13.32</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$ 30,516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1,754,791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2013 was $4,348, which is expected to be expensed over a weighted average period of 2.32 years. The weighted-average fair value of options granted during the three months ended March 31, 2013 and 2012 was $10.07 and $9.42, respectively. The total fair value of shares vested during the three months ended March 31, 2013 and 2012 was $2,118 and $2,036,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560" w:type="dxa"/>
            <w:vAlign w:val="bottom"/>
            <w:gridSpan w:val="5"/>
          </w:tcPr>
          <w:p>
            <w:pPr>
              <w:ind w:left="300"/>
              <w:spacing w:after="0"/>
              <w:rPr>
                <w:sz w:val="20"/>
                <w:szCs w:val="20"/>
                <w:color w:val="auto"/>
              </w:rPr>
            </w:pPr>
            <w:r>
              <w:rPr>
                <w:rFonts w:ascii="Arial" w:cs="Arial" w:eastAsia="Arial" w:hAnsi="Arial"/>
                <w:sz w:val="14"/>
                <w:szCs w:val="14"/>
                <w:b w:val="1"/>
                <w:bCs w:val="1"/>
                <w:color w:val="auto"/>
              </w:rPr>
              <w:t>Restricted Stock</w:t>
            </w:r>
          </w:p>
        </w:tc>
        <w:tc>
          <w:tcPr>
            <w:tcW w:w="460" w:type="dxa"/>
            <w:vAlign w:val="bottom"/>
          </w:tcPr>
          <w:p>
            <w:pPr>
              <w:spacing w:after="0"/>
              <w:rPr>
                <w:sz w:val="14"/>
                <w:szCs w:val="14"/>
                <w:color w:val="auto"/>
              </w:rPr>
            </w:pPr>
          </w:p>
        </w:tc>
        <w:tc>
          <w:tcPr>
            <w:tcW w:w="1940" w:type="dxa"/>
            <w:vAlign w:val="bottom"/>
            <w:gridSpan w:val="6"/>
          </w:tcPr>
          <w:p>
            <w:pPr>
              <w:ind w:left="2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Number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17.58</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1,025,911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473,430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15.72</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(224,184)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(12,904)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17.72</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1,262,253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60" w:right="5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104,000 and 124,000 vested restricted stock units as of March 31, 2013 and December 31, 2012, respectively for which the underlying common stock is yet to be issued.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2013, unrecognized compensation cost of $27,033 is expected to be expensed over a weighted average period of 2.96 years.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83,136</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75,948</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116,006</w:t>
            </w: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10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63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India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29,404</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29,539</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Philippines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38,973</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March 31, 2013, the Company had committed to spend approximately $3,517 under agreements to purchase fixed assets. This amount is net of capital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44"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Company’s operations centers in Manila, the Philippines are registered with PEZA. The registration provides the Company with certain fiscal incentives on the import of capital goods and requires Exl Philippines to meet certain performance and investment criteria. One of the Company’s operations centers in the Philippines benefited from a four-year income tax holiday that expired in May 2012. In February 2013, the Company received a one-year extension retroactively from May 2012 and expects to file another extension request after which no further extensions are presently permitted. Another operations center in the Philippines, which began operations in January 2012, benefits from a separate four-year income tax holiday that can be extended at PEZA’s discretion.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are engaged in tax litigation with the income-tax authorities in India on the issue of permanent establishment.</w:t>
      </w:r>
    </w:p>
    <w:p>
      <w:pPr>
        <w:spacing w:after="0" w:line="118"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The aggregate disputed amount demanded by Indian tax authorities from the Company related to its transfer pricing issues for various years ranging from tax years 2003 to 2010 and its permanent establishment issues ranging from tax years 2003 to 2008 as of March 31, 2013 and December 31, 2012 is $18,868 and $18,624, respectively, of which the Company has already made payments or provided bank guarantees to the extent of $14,909 and $14,715, respectively.</w:t>
      </w:r>
    </w:p>
    <w:p>
      <w:pPr>
        <w:spacing w:after="0" w:line="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Amounts paid as deposits in respect of such assessments aggregating to $12,468 and $12,307 as of March 31, 2013 and December 31, 2012, respectively, are included in “Other assets” and amounts deposited for bank guarantees aggregating to $2,441 and $2,408 as of March 31, 2013 and December 31, 2012, respectively, are included in “Restricted cash” in the non-current assets section of the Company’s consolidated balance sheets as of March 31, 2013 and December 31, 2012.</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that the Company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Even if these disputes are resolved, the Indian tax authorities may still serve additional orders or assessments.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2012. Some of the statements in the following discussion are forward looking statements. See “Forward Looking Statements” below.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and focus on providing our clients with a positive business impact and enhancing their long term financial value. We customize our services to improve the economics of business performance and transform organizations to be leaner and more flexible. Our outsourcing services provide front-, middle- and back-office processing for our clients, who are primarily global companies. Outsourcing services involve the transfer to us of select business operations of a client, such as claims processing, policy administration and finance and accounting, after which we administer and manage the operations for our client on an ongoing basis. We also offer a number of transformation services that include decision analytics, finance transformation and operations and process excellence services. These transformation services help our clients provide additional insight into their future financial and operational results, improve their operating environments through cost reduction, enhanced efficiency and productivity initiatives, and enhance the risk and control environments within our clients’ operations whether or not they are outsourced to us. We serve primarily the needs of Global 1000 companies in the insurance, healthcare, utilities, banking and financial services, travel, transportation and logistics sectors.</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October 12, 2012, we acquired Landacorp, Inc. (“Landacorp”), a leading provider of healthcare solutions and technology (the “Landacorp Acquisition”). Landacorp has more than 50 million lives under management on its software platforms and has developed services and technology solutions that share vital clinical data with payers, providers, plan participants and accountable care organizations.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We operate fifteen operations centers in India, six operations centers in the U.S., two operations centers each in the Philippines and Bulgaria and one operations center in each of Romania, Malaysia and the Czech Republic.</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For the three months ended March 31, 2013, we had total revenues of $116.0 million compared to total revenues of $104.6 million in the three months ended March 31, 2012, an increase of $11.4 million or 10.9%.</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Revenues from outsourcing services increased from $89.7 million for the three months ended March 31, 2012, to $97.6 million for the three months ended March 31, 2013. The increase in revenues from outsourcing services of $7.8 million for the three months ended March 31, 2013, was driven primarily by revenues of $4.3 million from the Landacorp Acquisition in 2012 and net volume increases from existing and new clients aggregating to $5.9 million. These increases were offset partially by a net decrease in revenues of $2.4 million primarily due to the depreciation of each of the Indian rupee, U.K. pound sterling and Czech koruna against the U.S. dollar during the three months ended March 31, 2013 compared to the three months ended March 31, 2012.</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from transformation services increased from $14.9 million for the three months ended March 31, 2012 to $18.4 million for the three ended March 31, 2013. The increase was primarily due to a combination of increased revenues in recurring or annuity-based decision analytics services and an increase in project-based engagements both in our decision analytics and finance transformation services. Revenues from new clients for transformation services were $0.3 million and $0.5 million during the three months ended March 31, 2013 and 2012,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principally in the insurance, healthcare, utilities, banking and financial services, travel, transportation and logistics sectors, as well as cross-industry outsourcing services, such as finance and accounting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Through the Landacorp Acquisition on October 12, 2012, we added a leading care management software platform for healthcare payers. As a result of our Trumbull Acquisition, on October 1, 2011, we acquired the capability to provide subrogation services as well as access to a software platform called SubroSource™ for providing subrogation services to property and casualty insurers. In connection with our acquisition of Professional Data Management Again (“PDMA”) in April 2010, we acquired an insurance policy administration platform called LifePRO to administer life insurance, health insurance annuities and credit life and disability insurance policies for insurance and healthcare clients. As we increase our service capabilities utilizing platform- and other software-based services,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signing of such new contracts which may lead to fluctuations in our short term revenues.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to three years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We have experienced a significant increase in demand for our annuity-based transformation services, which are engagements that are contracted for one- to three-year terms.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serve clients mainly in the U.S. and the U.K., with these two regions generating approximately 71.7% and 20.8%, respectively, of our total revenues for the three months ended March 31, 2013 and approximately 72.6% and 20.0%, respectively, of our total revenues for the three months ended March 31, 2012.</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three months ended March 31, 2013 and 2012, our total revenues from our top ten clients accounted for 59.7% and 60.3% of our total revenues, respectively. None of our clients accounted for more than 10% of our total revenues during the three months ended March 31, 2013 compared to one client during the three months ended March 31, 2012.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derived revenues from seven and eleven new clients for our services in the three months ended March 31, 2013 and 2012, respectively.</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depending on each client’s situation and on the type of services provided. For the three months ended March 31, 2013 and 2012, 3.8% and 4.0%, respectively, of our revenues represent reimbursement of such expenses.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observed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2012.</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7"/>
              </w:rPr>
              <w:t>(in million)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income/(expense):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 provision</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Revenues include reimbursable expenses of $4.4 million and $4.1 million for the three months ended March 31, 2013 and 2012, respectively.</w:t>
      </w:r>
    </w:p>
    <w:p>
      <w:pPr>
        <w:spacing w:after="0" w:line="38"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revenues includes $0.9 million and $0.7 million during the three months ended March 31, 2013 and 2012,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$2.8 million and $2.1 million for the three months ended March 31, 2013 and 2012, respectively,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includes $1.6 million and $1.4 million for the three months ended March 31, 2013 and 2012, respectively, of amortization of intangibles as described in Note 5 to our unaudited consolidated financial statements contained 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2013 Compared to Three Months Ended March 31, 2012</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10.9%, from $104.6 million for the three months ended March 31, 2012 to $116.0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2013. Revenues from outsourcing services increased from $89.7 million during the three months ended March 31, 2012 to $97.6 million during the three months ended March 31, 2013. The increase in revenues from outsourcing services of $7.8 million was primarily driven by revenues of $4.3 million from the Landacorp Acquisition and net volume increases from existing and new clients aggregating to $5.9 million. These increases were partially offset by a net decrease in revenues of $2.4 million, primarily due to the depreciation of each of the Indian rupee, U.K. pound sterling and Czech koruna against the U.S. dollar during the three months ended March 31, 2013 compared to the three months ended March 31, 2012.</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Revenues from transformation services increased from $14.9 million for the three months ended March 31, 2012 to $18.4 million for the three months ended March 31, 2013. The increase was primarily due to a combination of increased revenues in recurring or annuity decision analytics services and an increase in project-based engagements both in our decision analytics and finance transformation services. Revenues from new clients for transformation services were $0.3 million and $0.5 million during the three months ended March 31, 2013 and 2012, respectively.</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9.4%, from $66.7 million for the three months ended March 31, 2012 to $72.9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2013. The increase in cost of revenues was primarily due to an increase in employee-related costs of $8.9 million as a result of an increase in the number of our personnel directly involved in providing services to our clients, including $1.8 million of employee-related costs related to the Landacorp Acquisition. We also experienced an increase in reimbursable expenses of $0.2 million (resulting in an increase in revenues) and an increase in facilities, technology and other operating expenses of $0.6 million (primarily due to the Landacorp Acquisition and new operations centers to support business growth). These increases were partially offset by a decrease of $3.5 million due to the net effect of depreciation of the Indian rupee and the Czech koruna and appreciation of the Philippine peso against the U.S. dollar during the three months ended March 31, 2013 compared to the three months ended March 31, 2012. Cost of revenues as a percentage of revenues decreased marginally from 63.7% for the three months ended March 31, 2012 to 62.9% for the three months ended March 31, 2013.</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13.6%, from $37.9 million for the three months ended March 31, 2012 to $43.1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2013. The increase in gross profit was primarily due to an increase in revenues of $11.4 million, offset by an increase in cost of revenues of $6.2 million. Gross profit as a percentage of revenues increased marginally from 36.3% for the three months ended March 31, 2012 to 37.1% for the three months ended March 31, 2013, primarily due to the Landacorp Acquisition in October 2012, and depreciation of the Indian rupee against the U.S. dollar during the three months ended March 31, 2013 compared to the three months ended March 31, 2012.</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increased 17.3%, from $21.1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2012 to $24.8 million for the three months ended March 31, 2013. The increase in SG&amp;A expenses was primarily due to an increase in employee-related costs of $3.6 million, including $1.6 million of employee-related costs related to the Landacorp Acquisition and our continued investment in sales and client management personnel. We also experienced an increase in other SG&amp;A expenses of $0.6 million, primarily due to increased professional fees, facilities and technology costs incurred at our new operating centers, costs associated with the Landacorp Acquisition as well as increases in other marketing expenses. These increases were partially offset by a decrease of $0.6 million due to the net effect of depreciation of the Indian rupee and Czech koruna and appreciation of the Philippine peso against the U.S. dollar during the three months ended March 31, 2013 compared to the three months ended March 31, 2012. As a percentage of revenues, SG&amp;A expenses increased from 20.2% for the three months ended March 31, 2012 to 21.4% for the three months ended March 31, 2013, primarily as a result of the Landacorp Acquisition.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2.4% from $6.4 million for the three months ended March 31, 2012 to $6.5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2013. The increase is primarily due to an increase in amortization of acquisition-related intangibles of $0.2 million and depreciation related to our new operations centers of $0.2 million offset by a decrease of $0.3 million due to the net effect of depreciation of the Indian rupee and the Czech koruna and appreciation of the Philippines peso against the U.S. dollar during the three months ended March 31, 2013 compared to the three months ended March 31, 2012. As a percentage of revenues, depreciation and amortization expenses decreased from 6.1% for the three months ended March 31, 2012 to 5.6% for the three months ended March 31,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12.9%, from $10.4 million for the three months ended March 31, 2012 to $11.8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2013. As a percentage of revenues, income from operations increased marginally from 10.0% for the three months ended</w:t>
      </w:r>
    </w:p>
    <w:p>
      <w:pPr>
        <w:ind w:right="160"/>
        <w:spacing w:after="0" w:line="261" w:lineRule="auto"/>
        <w:rPr>
          <w:sz w:val="20"/>
          <w:szCs w:val="20"/>
          <w:color w:val="auto"/>
        </w:rPr>
      </w:pPr>
      <w:r>
        <w:rPr>
          <w:rFonts w:ascii="Arial" w:cs="Arial" w:eastAsia="Arial" w:hAnsi="Arial"/>
          <w:sz w:val="18"/>
          <w:szCs w:val="18"/>
          <w:color w:val="auto"/>
        </w:rPr>
        <w:t>March 31, 2012 to 10.2% for the three months ended March 31, 2013. The increase in income from operations as a percentage of revenues was primarily due to higher margins from the Landacorp Acquisition during the three months ended March 31, 2013.</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items.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decreased from $1.5 million for the three months ended March 31, 2012 to $1.0 million for the three months ended March 31, 2013, due to insignificant net foreign exchange loss during the three months ended March 31, 2013 compared to net foreign exchange gain of $1.1 million during the three months ended March 31, 2012 attributable to movement of the U.S. dollar against the Indian rupee, offset by increase of $0.6 million in net interest income and other income. The average exchange rate of the Indian rupee against the U.S. dollar increased from 49.78 during the three months ended March 31, 2012 to 53.95 during the three months ended March 31, 2013.</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was $3.0 million in each of the three months ended March 31, 2012 and March 31,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effective rate of taxes decreased from 25.3% during the three months ended March 31, 2012 to 23.5% during the three months ended March 31, 2013. Refer to Note 12 to the unaudited consolidated financial statements for further details.</w:t>
      </w:r>
    </w:p>
    <w:p>
      <w:pPr>
        <w:spacing w:after="0" w:line="140"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9.5%, from $8.9 million for the three months ended March 31, 2012 to $9.8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2013, primarily due to an increase in operating income of $1.4 million, offset by a decrease in other income of $0.5 million. As a percentage of revenues, net income decreased from 8.5% for the three months ended March 31, 2012 to 8.4% for the three months ended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2013, we had $108.6 million in cash and cash equivalents and short-term investments (including $58.4 million held by our foreign subsidiaries). We do not intend to repatriate our overseas funds since our future growth depends upon the continued infrastructure and technology investments, geographical expansions and acquisitions outside of the U.S. Therefore, we need to continuously and permanently reinvest the earnings generated outside of the U.S. If we were to repatriate our overseas funds, we would need to accrue and pay applicable taxes.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Cash flows provided by operating activities increased from $4.4 million in the three months ended March 31, 2012 to $6.6 million in the three months ended March 31, 2013.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 The increase in cash flows provided by operations for the three months ended March 31, 2013 was predominantly due to an increase in net income adjusted for non-cash items by $1.4 million along with a decrease in working capital of $0.9 million. The increase in net income adjusted for non-cash items is primarily due to an increase in net income of $0.8 million, stock based compensation expense of $0.9 million and depreciation and amortization expense of $0.2 million, offset by decrease in unrealized foreign exchange gain of $0.8 million.</w:t>
      </w:r>
    </w:p>
    <w:p>
      <w:pPr>
        <w:spacing w:after="0" w:line="14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Changes in operating assets and liabilities are primarily due to an increase in cash provided by accrued employee cost of $2.0 million and other assets of $1.1 million offset by decrease in cash paid for accounts payable by $0.9 million and advance income tax, net by $1.0 million during the three months ended March 31, 2013 compared to the three months ended March 31, 2012. Our days’ sales outstanding was 59 days as of March 31, 2013 compared to 56 days as of December 31,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Cash flows used for investing activities decreased from $8.4 million in the three months ended March 31, 2012 to $7.8 million in the three months ended March 31, 2013. The decrease is primarily due to decrease in capital expenditure of $2.7 million offset by net proceeds from redemption of short term investments of $0.9 million and payment of working capital adjustment for the Landacorp Acquisition of $1.2 million during the three months ended March 31, 2013 compared to the three months ended March 31, 2012.</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flows provided by financing activities decreased from $2.3 million in the three months ended March 31, 2012 to $0.6 million during the three months ended March 31, 2013. The decrease is primarily due to proceeds from the exercise of stock options of $1.4 million during the three months ended March 31, 2013 compared to $2.9 million during the three months ended March 31, 2012.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purchase of telecommunications equipment and computer hardware and software in connection with managing client operations. We incurred approximately $6.6 million of capital expenditures in the three months ended March 31, 2013. We expect to incur capital expenditures of between $15.0 million to $20.0 million in the remainder of 2013,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right="700" w:firstLine="456"/>
        <w:spacing w:after="0" w:line="370" w:lineRule="auto"/>
        <w:rPr>
          <w:sz w:val="20"/>
          <w:szCs w:val="20"/>
          <w:color w:val="auto"/>
        </w:rPr>
      </w:pPr>
      <w:r>
        <w:rPr>
          <w:rFonts w:ascii="Arial" w:cs="Arial" w:eastAsia="Arial" w:hAnsi="Arial"/>
          <w:sz w:val="15"/>
          <w:szCs w:val="15"/>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for further details.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26, 2011, we entered into a three-year credit agreement (the “Credit Facility”) with certain lenders and JPMorgan Chase Bank, N.A., as Administrative Agent. Borrowings under the Credit Facility may be used for working capital and general corporate purposes. Originally a $50.0 million revolving facility, including a letter of credit sub-facility, the availability under the Credit Facility was reduced to $15.0 million in June 2012. Upon our request, however, and the fulfillment of certain conditions, the Credit Facility may be increased to $50.0 million. As of March 31, 2013, we did not have any borrowings under the Credit Facility.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and December 31, 2012, we had no off-balance sheet arrangements or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Payment Due by Period</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1"/>
                <w:szCs w:val="11"/>
                <w:color w:val="auto"/>
              </w:rPr>
            </w:pPr>
          </w:p>
        </w:tc>
        <w:tc>
          <w:tcPr>
            <w:tcW w:w="3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8"/>
              </w:rPr>
              <w:t>1-3</w:t>
            </w:r>
          </w:p>
        </w:tc>
        <w:tc>
          <w:tcPr>
            <w:tcW w:w="78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years</w:t>
            </w:r>
          </w:p>
        </w:tc>
        <w:tc>
          <w:tcPr>
            <w:tcW w:w="4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2"/>
              </w:rPr>
              <w:t>5 years</w:t>
            </w:r>
          </w:p>
        </w:tc>
        <w:tc>
          <w:tcPr>
            <w:tcW w:w="20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$3.0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operations centers in Manila, the Philippines are registered with PEZA. The registration provides us with certain fiscal incentives on the import of capital goods and requires that Exl Philippines meet certain performance and investment criteria. One of our operations centers in the Philippines benefited from a four-year income tax holiday that expired in May 2012. In February 2013, we received a one-year extension retroactively from May 2012 and expect to file another extension request after which no further extensions are presently permitted. Another operations center in the Philippines, which began operations in January 2012, benefits from a separate four-year income tax holiday that can be extended at PEZA’s discretion.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2011, the Financial Accounting Standards Board (FASB) issued Accounting Standard Update (ASU) No. 2011-11,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Offsetting Assets and Liabilities,</w:t>
      </w:r>
      <w:r>
        <w:rPr>
          <w:rFonts w:ascii="Arial" w:cs="Arial" w:eastAsia="Arial" w:hAnsi="Arial"/>
          <w:sz w:val="16"/>
          <w:szCs w:val="16"/>
          <w:color w:val="auto"/>
        </w:rPr>
        <w:t>” (ASU No. 2011-11) which is effective for annual reporting periods beginning on or after January 1, 2013, and interim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those annual periods. This authoritative guidance was issued to enhance disclosure requirements on offsetting financial assets and liabilities. The new rules require companies to disclose both gross and net information about instruments and transactions eligible for offset in the statement of financial position, as well as instruments and transactions subject to a netting arrangement. In January 2013, the FASB further issued ASU No. 2013-01, “</w:t>
      </w:r>
      <w:r>
        <w:rPr>
          <w:rFonts w:ascii="Arial" w:cs="Arial" w:eastAsia="Arial" w:hAnsi="Arial"/>
          <w:sz w:val="16"/>
          <w:szCs w:val="16"/>
          <w:i w:val="1"/>
          <w:iCs w:val="1"/>
          <w:color w:val="auto"/>
        </w:rPr>
        <w:t>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to address implementation issues surrounding the scope of ASU No. 2011-11 and to clarify the scope of the offsetting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and address any unintended consequences. The adoption of this guidance from January 2013 did not have a material impact on our unaudited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2012, the FASB issued ASU No. 2012-02,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(ASU</w:t>
      </w:r>
    </w:p>
    <w:p>
      <w:pPr>
        <w:spacing w:after="0" w:line="1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No. 2012-02), which simplifies the guidance for testing the impairment of indefinite-lived intangible assets other than goodwill. Examples of intangible assets subject to the guidance include indefinite-lived trademarks, licenses and distribution rights. The amendment provides the option to first assess qualitative factors to determine whether it is necessary to perform the quantitative impairment test. Under the option, an entity is no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longer required to calculate the fair value of an indefinite-lived intangible asset unless the entity determines, based on a qualitative assessment, that it is more likely than not that its fair value is less than its carrying amount. This amendment is effective for fiscal years beginning after September 15, 2012, with early adoption permitted. We do not expect the new guidance to have an impact on our 2013 impairment test results.</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October 2012, the FASB issued ASU No. 2012-04</w:t>
      </w:r>
      <w:r>
        <w:rPr>
          <w:rFonts w:ascii="Arial" w:cs="Arial" w:eastAsia="Arial" w:hAnsi="Arial"/>
          <w:sz w:val="16"/>
          <w:szCs w:val="16"/>
          <w:i w:val="1"/>
          <w:iCs w:val="1"/>
          <w:color w:val="auto"/>
        </w:rPr>
        <w:t>.</w:t>
      </w:r>
      <w:r>
        <w:rPr>
          <w:rFonts w:ascii="Arial" w:cs="Arial" w:eastAsia="Arial" w:hAnsi="Arial"/>
          <w:sz w:val="16"/>
          <w:szCs w:val="16"/>
          <w:color w:val="auto"/>
        </w:rPr>
        <w:t xml:space="preserve"> This ASU makes technical corrections and improvements to a variety of topics in the FASB Accounting Standards Codification (the “Codification”). The changes include source literature amendments, guidance clarification, reference corrections and relocated guidance. The ASU also includes conforming amendments to the Codification to reflect ASC 820’s fair value measurement and disclosure requirements. The adoption of this standard effective January 1, 2013 did not have a material impact on our unaudited consolidated financial statements.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“Reporting of Amounts Reclassified out of Accumulated Other Comprehensive Income”</w:t>
      </w:r>
      <w:r>
        <w:rPr>
          <w:rFonts w:ascii="Arial" w:cs="Arial" w:eastAsia="Arial" w:hAnsi="Arial"/>
          <w:sz w:val="16"/>
          <w:szCs w:val="16"/>
          <w:color w:val="auto"/>
        </w:rPr>
        <w:t xml:space="preserve"> (ASU No. 2013-02). Under ASU No. 2013-02, an entity is required to provide information about the amounts reclassified out of accumulated other comprehensive 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No. 2013-02 does not change the current requirements for reporting net income or other comprehensive income in the financial statements. ASU No. 2013-02 became effective from January 1, 2013 and the new guidance did not have any material impact on our unaudited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three months ended March 31, 2013,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2013. Based upon that evaluation, the CEO and CFO have concluded that, as of March 31, 2013,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2013,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2012 a number of risks which may materially affect our business, financial condition or results of operations. You should carefully consider the “Risk Factors” set forth in our Annual Report on Form 10-K for the year ended December 31, 2012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three months ended March 31, 2013, the Company acquired 13,018 shares of common stock, respectively from employees in connection with withholding tax payments related to the vesting of restricted stock for a total consideration of $389,058. The purchase price of $29.89 per share was the average of the high and low price of the Company’s shares of common stock on the Nasdaq Global Select Market on the trading day prior to the vesting date of the shares of restricted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tc>
      </w:tr>
      <w:tr>
        <w:trPr>
          <w:trHeight w:val="412"/>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of ExlService Holdings, pursuant to Rule 13a-14 of the Exchange Act, as adopted pursuant to Section</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Certification of the Chief Financial Officer pursuant to Rule 13a-14(b) of the Exchange Act and 18 U.S.C. Section 1350, as adopted pursuant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220" w:right="60" w:hanging="212"/>
        <w:spacing w:after="0" w:line="25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(15 U.S.C. 78r), or otherwise subject to the liability of that section. Such exhibit will not be deemed to be incorporated by reference into any filing under the Securities Act or Securities Exchange Act, except to the extent that the Company specifically incorporates it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7940" w:type="dxa"/>
            <w:vAlign w:val="bottom"/>
            <w:gridSpan w:val="2"/>
          </w:tcPr>
          <w:p>
            <w:pPr>
              <w:ind w:left="2440"/>
              <w:spacing w:after="0"/>
              <w:rPr>
                <w:sz w:val="20"/>
                <w:szCs w:val="20"/>
                <w:color w:val="auto"/>
              </w:rPr>
            </w:pPr>
            <w:r>
              <w:rPr>
                <w:rFonts w:ascii="Arial" w:cs="Arial" w:eastAsia="Arial" w:hAnsi="Arial"/>
                <w:sz w:val="18"/>
                <w:szCs w:val="18"/>
                <w:b w:val="1"/>
                <w:bCs w:val="1"/>
                <w:color w:val="auto"/>
              </w:rPr>
              <w:t>EXLSERVICE HOLDINGS, INC.</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May 3, 2013</w:t>
            </w:r>
          </w:p>
        </w:tc>
        <w:tc>
          <w:tcPr>
            <w:tcW w:w="7940" w:type="dxa"/>
            <w:vAlign w:val="bottom"/>
            <w:gridSpan w:val="2"/>
          </w:tcPr>
          <w:p>
            <w:pPr>
              <w:ind w:left="2440"/>
              <w:spacing w:after="0"/>
              <w:rPr>
                <w:sz w:val="20"/>
                <w:szCs w:val="20"/>
                <w:color w:val="auto"/>
              </w:rPr>
            </w:pPr>
            <w:r>
              <w:rPr>
                <w:rFonts w:ascii="Arial" w:cs="Arial" w:eastAsia="Arial" w:hAnsi="Arial"/>
                <w:sz w:val="18"/>
                <w:szCs w:val="18"/>
                <w:color w:val="auto"/>
              </w:rPr>
              <w:t>By: /s/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196"/>
        </w:trPr>
        <w:tc>
          <w:tcPr>
            <w:tcW w:w="3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4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Vishal Chhibbar</w:t>
            </w:r>
          </w:p>
        </w:tc>
      </w:tr>
      <w:tr>
        <w:trPr>
          <w:trHeight w:val="228"/>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Executive Vice President and</w:t>
            </w:r>
          </w:p>
        </w:tc>
      </w:tr>
      <w:tr>
        <w:trPr>
          <w:trHeight w:val="217"/>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3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w w:val="94"/>
              </w:rPr>
              <w:t>(Duly Authorized Signatory, Principal Financial and Accounting</w:t>
            </w:r>
          </w:p>
        </w:tc>
      </w:tr>
      <w:tr>
        <w:trPr>
          <w:trHeight w:val="228"/>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Officer)</w:t>
            </w:r>
          </w:p>
        </w:tc>
      </w:tr>
      <w:tr>
        <w:trPr>
          <w:trHeight w:val="378"/>
        </w:trPr>
        <w:tc>
          <w:tcPr>
            <w:tcW w:w="3480" w:type="dxa"/>
            <w:vAlign w:val="bottom"/>
          </w:tcPr>
          <w:p>
            <w:pPr>
              <w:spacing w:after="0"/>
              <w:rPr>
                <w:sz w:val="24"/>
                <w:szCs w:val="24"/>
                <w:color w:val="auto"/>
              </w:rPr>
            </w:pPr>
          </w:p>
        </w:tc>
        <w:tc>
          <w:tcPr>
            <w:tcW w:w="270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sz w:val="20"/>
          <w:szCs w:val="20"/>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March 31, 2013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connection with the Quarterly Report of ExlService Holdings, Inc. (the “Company”) on Form 10-Q for the period ending March 31, 2013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5"/>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1."/>
      <w:numFmt w:val="decimal"/>
      <w:start w:val="4"/>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2019-12-07T08:16:48Z</dcterms:created>
  <dcterms:modified xsi:type="dcterms:W3CDTF">2019-12-07T08:16:48Z</dcterms:modified>
</cp:coreProperties>
</file>