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5132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13270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AYYAPPAN AJAY</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09/01/2024</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457"/>
        <w:spacing w:after="0"/>
        <w:rPr>
          <w:sz w:val="20"/>
          <w:szCs w:val="20"/>
          <w:color w:val="auto"/>
        </w:rPr>
      </w:pPr>
      <w:r>
        <w:rPr>
          <w:rFonts w:ascii="Times New Roman" w:cs="Times New Roman" w:eastAsia="Times New Roman" w:hAnsi="Times New Roman"/>
          <w:sz w:val="17"/>
          <w:szCs w:val="17"/>
          <w:color w:val="0000FF"/>
        </w:rPr>
        <w:t>EVP &amp; Gen Counsel/Corp. Sec'y.</w:t>
      </w:r>
    </w:p>
    <w:p>
      <w:pPr>
        <w:spacing w:after="0" w:line="313"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700" w:type="dxa"/>
            <w:vAlign w:val="bottom"/>
            <w:gridSpan w:val="7"/>
            <w:vMerge w:val="restart"/>
          </w:tcPr>
          <w:p>
            <w:pPr>
              <w:jc w:val="center"/>
              <w:ind w:right="36"/>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3700" w:type="dxa"/>
            <w:vAlign w:val="bottom"/>
            <w:gridSpan w:val="7"/>
            <w:vMerge w:val="continue"/>
          </w:tcPr>
          <w:p>
            <w:pPr>
              <w:spacing w:after="0"/>
              <w:rPr>
                <w:sz w:val="7"/>
                <w:szCs w:val="7"/>
                <w:color w:val="auto"/>
              </w:rPr>
            </w:pPr>
          </w:p>
        </w:tc>
        <w:tc>
          <w:tcPr>
            <w:tcW w:w="364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NY</w:t>
            </w:r>
          </w:p>
        </w:tc>
        <w:tc>
          <w:tcPr>
            <w:tcW w:w="5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10022</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40" w:type="dxa"/>
            <w:vAlign w:val="bottom"/>
            <w:gridSpan w:val="7"/>
          </w:tcPr>
          <w:p>
            <w:pPr>
              <w:ind w:left="120"/>
              <w:spacing w:after="0" w:line="13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5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4"/>
          </w:tcPr>
          <w:p>
            <w:pPr>
              <w:spacing w:after="0"/>
              <w:rPr>
                <w:sz w:val="10"/>
                <w:szCs w:val="10"/>
                <w:color w:val="auto"/>
              </w:rPr>
            </w:pPr>
          </w:p>
        </w:tc>
        <w:tc>
          <w:tcPr>
            <w:tcW w:w="1600" w:type="dxa"/>
            <w:vAlign w:val="bottom"/>
            <w:tcBorders>
              <w:bottom w:val="single" w:sz="8" w:color="2C2C2C"/>
            </w:tcBorders>
            <w:gridSpan w:val="4"/>
          </w:tcPr>
          <w:p>
            <w:pPr>
              <w:spacing w:after="0"/>
              <w:rPr>
                <w:sz w:val="10"/>
                <w:szCs w:val="10"/>
                <w:color w:val="auto"/>
              </w:rPr>
            </w:pPr>
          </w:p>
        </w:tc>
        <w:tc>
          <w:tcPr>
            <w:tcW w:w="262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4"/>
                <w:szCs w:val="14"/>
                <w:color w:val="auto"/>
              </w:rPr>
            </w:pPr>
          </w:p>
        </w:tc>
        <w:tc>
          <w:tcPr>
            <w:tcW w:w="1180" w:type="dxa"/>
            <w:vAlign w:val="bottom"/>
            <w:gridSpan w:val="3"/>
          </w:tcPr>
          <w:p>
            <w:pPr>
              <w:ind w:left="1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8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jc w:val="center"/>
              <w:ind w:right="36"/>
              <w:spacing w:after="0"/>
              <w:rPr>
                <w:sz w:val="20"/>
                <w:szCs w:val="20"/>
                <w:color w:val="auto"/>
              </w:rPr>
            </w:pPr>
            <w:r>
              <w:rPr>
                <w:rFonts w:ascii="Arial" w:cs="Arial" w:eastAsia="Arial" w:hAnsi="Arial"/>
                <w:sz w:val="12"/>
                <w:szCs w:val="12"/>
                <w:b w:val="1"/>
                <w:bCs w:val="1"/>
                <w:color w:val="auto"/>
                <w:w w:val="95"/>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080" w:type="dxa"/>
            <w:vAlign w:val="bottom"/>
            <w:tcBorders>
              <w:bottom w:val="single" w:sz="8" w:color="2C2C2C"/>
            </w:tcBorders>
            <w:gridSpan w:val="6"/>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08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gridSpan w:val="3"/>
          </w:tcPr>
          <w:p>
            <w:pPr>
              <w:jc w:val="right"/>
              <w:ind w:right="121"/>
              <w:spacing w:after="0"/>
              <w:rPr>
                <w:sz w:val="20"/>
                <w:szCs w:val="20"/>
                <w:color w:val="auto"/>
              </w:rPr>
            </w:pPr>
            <w:r>
              <w:rPr>
                <w:rFonts w:ascii="Times New Roman" w:cs="Times New Roman" w:eastAsia="Times New Roman" w:hAnsi="Times New Roman"/>
                <w:sz w:val="17"/>
                <w:szCs w:val="17"/>
                <w:color w:val="0000FF"/>
              </w:rPr>
              <w:t>09/01/2024</w:t>
            </w: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39"/>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27,075</w:t>
            </w:r>
          </w:p>
        </w:tc>
        <w:tc>
          <w:tcPr>
            <w:tcW w:w="6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56"/>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56,984</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3080" w:type="dxa"/>
            <w:vAlign w:val="bottom"/>
            <w:tcBorders>
              <w:bottom w:val="single" w:sz="8" w:color="2C2C2C"/>
            </w:tcBorders>
            <w:gridSpan w:val="6"/>
          </w:tcPr>
          <w:p>
            <w:pPr>
              <w:spacing w:after="0"/>
              <w:rPr>
                <w:sz w:val="5"/>
                <w:szCs w:val="5"/>
                <w:color w:val="auto"/>
              </w:rPr>
            </w:pPr>
          </w:p>
        </w:tc>
        <w:tc>
          <w:tcPr>
            <w:tcW w:w="1180" w:type="dxa"/>
            <w:vAlign w:val="bottom"/>
            <w:tcBorders>
              <w:bottom w:val="single" w:sz="8" w:color="2C2C2C"/>
            </w:tcBorders>
            <w:gridSpan w:val="3"/>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right"/>
              <w:ind w:right="121"/>
              <w:spacing w:after="0"/>
              <w:rPr>
                <w:sz w:val="20"/>
                <w:szCs w:val="20"/>
                <w:color w:val="auto"/>
              </w:rPr>
            </w:pPr>
            <w:r>
              <w:rPr>
                <w:rFonts w:ascii="Times New Roman" w:cs="Times New Roman" w:eastAsia="Times New Roman" w:hAnsi="Times New Roman"/>
                <w:sz w:val="17"/>
                <w:szCs w:val="17"/>
                <w:color w:val="0000FF"/>
              </w:rPr>
              <w:t>09/03/2024</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39"/>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16,218</w:t>
            </w:r>
          </w:p>
        </w:tc>
        <w:tc>
          <w:tcPr>
            <w:tcW w:w="6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36.54</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40,766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9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920" w:type="dxa"/>
            <w:vAlign w:val="bottom"/>
            <w:gridSpan w:val="11"/>
          </w:tcPr>
          <w:p>
            <w:pPr>
              <w:jc w:val="center"/>
              <w:ind w:right="4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5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restart"/>
          </w:tcPr>
          <w:p>
            <w:pPr>
              <w:jc w:val="right"/>
              <w:ind w:right="221"/>
              <w:spacing w:after="0" w:line="284" w:lineRule="exact"/>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right"/>
              <w:ind w:right="256"/>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tcPr>
          <w:p>
            <w:pPr>
              <w:jc w:val="center"/>
              <w:ind w:right="36"/>
              <w:spacing w:after="0" w:line="142" w:lineRule="exact"/>
              <w:rPr>
                <w:sz w:val="20"/>
                <w:szCs w:val="20"/>
                <w:color w:val="auto"/>
              </w:rPr>
            </w:pPr>
            <w:r>
              <w:rPr>
                <w:rFonts w:ascii="Times New Roman" w:cs="Times New Roman" w:eastAsia="Times New Roman" w:hAnsi="Times New Roman"/>
                <w:sz w:val="13"/>
                <w:szCs w:val="13"/>
                <w:color w:val="0000FF"/>
                <w:w w:val="97"/>
              </w:rPr>
              <w:t>Stock,</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27,075</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ind w:left="260"/>
              <w:spacing w:after="0" w:line="142" w:lineRule="exact"/>
              <w:rPr>
                <w:sz w:val="20"/>
                <w:szCs w:val="20"/>
                <w:color w:val="auto"/>
              </w:rPr>
            </w:pPr>
            <w:r>
              <w:rPr>
                <w:rFonts w:ascii="Times New Roman" w:cs="Times New Roman" w:eastAsia="Times New Roman" w:hAnsi="Times New Roman"/>
                <w:sz w:val="13"/>
                <w:szCs w:val="13"/>
                <w:color w:val="0000FF"/>
              </w:rPr>
              <w:t>09/01/2024</w:t>
            </w:r>
          </w:p>
        </w:tc>
        <w:tc>
          <w:tcPr>
            <w:tcW w:w="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27,075</w:t>
            </w: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line="142"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840"/>
        <w:spacing w:after="0"/>
        <w:rPr>
          <w:sz w:val="20"/>
          <w:szCs w:val="20"/>
          <w:color w:val="auto"/>
        </w:rPr>
      </w:pPr>
      <w:r>
        <w:rPr>
          <w:rFonts w:ascii="Times New Roman" w:cs="Times New Roman" w:eastAsia="Times New Roman" w:hAnsi="Times New Roman"/>
          <w:sz w:val="13"/>
          <w:szCs w:val="13"/>
          <w:color w:val="0000FF"/>
        </w:rPr>
        <w:t>per share</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of ExlService Holdings, Inc. (the "Company") convert into common stock, par value $0.001 per share (the "Common Stock") on a one-for-one basis.</w:t>
      </w:r>
    </w:p>
    <w:p>
      <w:pPr>
        <w:spacing w:after="0" w:line="44" w:lineRule="exact"/>
        <w:rPr>
          <w:rFonts w:ascii="Times New Roman" w:cs="Times New Roman" w:eastAsia="Times New Roman" w:hAnsi="Times New Roman"/>
          <w:sz w:val="13"/>
          <w:szCs w:val="13"/>
          <w:color w:val="008000"/>
        </w:rPr>
      </w:pPr>
    </w:p>
    <w:p>
      <w:pPr>
        <w:ind w:left="40" w:right="4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person's restricted stock units reported in this report vested on September 1, 2024. 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6" w:lineRule="exact"/>
        <w:rPr>
          <w:rFonts w:ascii="Times New Roman" w:cs="Times New Roman" w:eastAsia="Times New Roman" w:hAnsi="Times New Roman"/>
          <w:sz w:val="13"/>
          <w:szCs w:val="13"/>
          <w:color w:val="008000"/>
        </w:rPr>
      </w:pPr>
    </w:p>
    <w:p>
      <w:pPr>
        <w:jc w:val="both"/>
        <w:ind w:left="40" w:right="40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September 1, 2021, the reporting person was granted 40,605 restricted stock units, after adjustment for the 5-for-1 forward stock split, effective August 1, 2023, vesting in two installment installments beginning on the second anniversary of the grant date. 33% of the restricted stock units became vested on September 1, 2023 and the remaining balance of 67% of the restricted stock units became vested on September 1, 2024.</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Ajay Ayyappan</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09/04/2024</w:t>
            </w:r>
          </w:p>
        </w:tc>
      </w:tr>
      <w:tr>
        <w:trPr>
          <w:trHeight w:val="20"/>
        </w:trPr>
        <w:tc>
          <w:tcPr>
            <w:tcW w:w="12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62098"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2024-09-04T20:48:56Z</dcterms:created>
  <dcterms:modified xsi:type="dcterms:W3CDTF">2024-09-04T20:48:56Z</dcterms:modified>
</cp:coreProperties>
</file>