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4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Orogen Echo LLC</w:t>
              </w:r>
            </w:hyperlink>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11"/>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ExlService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EXLS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40" w:type="dxa"/>
            <w:vAlign w:val="bottom"/>
            <w:gridSpan w:val="6"/>
            <w:vMerge w:val="continue"/>
          </w:tcPr>
          <w:p>
            <w:pPr>
              <w:spacing w:after="0"/>
              <w:rPr>
                <w:sz w:val="6"/>
                <w:szCs w:val="6"/>
                <w:color w:val="auto"/>
              </w:rPr>
            </w:pPr>
          </w:p>
        </w:tc>
        <w:tc>
          <w:tcPr>
            <w:tcW w:w="1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400" w:type="dxa"/>
            <w:vAlign w:val="bottom"/>
            <w:tcBorders>
              <w:bottom w:val="single" w:sz="8" w:color="0000EE"/>
            </w:tcBorders>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gridSpan w:val="5"/>
            <w:vMerge w:val="continue"/>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40" w:type="dxa"/>
            <w:vAlign w:val="bottom"/>
            <w:gridSpan w:val="6"/>
            <w:vMerge w:val="continue"/>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restart"/>
          </w:tcPr>
          <w:p>
            <w:pPr>
              <w:ind w:left="320"/>
              <w:spacing w:after="0"/>
              <w:rPr>
                <w:sz w:val="20"/>
                <w:szCs w:val="20"/>
                <w:color w:val="auto"/>
              </w:rPr>
            </w:pPr>
            <w:r>
              <w:rPr>
                <w:rFonts w:ascii="Arial" w:cs="Arial" w:eastAsia="Arial" w:hAnsi="Arial"/>
                <w:sz w:val="13"/>
                <w:szCs w:val="13"/>
                <w:color w:val="auto"/>
              </w:rPr>
              <w:t>Director</w:t>
            </w: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60" w:type="dxa"/>
            <w:vAlign w:val="bottom"/>
            <w:gridSpan w:val="4"/>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2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9"/>
                <w:szCs w:val="9"/>
                <w:color w:val="auto"/>
              </w:rPr>
            </w:pPr>
          </w:p>
        </w:tc>
        <w:tc>
          <w:tcPr>
            <w:tcW w:w="1260" w:type="dxa"/>
            <w:vAlign w:val="bottom"/>
            <w:gridSpan w:val="4"/>
            <w:vMerge w:val="restart"/>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gridSpan w:val="3"/>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26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280" w:type="dxa"/>
            <w:vAlign w:val="bottom"/>
            <w:gridSpan w:val="3"/>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THE OROGEN GROUP LLC</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12/15/2025</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40" w:type="dxa"/>
            <w:vAlign w:val="bottom"/>
            <w:gridSpan w:val="6"/>
            <w:vMerge w:val="continue"/>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ONE ROCKEFELLER PLAZA SUITE 3020</w:t>
            </w: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9"/>
            <w:vMerge w:val="continue"/>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gridSpan w:val="14"/>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4"/>
            <w:vMerge w:val="continue"/>
          </w:tcPr>
          <w:p>
            <w:pPr>
              <w:spacing w:after="0"/>
              <w:rPr>
                <w:sz w:val="9"/>
                <w:szCs w:val="9"/>
                <w:color w:val="auto"/>
              </w:rPr>
            </w:pPr>
          </w:p>
        </w:tc>
        <w:tc>
          <w:tcPr>
            <w:tcW w:w="334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4"/>
            <w:vMerge w:val="restart"/>
          </w:tcPr>
          <w:p>
            <w:pPr>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4"/>
            <w:vMerge w:val="continue"/>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NEW YORK</w:t>
            </w:r>
          </w:p>
        </w:tc>
        <w:tc>
          <w:tcPr>
            <w:tcW w:w="1260" w:type="dxa"/>
            <w:vAlign w:val="bottom"/>
            <w:gridSpan w:val="4"/>
          </w:tcPr>
          <w:p>
            <w:pPr>
              <w:ind w:left="40"/>
              <w:spacing w:after="0" w:line="189" w:lineRule="exact"/>
              <w:rPr>
                <w:sz w:val="20"/>
                <w:szCs w:val="20"/>
                <w:color w:val="auto"/>
              </w:rPr>
            </w:pPr>
            <w:r>
              <w:rPr>
                <w:rFonts w:ascii="Times New Roman" w:cs="Times New Roman" w:eastAsia="Times New Roman" w:hAnsi="Times New Roman"/>
                <w:sz w:val="17"/>
                <w:szCs w:val="17"/>
                <w:color w:val="0000FF"/>
              </w:rPr>
              <w:t>NY</w:t>
            </w:r>
          </w:p>
        </w:tc>
        <w:tc>
          <w:tcPr>
            <w:tcW w:w="12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0000FF"/>
              </w:rPr>
              <w:t>10020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26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280" w:type="dxa"/>
            <w:vAlign w:val="bottom"/>
            <w:gridSpan w:val="3"/>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gridSpan w:val="4"/>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24"/>
          </w:tcPr>
          <w:p>
            <w:pPr>
              <w:ind w:left="2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5"/>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80" w:type="dxa"/>
            <w:vAlign w:val="bottom"/>
            <w:gridSpan w:val="3"/>
          </w:tcPr>
          <w:p>
            <w:pPr>
              <w:ind w:left="24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20" w:type="dxa"/>
            <w:vAlign w:val="bottom"/>
            <w:gridSpan w:val="4"/>
          </w:tcPr>
          <w:p>
            <w:pPr>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w w:val="98"/>
              </w:rPr>
              <w:t>6. Ownership</w:t>
            </w:r>
          </w:p>
        </w:tc>
        <w:tc>
          <w:tcPr>
            <w:tcW w:w="1260" w:type="dxa"/>
            <w:vAlign w:val="bottom"/>
            <w:gridSpan w:val="4"/>
          </w:tcPr>
          <w:p>
            <w:pPr>
              <w:ind w:left="1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8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8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7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500" w:type="dxa"/>
            <w:vAlign w:val="bottom"/>
          </w:tcPr>
          <w:p>
            <w:pPr>
              <w:spacing w:after="0" w:line="133" w:lineRule="exact"/>
              <w:rPr>
                <w:sz w:val="20"/>
                <w:szCs w:val="20"/>
                <w:color w:val="auto"/>
              </w:rPr>
            </w:pPr>
            <w:r>
              <w:rPr>
                <w:rFonts w:ascii="Arial" w:cs="Arial" w:eastAsia="Arial" w:hAnsi="Arial"/>
                <w:sz w:val="12"/>
                <w:szCs w:val="12"/>
                <w:b w:val="1"/>
                <w:bCs w:val="1"/>
                <w:color w:val="auto"/>
              </w:rPr>
              <w:t>(D) or</w:t>
            </w:r>
          </w:p>
        </w:tc>
        <w:tc>
          <w:tcPr>
            <w:tcW w:w="260" w:type="dxa"/>
            <w:vAlign w:val="bottom"/>
          </w:tcPr>
          <w:p>
            <w:pPr>
              <w:spacing w:after="0"/>
              <w:rPr>
                <w:sz w:val="11"/>
                <w:szCs w:val="11"/>
                <w:color w:val="auto"/>
              </w:rPr>
            </w:pPr>
          </w:p>
        </w:tc>
        <w:tc>
          <w:tcPr>
            <w:tcW w:w="12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2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5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12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2"/>
                <w:szCs w:val="12"/>
                <w:b w:val="1"/>
                <w:bCs w:val="1"/>
                <w:color w:val="auto"/>
              </w:rPr>
              <w:t>(A) or</w:t>
            </w:r>
          </w:p>
        </w:tc>
        <w:tc>
          <w:tcPr>
            <w:tcW w:w="4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w w:val="99"/>
              </w:rPr>
              <w:t>Code</w:t>
            </w:r>
          </w:p>
        </w:tc>
        <w:tc>
          <w:tcPr>
            <w:tcW w:w="40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gridSpan w:val="2"/>
            <w:vMerge w:val="continue"/>
          </w:tcPr>
          <w:p>
            <w:pPr>
              <w:spacing w:after="0"/>
              <w:rPr>
                <w:sz w:val="13"/>
                <w:szCs w:val="13"/>
                <w:color w:val="auto"/>
              </w:rPr>
            </w:pPr>
          </w:p>
        </w:tc>
        <w:tc>
          <w:tcPr>
            <w:tcW w:w="52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rPr>
              <w:t>(D)</w:t>
            </w: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rPr>
              <w:t>(Instr. 3 and 4)</w:t>
            </w:r>
          </w:p>
        </w:tc>
        <w:tc>
          <w:tcPr>
            <w:tcW w:w="50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12/15/2025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D</w:t>
            </w:r>
            <w:r>
              <w:rPr>
                <w:rFonts w:ascii="Times New Roman" w:cs="Times New Roman" w:eastAsia="Times New Roman" w:hAnsi="Times New Roman"/>
                <w:sz w:val="11"/>
                <w:szCs w:val="11"/>
                <w:color w:val="008000"/>
              </w:rPr>
              <w:t>(1)</w:t>
            </w:r>
          </w:p>
        </w:tc>
        <w:tc>
          <w:tcPr>
            <w:tcW w:w="400" w:type="dxa"/>
            <w:vAlign w:val="bottom"/>
          </w:tcPr>
          <w:p>
            <w:pPr>
              <w:spacing w:after="0"/>
              <w:rPr>
                <w:sz w:val="21"/>
                <w:szCs w:val="21"/>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1,551,970</w:t>
            </w:r>
            <w:r>
              <w:rPr>
                <w:rFonts w:ascii="Times New Roman" w:cs="Times New Roman" w:eastAsia="Times New Roman" w:hAnsi="Times New Roman"/>
                <w:sz w:val="22"/>
                <w:szCs w:val="22"/>
                <w:color w:val="008000"/>
                <w:vertAlign w:val="superscript"/>
              </w:rPr>
              <w:t>(2)</w:t>
            </w:r>
          </w:p>
        </w:tc>
        <w:tc>
          <w:tcPr>
            <w:tcW w:w="80" w:type="dxa"/>
            <w:vAlign w:val="bottom"/>
          </w:tcPr>
          <w:p>
            <w:pPr>
              <w:spacing w:after="0"/>
              <w:rPr>
                <w:sz w:val="21"/>
                <w:szCs w:val="21"/>
                <w:color w:val="auto"/>
              </w:rPr>
            </w:pPr>
          </w:p>
        </w:tc>
        <w:tc>
          <w:tcPr>
            <w:tcW w:w="3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40.834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ind w:left="380"/>
              <w:spacing w:after="0"/>
              <w:rPr>
                <w:sz w:val="20"/>
                <w:szCs w:val="20"/>
                <w:color w:val="auto"/>
              </w:rPr>
            </w:pP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(2)</w:t>
            </w:r>
          </w:p>
        </w:tc>
        <w:tc>
          <w:tcPr>
            <w:tcW w:w="420" w:type="dxa"/>
            <w:vAlign w:val="bottom"/>
          </w:tcPr>
          <w:p>
            <w:pPr>
              <w:spacing w:after="0"/>
              <w:rPr>
                <w:sz w:val="21"/>
                <w:szCs w:val="21"/>
                <w:color w:val="auto"/>
              </w:rPr>
            </w:pPr>
          </w:p>
        </w:tc>
        <w:tc>
          <w:tcPr>
            <w:tcW w:w="50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I</w:t>
            </w:r>
          </w:p>
        </w:tc>
        <w:tc>
          <w:tcPr>
            <w:tcW w:w="260" w:type="dxa"/>
            <w:vAlign w:val="bottom"/>
          </w:tcPr>
          <w:p>
            <w:pPr>
              <w:spacing w:after="0"/>
              <w:rPr>
                <w:sz w:val="21"/>
                <w:szCs w:val="21"/>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80" w:type="dxa"/>
            <w:vAlign w:val="bottom"/>
            <w:gridSpan w:val="24"/>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380" w:type="dxa"/>
            <w:vAlign w:val="bottom"/>
            <w:gridSpan w:val="21"/>
          </w:tcPr>
          <w:p>
            <w:pPr>
              <w:jc w:val="center"/>
              <w:ind w:left="5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06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gridSpan w:val="3"/>
          </w:tcPr>
          <w:p>
            <w:pPr>
              <w:ind w:left="16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0" w:type="dxa"/>
            <w:vAlign w:val="bottom"/>
          </w:tcPr>
          <w:p>
            <w:pPr>
              <w:spacing w:after="0"/>
              <w:rPr>
                <w:sz w:val="15"/>
                <w:szCs w:val="15"/>
                <w:color w:val="auto"/>
              </w:rPr>
            </w:pPr>
          </w:p>
        </w:tc>
        <w:tc>
          <w:tcPr>
            <w:tcW w:w="8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2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50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gridSpan w:val="5"/>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42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4"/>
                <w:szCs w:val="14"/>
                <w:color w:val="auto"/>
              </w:rPr>
            </w:pP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4"/>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10"/>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Orogen Echo LLC</w:t>
              </w:r>
            </w:hyperlink>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280" w:type="dxa"/>
            <w:vAlign w:val="bottom"/>
            <w:gridSpan w:val="3"/>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THE OROGEN GROUP LLC</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ONE ROCKEFELLER PLAZA SUITE 3020</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20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10020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280" w:type="dxa"/>
            <w:vAlign w:val="bottom"/>
            <w:gridSpan w:val="3"/>
          </w:tcPr>
          <w:p>
            <w:pPr>
              <w:ind w:left="3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4"/>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gridSpan w:val="4"/>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gridSpan w:val="6"/>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PANDIT VIKRAM S</w:t>
              </w:r>
            </w:hyperlink>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280" w:type="dxa"/>
            <w:vAlign w:val="bottom"/>
            <w:gridSpan w:val="3"/>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THE OROGEN GROUP LLC</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ONE ROCKEFELLER PLAZA SUITE 3020</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20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10020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2745740</wp:posOffset>
            </wp:positionH>
            <wp:positionV relativeFrom="paragraph">
              <wp:posOffset>-140970</wp:posOffset>
            </wp:positionV>
            <wp:extent cx="42545"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42545" cy="1052639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-140970</wp:posOffset>
            </wp:positionV>
            <wp:extent cx="42545" cy="10526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42545" cy="10526395"/>
                    </a:xfrm>
                    <a:prstGeom prst="rect">
                      <a:avLst/>
                    </a:prstGeom>
                    <a:noFill/>
                  </pic:spPr>
                </pic:pic>
              </a:graphicData>
            </a:graphic>
          </wp:anchor>
        </w:drawing>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Orogen Group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81280</wp:posOffset>
            </wp:positionV>
            <wp:extent cx="267398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8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THE OROGEN GROUP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ONE ROCKEFELLER PLAZA SUITE 3020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100965</wp:posOffset>
            </wp:positionV>
            <wp:extent cx="267398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10020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gridSpan w:val="2"/>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Orogen Holdings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-927100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-927100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-224790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-224790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THE OROGEN GROUP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ONE ROCKEFELLER PLAZA SUITE 3020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100965</wp:posOffset>
            </wp:positionV>
            <wp:extent cx="267398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0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10020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5"/>
          </w:tcPr>
          <w:p>
            <w:pPr>
              <w:ind w:left="16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6"/>
          </w:tcPr>
          <w:p>
            <w:pPr>
              <w:spacing w:after="0" w:line="227" w:lineRule="exact"/>
              <w:rPr>
                <w:rFonts w:ascii="Times New Roman" w:cs="Times New Roman" w:eastAsia="Times New Roman" w:hAnsi="Times New Roman"/>
                <w:sz w:val="21"/>
                <w:szCs w:val="21"/>
                <w:color w:val="0000EE"/>
              </w:rPr>
            </w:pPr>
            <w:hyperlink r:id="rId28">
              <w:r>
                <w:rPr>
                  <w:rFonts w:ascii="Times New Roman" w:cs="Times New Roman" w:eastAsia="Times New Roman" w:hAnsi="Times New Roman"/>
                  <w:sz w:val="21"/>
                  <w:szCs w:val="21"/>
                  <w:color w:val="0000EE"/>
                </w:rPr>
                <w:t>Atairos-Orogen Holdings,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5"/>
          </w:tcPr>
          <w:p>
            <w:pPr>
              <w:ind w:left="16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ATAIROS MANAGEMENT, L.P.</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40 MORRIS ROAD</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7"/>
                <w:szCs w:val="17"/>
                <w:color w:val="0000FF"/>
              </w:rPr>
              <w:t>BRYN MAWR</w:t>
            </w:r>
          </w:p>
        </w:tc>
        <w:tc>
          <w:tcPr>
            <w:tcW w:w="150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PA</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19010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5"/>
          </w:tcPr>
          <w:p>
            <w:pPr>
              <w:ind w:left="16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6"/>
          </w:tcPr>
          <w:p>
            <w:pPr>
              <w:spacing w:after="0" w:line="227" w:lineRule="exact"/>
              <w:rPr>
                <w:rFonts w:ascii="Times New Roman" w:cs="Times New Roman" w:eastAsia="Times New Roman" w:hAnsi="Times New Roman"/>
                <w:sz w:val="21"/>
                <w:szCs w:val="21"/>
                <w:color w:val="0000EE"/>
              </w:rPr>
            </w:pPr>
            <w:hyperlink r:id="rId29">
              <w:r>
                <w:rPr>
                  <w:rFonts w:ascii="Times New Roman" w:cs="Times New Roman" w:eastAsia="Times New Roman" w:hAnsi="Times New Roman"/>
                  <w:sz w:val="21"/>
                  <w:szCs w:val="21"/>
                  <w:color w:val="0000EE"/>
                </w:rPr>
                <w:t>Atairos Group, Inc.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5"/>
          </w:tcPr>
          <w:p>
            <w:pPr>
              <w:ind w:left="16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ATAIROS MANAGEMENT, L.P.</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40 MORRIS ROAD</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7"/>
                <w:szCs w:val="17"/>
                <w:color w:val="0000FF"/>
              </w:rPr>
              <w:t>BRYN MAWR</w:t>
            </w:r>
          </w:p>
        </w:tc>
        <w:tc>
          <w:tcPr>
            <w:tcW w:w="150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PA</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19010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5"/>
          </w:tcPr>
          <w:p>
            <w:pPr>
              <w:ind w:left="16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6"/>
          </w:tcPr>
          <w:p>
            <w:pPr>
              <w:spacing w:after="0" w:line="227" w:lineRule="exact"/>
              <w:rPr>
                <w:rFonts w:ascii="Times New Roman" w:cs="Times New Roman" w:eastAsia="Times New Roman" w:hAnsi="Times New Roman"/>
                <w:sz w:val="21"/>
                <w:szCs w:val="21"/>
                <w:color w:val="0000EE"/>
              </w:rPr>
            </w:pPr>
            <w:hyperlink r:id="rId30">
              <w:r>
                <w:rPr>
                  <w:rFonts w:ascii="Times New Roman" w:cs="Times New Roman" w:eastAsia="Times New Roman" w:hAnsi="Times New Roman"/>
                  <w:sz w:val="21"/>
                  <w:szCs w:val="21"/>
                  <w:color w:val="0000EE"/>
                </w:rPr>
                <w:t>Atairos Partners, L.P.</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5"/>
          </w:tcPr>
          <w:p>
            <w:pPr>
              <w:ind w:left="16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ATAIROS MANAGEMENT, L.P.</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40 MORRIS ROAD</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7"/>
                <w:szCs w:val="17"/>
                <w:color w:val="0000FF"/>
              </w:rPr>
              <w:t>BRYN MAWR</w:t>
            </w:r>
          </w:p>
        </w:tc>
        <w:tc>
          <w:tcPr>
            <w:tcW w:w="150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PA</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19010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5"/>
          </w:tcPr>
          <w:p>
            <w:pPr>
              <w:ind w:left="16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6"/>
          </w:tcPr>
          <w:p>
            <w:pPr>
              <w:spacing w:after="0" w:line="227" w:lineRule="exact"/>
              <w:rPr>
                <w:rFonts w:ascii="Times New Roman" w:cs="Times New Roman" w:eastAsia="Times New Roman" w:hAnsi="Times New Roman"/>
                <w:sz w:val="21"/>
                <w:szCs w:val="21"/>
                <w:color w:val="0000EE"/>
              </w:rPr>
            </w:pPr>
            <w:hyperlink r:id="rId31">
              <w:r>
                <w:rPr>
                  <w:rFonts w:ascii="Times New Roman" w:cs="Times New Roman" w:eastAsia="Times New Roman" w:hAnsi="Times New Roman"/>
                  <w:sz w:val="21"/>
                  <w:szCs w:val="21"/>
                  <w:color w:val="0000EE"/>
                </w:rPr>
                <w:t>Atairos Partners GP, Inc.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5"/>
          </w:tcPr>
          <w:p>
            <w:pPr>
              <w:ind w:left="16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-6283325</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-6283325</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-5581015</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-5581015</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-4929505</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-4929505</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-4497705</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-4497705</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-3795395</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-3795395</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-3143885</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-3143885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-2712720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-2712720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-2010410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-2010410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-1358900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-1358900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-927100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-927100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-224790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-224790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ATAIROS MANAGEMENT,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40 MORRIS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100965</wp:posOffset>
            </wp:positionV>
            <wp:extent cx="267398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9979"/>
          </w:cols>
          <w:pgMar w:left="480" w:top="110" w:right="1440" w:bottom="0" w:gutter="0" w:footer="0" w:header="0"/>
        </w:sectPr>
      </w:pPr>
    </w:p>
    <w:p>
      <w:pPr>
        <w:spacing w:after="0" w:line="35" w:lineRule="exact"/>
        <w:rPr>
          <w:sz w:val="20"/>
          <w:szCs w:val="20"/>
          <w:color w:val="auto"/>
        </w:rPr>
      </w:pPr>
    </w:p>
    <w:p>
      <w:pPr>
        <w:ind w:left="100"/>
        <w:spacing w:after="0"/>
        <w:tabs>
          <w:tab w:leader="none" w:pos="1480" w:val="left"/>
          <w:tab w:leader="none" w:pos="2880" w:val="left"/>
        </w:tabs>
        <w:rPr>
          <w:sz w:val="20"/>
          <w:szCs w:val="20"/>
          <w:color w:val="auto"/>
        </w:rPr>
      </w:pPr>
      <w:r>
        <w:rPr>
          <w:rFonts w:ascii="Times New Roman" w:cs="Times New Roman" w:eastAsia="Times New Roman" w:hAnsi="Times New Roman"/>
          <w:sz w:val="17"/>
          <w:szCs w:val="17"/>
          <w:color w:val="0000FF"/>
        </w:rPr>
        <w:t>BRYN MAWR</w:t>
      </w:r>
      <w:r>
        <w:rPr>
          <w:sz w:val="20"/>
          <w:szCs w:val="20"/>
          <w:color w:val="auto"/>
        </w:rPr>
        <w:tab/>
      </w:r>
      <w:r>
        <w:rPr>
          <w:rFonts w:ascii="Times New Roman" w:cs="Times New Roman" w:eastAsia="Times New Roman" w:hAnsi="Times New Roman"/>
          <w:sz w:val="17"/>
          <w:szCs w:val="17"/>
          <w:color w:val="0000FF"/>
        </w:rPr>
        <w:t>PA</w:t>
      </w:r>
      <w:r>
        <w:rPr>
          <w:sz w:val="20"/>
          <w:szCs w:val="20"/>
          <w:color w:val="auto"/>
        </w:rPr>
        <w:tab/>
      </w:r>
      <w:r>
        <w:rPr>
          <w:rFonts w:ascii="Times New Roman" w:cs="Times New Roman" w:eastAsia="Times New Roman" w:hAnsi="Times New Roman"/>
          <w:sz w:val="17"/>
          <w:szCs w:val="17"/>
          <w:color w:val="0000FF"/>
        </w:rPr>
        <w:t>19010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100965</wp:posOffset>
            </wp:positionV>
            <wp:extent cx="267398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ectPr>
          <w:pgSz w:w="11900" w:h="16838" w:orient="portrait"/>
          <w:cols w:equalWidth="0" w:num="1">
            <w:col w:w="9979"/>
          </w:cols>
          <w:pgMar w:left="480" w:top="110"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6"/>
        </w:trPr>
        <w:tc>
          <w:tcPr>
            <w:tcW w:w="10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56">
              <w:r>
                <w:rPr>
                  <w:rFonts w:ascii="Times New Roman" w:cs="Times New Roman" w:eastAsia="Times New Roman" w:hAnsi="Times New Roman"/>
                  <w:sz w:val="21"/>
                  <w:szCs w:val="21"/>
                  <w:color w:val="0000EE"/>
                </w:rPr>
                <w:t>Angelakis Michael J</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ATAIROS MANAGEMENT, L.P.</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 MORRIS ROAD</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7"/>
                <w:szCs w:val="17"/>
                <w:color w:val="0000FF"/>
              </w:rPr>
              <w:t>BRYN MAWR</w:t>
            </w: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PA</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19010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-1887855</wp:posOffset>
            </wp:positionV>
            <wp:extent cx="2809240" cy="19672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2809240" cy="1967230"/>
                    </a:xfrm>
                    <a:prstGeom prst="rect">
                      <a:avLst/>
                    </a:prstGeom>
                    <a:noFill/>
                  </pic:spPr>
                </pic:pic>
              </a:graphicData>
            </a:graphic>
          </wp:anchor>
        </w:drawing>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15, 2025, Issuer repurchased 1,551,970 shares of the Company's common stock from Orogen Echo LLC ("OE") pursuant to the terms of the Stock Purchase Agreement by and between the Issuer and OE, dated December 15, 2025.</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number of securities has been adjusted to reflect the impact of the 5-for-1 forward stock split effective August 1, 2023.</w:t>
      </w:r>
    </w:p>
    <w:p>
      <w:pPr>
        <w:spacing w:after="0" w:line="50"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Vikram Pandit serves on the Board and is the Chairman and Chief Executive Officer of OE. Orogen Holdings LLC and Atairos-Orogen Holdings, LLC are the sole members with joint investment control of The Orogen Group LLC, which is the sole member of OE. Mr. Pandit has majority voting control of Orogen Holdings LLC. Atairos Group, Inc. ("Atairos") is the sole voting shareholder of Atairos-Orogen Holdings, LLC. Michael Angelakis is the Chairman and Chief Executive Officer of Atairos and controls a majority of the voting power of Atairos Partners GP, Inc., which is the general partner of Atairos Partners L.P., the sole voting shareholder of Atairos.</w:t>
      </w:r>
    </w:p>
    <w:p>
      <w:pPr>
        <w:spacing w:after="0" w:line="24" w:lineRule="exact"/>
        <w:rPr>
          <w:rFonts w:ascii="Times New Roman" w:cs="Times New Roman" w:eastAsia="Times New Roman" w:hAnsi="Times New Roman"/>
          <w:sz w:val="13"/>
          <w:szCs w:val="13"/>
          <w:color w:val="008000"/>
        </w:rPr>
      </w:pPr>
    </w:p>
    <w:p>
      <w:pPr>
        <w:ind w:left="20" w:right="10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other than Mr. Pandit, is acting as a director by deputization of the Issuer with respect to Mr. Pandit's membership on the Board. Each of the reporting persons may be deemed to have direct or indirect beneficial ownership of the reported securities, as applicable, but disclaims such beneficial ownership except to the extent of its pecuniary interest therein.</w:t>
      </w:r>
    </w:p>
    <w:p>
      <w:pPr>
        <w:sectPr>
          <w:pgSz w:w="11900" w:h="16838" w:orient="portrait"/>
          <w:cols w:equalWidth="0" w:num="1">
            <w:col w:w="10740"/>
          </w:cols>
          <w:pgMar w:left="480" w:top="125" w:right="679" w:bottom="1440" w:gutter="0" w:footer="0" w:header="0"/>
        </w:sectPr>
      </w:pPr>
    </w:p>
    <w:p>
      <w:pPr>
        <w:spacing w:after="0" w:line="3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Vikram S. Pandit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718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543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Orogen Echo LLC,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315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Orogen Group LLC,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69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 by 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03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Chairman and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89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Officer /s/ 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87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22872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The Orogen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858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188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9188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Chairman and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89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Officer /s/ 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87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22872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Orogen Holdings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4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Vikram S. Pandit, Manager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15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543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Atairos-Orogen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347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LLC, by 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76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Vice President /s/ David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80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17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Atairos Group,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065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David L. Caplan,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61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95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616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Atairos Partners,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890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Atairos Partners GP, Inc.,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96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by David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20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Caplan, Vice President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60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11360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302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Atairos Partners GP,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042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David L. Caplan,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33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President /s/ 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85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Michael J. Angelakis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496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315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8720" w:space="40"/>
            <w:col w:w="1980"/>
          </w:cols>
          <w:pgMar w:left="480" w:top="125" w:right="67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02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40"/>
      </w:cols>
      <w:pgMar w:left="480" w:top="125" w:right="6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13" Type="http://schemas.openxmlformats.org/officeDocument/2006/relationships/hyperlink" Target="http://www.sec.gov/cgi-bin/browse-edgar?action=getcompany&amp;CIK=0001754751" TargetMode="External"/><Relationship Id="rId14" Type="http://schemas.openxmlformats.org/officeDocument/2006/relationships/hyperlink" Target="http://www.sec.gov/cgi-bin/browse-edgar?action=getcompany&amp;CIK=0001297989" TargetMode="External"/><Relationship Id="rId15" Type="http://schemas.openxmlformats.org/officeDocument/2006/relationships/hyperlink" Target="http://www.sec.gov/cgi-bin/browse-edgar?action=getcompany&amp;CIK=0001183417" TargetMode="External"/><Relationship Id="rId19" Type="http://schemas.openxmlformats.org/officeDocument/2006/relationships/hyperlink" Target="http://www.sec.gov/cgi-bin/browse-edgar?action=getcompany&amp;CIK=0001705509" TargetMode="External"/><Relationship Id="rId22" Type="http://schemas.openxmlformats.org/officeDocument/2006/relationships/hyperlink" Target="http://www.sec.gov/cgi-bin/browse-edgar?action=getcompany&amp;CIK=0001705500" TargetMode="External"/><Relationship Id="rId28" Type="http://schemas.openxmlformats.org/officeDocument/2006/relationships/hyperlink" Target="http://www.sec.gov/cgi-bin/browse-edgar?action=getcompany&amp;CIK=0001705610" TargetMode="External"/><Relationship Id="rId29" Type="http://schemas.openxmlformats.org/officeDocument/2006/relationships/hyperlink" Target="http://www.sec.gov/cgi-bin/browse-edgar?action=getcompany&amp;CIK=0001671122" TargetMode="External"/><Relationship Id="rId30" Type="http://schemas.openxmlformats.org/officeDocument/2006/relationships/hyperlink" Target="http://www.sec.gov/cgi-bin/browse-edgar?action=getcompany&amp;CIK=0001671185" TargetMode="External"/><Relationship Id="rId31" Type="http://schemas.openxmlformats.org/officeDocument/2006/relationships/hyperlink" Target="http://www.sec.gov/cgi-bin/browse-edgar?action=getcompany&amp;CIK=0001671176" TargetMode="External"/><Relationship Id="rId56" Type="http://schemas.openxmlformats.org/officeDocument/2006/relationships/hyperlink" Target="http://www.sec.gov/cgi-bin/browse-edgar?action=getcompany&amp;CIK=00013930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2025-12-15T18:02:25Z</dcterms:created>
  <dcterms:modified xsi:type="dcterms:W3CDTF">2025-12-15T18:02:25Z</dcterms:modified>
</cp:coreProperties>
</file>