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749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749935"/>
                    </a:xfrm>
                    <a:prstGeom prst="rect">
                      <a:avLst/>
                    </a:prstGeom>
                    <a:noFill/>
                  </pic:spPr>
                </pic:pic>
              </a:graphicData>
            </a:graphic>
          </wp:anchor>
        </w:drawing>
        <w:t>OMB APPROVAL</w:t>
      </w:r>
    </w:p>
    <w:p>
      <w:pPr>
        <w:spacing w:after="0" w:line="176" w:lineRule="exact"/>
        <w:rPr>
          <w:sz w:val="24"/>
          <w:szCs w:val="24"/>
          <w:color w:val="auto"/>
        </w:rPr>
      </w:pPr>
    </w:p>
    <w:p>
      <w:pPr>
        <w:ind w:left="9240"/>
        <w:spacing w:after="0"/>
        <w:tabs>
          <w:tab w:leader="none" w:pos="10420" w:val="left"/>
        </w:tabs>
        <w:rPr>
          <w:sz w:val="20"/>
          <w:szCs w:val="20"/>
          <w:color w:val="auto"/>
        </w:rPr>
      </w:pPr>
      <w:r>
        <w:rPr>
          <w:rFonts w:ascii="Arial" w:cs="Arial" w:eastAsia="Arial" w:hAnsi="Arial"/>
          <w:sz w:val="14"/>
          <w:szCs w:val="14"/>
          <w:color w:val="auto"/>
        </w:rPr>
        <w:t>OMB Number:</w:t>
      </w:r>
      <w:r>
        <w:rPr>
          <w:sz w:val="20"/>
          <w:szCs w:val="20"/>
          <w:color w:val="auto"/>
        </w:rPr>
        <w:tab/>
      </w:r>
      <w:r>
        <w:rPr>
          <w:rFonts w:ascii="Arial" w:cs="Arial" w:eastAsia="Arial" w:hAnsi="Arial"/>
          <w:sz w:val="12"/>
          <w:szCs w:val="12"/>
          <w:color w:val="auto"/>
        </w:rPr>
        <w:t>3235-0145</w:t>
      </w:r>
    </w:p>
    <w:p>
      <w:pPr>
        <w:ind w:left="9240"/>
        <w:spacing w:after="0" w:line="221" w:lineRule="auto"/>
        <w:tabs>
          <w:tab w:leader="none" w:pos="10020" w:val="left"/>
        </w:tabs>
        <w:rPr>
          <w:sz w:val="20"/>
          <w:szCs w:val="20"/>
          <w:color w:val="auto"/>
        </w:rPr>
      </w:pPr>
      <w:r>
        <w:rPr>
          <w:rFonts w:ascii="Arial" w:cs="Arial" w:eastAsia="Arial" w:hAnsi="Arial"/>
          <w:sz w:val="14"/>
          <w:szCs w:val="14"/>
          <w:color w:val="auto"/>
        </w:rPr>
        <w:t>Expires:</w:t>
      </w:r>
      <w:r>
        <w:rPr>
          <w:sz w:val="20"/>
          <w:szCs w:val="20"/>
          <w:color w:val="auto"/>
        </w:rPr>
        <w:tab/>
      </w:r>
      <w:r>
        <w:rPr>
          <w:rFonts w:ascii="Arial" w:cs="Arial" w:eastAsia="Arial" w:hAnsi="Arial"/>
          <w:sz w:val="14"/>
          <w:szCs w:val="14"/>
          <w:color w:val="auto"/>
        </w:rPr>
        <w:t>February 28. 2009</w:t>
      </w:r>
    </w:p>
    <w:p>
      <w:pPr>
        <w:ind w:left="9240"/>
        <w:spacing w:after="0" w:line="221" w:lineRule="auto"/>
        <w:rPr>
          <w:sz w:val="20"/>
          <w:szCs w:val="20"/>
          <w:color w:val="auto"/>
        </w:rPr>
      </w:pPr>
      <w:r>
        <w:rPr>
          <w:rFonts w:ascii="Arial" w:cs="Arial" w:eastAsia="Arial" w:hAnsi="Arial"/>
          <w:sz w:val="14"/>
          <w:szCs w:val="14"/>
          <w:color w:val="auto"/>
        </w:rPr>
        <w:t>Estimated average burden</w:t>
      </w:r>
    </w:p>
    <w:p>
      <w:pPr>
        <w:ind w:left="9240"/>
        <w:spacing w:after="0"/>
        <w:tabs>
          <w:tab w:leader="none" w:pos="10740" w:val="left"/>
        </w:tabs>
        <w:rPr>
          <w:sz w:val="20"/>
          <w:szCs w:val="20"/>
          <w:color w:val="auto"/>
        </w:rPr>
      </w:pPr>
      <w:r>
        <w:rPr>
          <w:rFonts w:ascii="Arial" w:cs="Arial" w:eastAsia="Arial" w:hAnsi="Arial"/>
          <w:sz w:val="14"/>
          <w:szCs w:val="14"/>
          <w:color w:val="auto"/>
        </w:rPr>
        <w:t>hours per response</w:t>
      </w:r>
      <w:r>
        <w:rPr>
          <w:sz w:val="20"/>
          <w:szCs w:val="20"/>
          <w:color w:val="auto"/>
        </w:rPr>
        <w:tab/>
      </w:r>
      <w:r>
        <w:rPr>
          <w:rFonts w:ascii="Arial" w:cs="Arial" w:eastAsia="Arial" w:hAnsi="Arial"/>
          <w:sz w:val="12"/>
          <w:szCs w:val="12"/>
          <w:color w:val="auto"/>
        </w:rPr>
        <w:t>14.5</w:t>
      </w:r>
    </w:p>
    <w:p>
      <w:pPr>
        <w:spacing w:after="0" w:line="200" w:lineRule="exact"/>
        <w:rPr>
          <w:sz w:val="24"/>
          <w:szCs w:val="24"/>
          <w:color w:val="auto"/>
        </w:rPr>
      </w:pP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219075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13G</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__)*</w:t>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2" w:lineRule="exact"/>
        <w:rPr>
          <w:sz w:val="24"/>
          <w:szCs w:val="24"/>
          <w:color w:val="auto"/>
        </w:rPr>
      </w:pPr>
    </w:p>
    <w:p>
      <w:pPr>
        <w:ind w:left="1080" w:hanging="356"/>
        <w:spacing w:after="0"/>
        <w:tabs>
          <w:tab w:leader="none" w:pos="108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98" w:lineRule="exact"/>
        <w:rPr>
          <w:rFonts w:ascii="Arial" w:cs="Arial" w:eastAsia="Arial" w:hAnsi="Arial"/>
          <w:sz w:val="22"/>
          <w:szCs w:val="22"/>
          <w:color w:val="auto"/>
        </w:rPr>
      </w:pPr>
    </w:p>
    <w:p>
      <w:pPr>
        <w:ind w:left="1080" w:hanging="356"/>
        <w:spacing w:after="0"/>
        <w:tabs>
          <w:tab w:leader="none" w:pos="108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13d-1(c)</w:t>
      </w:r>
    </w:p>
    <w:p>
      <w:pPr>
        <w:spacing w:after="0" w:line="98" w:lineRule="exact"/>
        <w:rPr>
          <w:sz w:val="24"/>
          <w:szCs w:val="24"/>
          <w:color w:val="auto"/>
        </w:rPr>
      </w:pPr>
    </w:p>
    <w:p>
      <w:pPr>
        <w:ind w:left="1080" w:hanging="356"/>
        <w:spacing w:after="0"/>
        <w:tabs>
          <w:tab w:leader="none" w:pos="1080" w:val="left"/>
        </w:tabs>
        <w:numPr>
          <w:ilvl w:val="1"/>
          <w:numId w:val="2"/>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right="180" w:firstLine="270"/>
        <w:spacing w:after="0" w:line="268" w:lineRule="auto"/>
        <w:rPr>
          <w:rFonts w:ascii="Arial" w:cs="Arial" w:eastAsia="Arial" w:hAnsi="Arial"/>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3" w:lineRule="exact"/>
        <w:rPr>
          <w:sz w:val="24"/>
          <w:szCs w:val="24"/>
          <w:color w:val="auto"/>
        </w:rPr>
      </w:pPr>
    </w:p>
    <w:p>
      <w:pPr>
        <w:ind w:firstLine="27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166" w:lineRule="exact"/>
        <w:rPr>
          <w:sz w:val="24"/>
          <w:szCs w:val="24"/>
          <w:color w:val="auto"/>
        </w:rPr>
      </w:pPr>
    </w:p>
    <w:p>
      <w:pPr>
        <w:ind w:right="480" w:firstLine="270"/>
        <w:spacing w:after="0" w:line="268"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16</w:t>
      </w:r>
    </w:p>
    <w:p>
      <w:pPr>
        <w:sectPr>
          <w:pgSz w:w="11900" w:h="16838" w:orient="portrait"/>
          <w:cols w:equalWidth="0" w:num="1">
            <w:col w:w="11400"/>
          </w:cols>
          <w:pgMar w:left="240" w:top="58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right"/>
              <w:ind w:right="4870"/>
              <w:spacing w:after="0"/>
              <w:rPr>
                <w:sz w:val="20"/>
                <w:szCs w:val="20"/>
                <w:color w:val="auto"/>
              </w:rPr>
            </w:pPr>
            <w:r>
              <w:rPr>
                <w:rFonts w:ascii="Arial" w:cs="Arial" w:eastAsia="Arial" w:hAnsi="Arial"/>
                <w:sz w:val="22"/>
                <w:szCs w:val="22"/>
                <w:b w:val="1"/>
                <w:bCs w:val="1"/>
                <w:color w:val="auto"/>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w w:val="92"/>
              </w:rPr>
              <w:t>Financial Technology Ventures (Q), L.P.</w:t>
            </w: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State of Delaware, USA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jc w:val="right"/>
              <w:ind w:right="4950"/>
              <w:spacing w:after="0"/>
              <w:rPr>
                <w:sz w:val="20"/>
                <w:szCs w:val="20"/>
                <w:color w:val="auto"/>
              </w:rPr>
            </w:pPr>
            <w:r>
              <w:rPr>
                <w:rFonts w:ascii="Arial" w:cs="Arial" w:eastAsia="Arial" w:hAnsi="Arial"/>
                <w:sz w:val="18"/>
                <w:szCs w:val="18"/>
                <w:color w:val="auto"/>
                <w:w w:val="97"/>
              </w:rPr>
              <w:t>1,694,278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jc w:val="right"/>
              <w:ind w:right="4950"/>
              <w:spacing w:after="0"/>
              <w:rPr>
                <w:sz w:val="20"/>
                <w:szCs w:val="20"/>
                <w:color w:val="auto"/>
              </w:rPr>
            </w:pPr>
            <w:r>
              <w:rPr>
                <w:rFonts w:ascii="Arial" w:cs="Arial" w:eastAsia="Arial" w:hAnsi="Arial"/>
                <w:sz w:val="18"/>
                <w:szCs w:val="18"/>
                <w:color w:val="auto"/>
                <w:w w:val="97"/>
              </w:rPr>
              <w:t>1,694,278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1,694,278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6.2%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PN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right"/>
              <w:ind w:right="4610"/>
              <w:spacing w:after="0"/>
              <w:rPr>
                <w:sz w:val="20"/>
                <w:szCs w:val="20"/>
                <w:color w:val="auto"/>
              </w:rPr>
            </w:pPr>
            <w:r>
              <w:rPr>
                <w:rFonts w:ascii="Arial" w:cs="Arial" w:eastAsia="Arial" w:hAnsi="Arial"/>
                <w:sz w:val="18"/>
                <w:szCs w:val="18"/>
                <w:color w:val="auto"/>
              </w:rPr>
              <w:t>Page 2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Financial Technology Ventures, L.P.</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State of Delaware, USA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62,806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62,806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62,806</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PN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3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w w:val="88"/>
              </w:rPr>
              <w:t>Financial Technology Ventures II (Q), L.P.</w:t>
            </w: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State of Delaware, USA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1,746,708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1,746,708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1,746,708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6.4%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PN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4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w w:val="97"/>
              </w:rPr>
              <w:t>Financial Technology Ventures II, L.P.</w:t>
            </w: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State of Delaware, USA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10,376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10,376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10,376</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PN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5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w w:val="91"/>
              </w:rPr>
              <w:t>Financial Technology Management, LLC</w:t>
            </w: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State of Delaware, USA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1,757,084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1,757,084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1,757,084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6.4%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OO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6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Financial Technology Management II, LLC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State of Delaware, USA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1,757,084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1,757,084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1,757,084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6.4%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OO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7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James C. Hale, III</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3,514,168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3,514,168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3,514,168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12.9%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IN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8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Robert Huret</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3,514,168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3,514,168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3,514,168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12.9%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IN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9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Richard Garman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3,514,168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3,514,168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3,514,168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12.9%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IN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18"/>
                <w:szCs w:val="18"/>
                <w:color w:val="auto"/>
                <w:w w:val="87"/>
              </w:rPr>
              <w:t>Page 10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ExlService Holdings,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350 Park Avenue, New York, NY 10022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5"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Ventures (Q), L.P.</w:t>
      </w:r>
      <w:r>
        <w:rPr>
          <w:sz w:val="20"/>
          <w:szCs w:val="20"/>
          <w:color w:val="auto"/>
        </w:rPr>
        <w:tab/>
      </w:r>
      <w:r>
        <w:rPr>
          <w:rFonts w:ascii="Arial" w:cs="Arial" w:eastAsia="Arial" w:hAnsi="Arial"/>
          <w:sz w:val="16"/>
          <w:szCs w:val="16"/>
          <w:b w:val="1"/>
          <w:bCs w:val="1"/>
          <w:color w:val="auto"/>
        </w:rPr>
        <w:t>(“FTV Q LP”)</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Ventures, L.P.</w:t>
      </w:r>
      <w:r>
        <w:rPr>
          <w:sz w:val="20"/>
          <w:szCs w:val="20"/>
          <w:color w:val="auto"/>
        </w:rPr>
        <w:tab/>
      </w:r>
      <w:r>
        <w:rPr>
          <w:rFonts w:ascii="Arial" w:cs="Arial" w:eastAsia="Arial" w:hAnsi="Arial"/>
          <w:sz w:val="16"/>
          <w:szCs w:val="16"/>
          <w:b w:val="1"/>
          <w:bCs w:val="1"/>
          <w:color w:val="auto"/>
        </w:rPr>
        <w:t>(“FTV LP”)</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Ventures II (Q), L.P.</w:t>
      </w:r>
      <w:r>
        <w:rPr>
          <w:sz w:val="20"/>
          <w:szCs w:val="20"/>
          <w:color w:val="auto"/>
        </w:rPr>
        <w:tab/>
      </w:r>
      <w:r>
        <w:rPr>
          <w:rFonts w:ascii="Arial" w:cs="Arial" w:eastAsia="Arial" w:hAnsi="Arial"/>
          <w:sz w:val="18"/>
          <w:szCs w:val="18"/>
          <w:b w:val="1"/>
          <w:bCs w:val="1"/>
          <w:color w:val="auto"/>
        </w:rPr>
        <w:t>(“FTV II Q LP”)</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Ventures II, L.P.</w:t>
      </w:r>
      <w:r>
        <w:rPr>
          <w:sz w:val="20"/>
          <w:szCs w:val="20"/>
          <w:color w:val="auto"/>
        </w:rPr>
        <w:tab/>
      </w:r>
      <w:r>
        <w:rPr>
          <w:rFonts w:ascii="Arial" w:cs="Arial" w:eastAsia="Arial" w:hAnsi="Arial"/>
          <w:sz w:val="18"/>
          <w:szCs w:val="18"/>
          <w:b w:val="1"/>
          <w:bCs w:val="1"/>
          <w:color w:val="auto"/>
        </w:rPr>
        <w:t>(“FTV II LP”)</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Management, LLC</w:t>
      </w:r>
      <w:r>
        <w:rPr>
          <w:sz w:val="20"/>
          <w:szCs w:val="20"/>
          <w:color w:val="auto"/>
        </w:rPr>
        <w:tab/>
      </w:r>
      <w:r>
        <w:rPr>
          <w:rFonts w:ascii="Arial" w:cs="Arial" w:eastAsia="Arial" w:hAnsi="Arial"/>
          <w:sz w:val="16"/>
          <w:szCs w:val="16"/>
          <w:b w:val="1"/>
          <w:bCs w:val="1"/>
          <w:color w:val="auto"/>
        </w:rPr>
        <w:t>(“Management LLC”)</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Management II, LLC</w:t>
      </w:r>
      <w:r>
        <w:rPr>
          <w:sz w:val="20"/>
          <w:szCs w:val="20"/>
          <w:color w:val="auto"/>
        </w:rPr>
        <w:tab/>
      </w:r>
      <w:r>
        <w:rPr>
          <w:rFonts w:ascii="Arial" w:cs="Arial" w:eastAsia="Arial" w:hAnsi="Arial"/>
          <w:sz w:val="16"/>
          <w:szCs w:val="16"/>
          <w:b w:val="1"/>
          <w:bCs w:val="1"/>
          <w:color w:val="auto"/>
        </w:rPr>
        <w:t>(“Management II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James C. Hale,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Huret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Garman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address of each of FTV Q LP, FTV LP, FTV II Q LP, FTV II LP, Management LLC, Management II LLC, James Hale, Robert Huret and Richard Garman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555 California Street, Suite 2900</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San Francisco, CA 94104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place of organization of each of FTV Q LP, FTV LP, FTV II Q LP, FTV II LP, Management LLC and Management II LLC is: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State of Delaware, USA</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citizenship of each of James Hale, Robert Huret and Richard Garman is: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United States of America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 par value $0.001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302081104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31" w:lineRule="exact"/>
        <w:rPr>
          <w:sz w:val="20"/>
          <w:szCs w:val="20"/>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type w:val="continuous"/>
        </w:sectPr>
      </w:pPr>
    </w:p>
    <w:bookmarkStart w:id="11" w:name="page12"/>
    <w:bookmarkEnd w:id="11"/>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§240.13d-1(b)(1)(ii)(G);</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265" w:lineRule="exact"/>
        <w:rPr>
          <w:rFonts w:ascii="Arial" w:cs="Arial" w:eastAsia="Arial" w:hAnsi="Arial"/>
          <w:sz w:val="18"/>
          <w:szCs w:val="18"/>
          <w:color w:val="auto"/>
        </w:rPr>
      </w:pPr>
    </w:p>
    <w:p>
      <w:pPr>
        <w:ind w:left="820" w:right="60" w:hanging="488"/>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226"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25" w:lineRule="exact"/>
        <w:rPr>
          <w:sz w:val="20"/>
          <w:szCs w:val="20"/>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See Item 9 of each of the cover pages.</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See Item 11 of each of the cover pages.</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92" w:lineRule="exact"/>
        <w:rPr>
          <w:rFonts w:ascii="Arial" w:cs="Arial" w:eastAsia="Arial" w:hAnsi="Arial"/>
          <w:sz w:val="18"/>
          <w:szCs w:val="18"/>
          <w:color w:val="auto"/>
        </w:rPr>
      </w:pPr>
    </w:p>
    <w:p>
      <w:pPr>
        <w:ind w:left="1320" w:hanging="542"/>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each of the cover pages.</w:t>
      </w:r>
    </w:p>
    <w:p>
      <w:pPr>
        <w:spacing w:after="0" w:line="279" w:lineRule="exact"/>
        <w:rPr>
          <w:rFonts w:ascii="Arial" w:cs="Arial" w:eastAsia="Arial" w:hAnsi="Arial"/>
          <w:sz w:val="18"/>
          <w:szCs w:val="18"/>
          <w:color w:val="auto"/>
        </w:rPr>
      </w:pPr>
    </w:p>
    <w:p>
      <w:pPr>
        <w:ind w:left="1320" w:hanging="542"/>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each of the cover pages.</w:t>
      </w:r>
    </w:p>
    <w:p>
      <w:pPr>
        <w:spacing w:after="0" w:line="279" w:lineRule="exact"/>
        <w:rPr>
          <w:rFonts w:ascii="Arial" w:cs="Arial" w:eastAsia="Arial" w:hAnsi="Arial"/>
          <w:sz w:val="18"/>
          <w:szCs w:val="18"/>
          <w:color w:val="auto"/>
        </w:rPr>
      </w:pPr>
    </w:p>
    <w:p>
      <w:pPr>
        <w:ind w:left="1320" w:hanging="542"/>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each of the cover pages.</w:t>
      </w:r>
    </w:p>
    <w:p>
      <w:pPr>
        <w:spacing w:after="0" w:line="279" w:lineRule="exact"/>
        <w:rPr>
          <w:rFonts w:ascii="Arial" w:cs="Arial" w:eastAsia="Arial" w:hAnsi="Arial"/>
          <w:sz w:val="18"/>
          <w:szCs w:val="18"/>
          <w:color w:val="auto"/>
        </w:rPr>
      </w:pPr>
    </w:p>
    <w:p>
      <w:pPr>
        <w:ind w:left="1320" w:hanging="542"/>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each of the cover pages.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8" w:lineRule="exact"/>
        <w:rPr>
          <w:sz w:val="20"/>
          <w:szCs w:val="20"/>
          <w:color w:val="auto"/>
        </w:rPr>
      </w:pPr>
    </w:p>
    <w:p>
      <w:pPr>
        <w:ind w:firstLine="270"/>
        <w:spacing w:after="0" w:line="299"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8"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The right to receive dividends on, and proceeds from the sale of, the shares which are beneficially owned by the filing persons is governed by the limited partnership agreement of each of FTV Q LP, FTV LP, FTV II Q LP and FTV II LP and the operating agreement of each Management LLC and Management II LLC and such dividends or proceeds may be distributed with respect to the member interests and general and limited partnership interests in accordance therewith.</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FTV Q LP, FTV LP, FTV II Q LP and FTV II LP are record and beneficial owners of the securities of ExlService Holdings, Inc. reported hereby.</w:t>
      </w:r>
    </w:p>
    <w:p>
      <w:pPr>
        <w:spacing w:after="0" w:line="275" w:lineRule="exact"/>
        <w:rPr>
          <w:sz w:val="20"/>
          <w:szCs w:val="20"/>
          <w:color w:val="auto"/>
        </w:rPr>
      </w:pPr>
    </w:p>
    <w:p>
      <w:pPr>
        <w:ind w:right="100" w:firstLine="270"/>
        <w:spacing w:after="0" w:line="332" w:lineRule="auto"/>
        <w:rPr>
          <w:sz w:val="20"/>
          <w:szCs w:val="20"/>
          <w:color w:val="auto"/>
        </w:rPr>
      </w:pPr>
      <w:r>
        <w:rPr>
          <w:rFonts w:ascii="Arial" w:cs="Arial" w:eastAsia="Arial" w:hAnsi="Arial"/>
          <w:sz w:val="16"/>
          <w:szCs w:val="16"/>
          <w:color w:val="auto"/>
        </w:rPr>
        <w:t>Management LLC is the sole general partner of FTV Q LP and FTV LP. In its capacity as the sole general partner, Management LLC may pursuant to Rule 13d-3 of the Exchange Act of 1934, as amended, be deemed the beneficial owner of the securities of FTV Q LP and FTV LP reported hereby.</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631" w:right="379" w:bottom="1440" w:gutter="0" w:footer="0" w:header="0"/>
        </w:sectPr>
      </w:pPr>
    </w:p>
    <w:bookmarkStart w:id="12" w:name="page13"/>
    <w:bookmarkEnd w:id="12"/>
    <w:p>
      <w:pPr>
        <w:ind w:right="460" w:firstLine="486"/>
        <w:spacing w:after="0" w:line="259" w:lineRule="auto"/>
        <w:rPr>
          <w:sz w:val="20"/>
          <w:szCs w:val="20"/>
          <w:color w:val="auto"/>
        </w:rPr>
      </w:pPr>
      <w:r>
        <w:rPr>
          <w:rFonts w:ascii="Arial" w:cs="Arial" w:eastAsia="Arial" w:hAnsi="Arial"/>
          <w:sz w:val="18"/>
          <w:szCs w:val="18"/>
          <w:color w:val="auto"/>
        </w:rPr>
        <w:t>Management II LLC is the sole general partner of FTV II Q LP and FTV II LP. In its capacity as the sole general partner, Management II LLC may pursuant to Rule 13d-3 of the Exchange Act of 1934, as amended, be deemed the beneficial owner of the securities of FTV II Q LP and FTV II LP reported hereby.</w:t>
      </w:r>
    </w:p>
    <w:p>
      <w:pPr>
        <w:spacing w:after="0" w:line="24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their capacity as the managing members of Management LLC and Management II, LLC, each of James Hale, Robert Huret and Richard Garman may pursuant to Rule 13d-3 of the Exchange Act of 1934, as amended, be deemed the beneficial owner of the securities of Management LLC and Management II LLC reported hereby.</w:t>
      </w:r>
    </w:p>
    <w:p>
      <w:pPr>
        <w:spacing w:after="0" w:line="21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1 hereto.</w:t>
      </w:r>
    </w:p>
    <w:p>
      <w:pPr>
        <w:spacing w:after="0" w:line="27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85"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w:t>
      </w:r>
    </w:p>
    <w:p>
      <w:pPr>
        <w:spacing w:after="0" w:line="279"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13" w:name="page14"/>
    <w:bookmarkEnd w:id="13"/>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February 8,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(Q),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II (Q),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II,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II,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II,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MANAGEMENT, LLC.</w:t>
      </w:r>
    </w:p>
    <w:p>
      <w:pPr>
        <w:spacing w:after="0" w:line="28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jc w:val="center"/>
        <w:ind w:right="670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MANAGEMENT II, LLC.</w:t>
      </w:r>
    </w:p>
    <w:p>
      <w:pPr>
        <w:spacing w:after="0" w:line="28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HALE, III</w:t>
      </w:r>
    </w:p>
    <w:p>
      <w:pPr>
        <w:spacing w:after="0" w:line="2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HURET</w:t>
      </w:r>
    </w:p>
    <w:p>
      <w:pPr>
        <w:spacing w:after="0" w:line="2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GARMAN</w:t>
      </w:r>
    </w:p>
    <w:p>
      <w:pPr>
        <w:spacing w:after="0" w:line="285"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*By:</w:t>
        <w:tab/>
        <w:t>/s/ DAVID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80010</wp:posOffset>
            </wp:positionV>
            <wp:extent cx="1835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David A. Haynes, Partner and Chief Operating Officer, FTVentures</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Attorney-in-Fact for each of James C. Hale, III, Robert Huret and Richard Garman pursuant to a Power of Attorney attached as Exhibit</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 to this Schedule 13G</w:t>
      </w: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14 of 16</w:t>
      </w:r>
    </w:p>
    <w:p>
      <w:pPr>
        <w:sectPr>
          <w:pgSz w:w="11900" w:h="16838" w:orient="portrait"/>
          <w:cols w:equalWidth="0" w:num="1">
            <w:col w:w="11060"/>
          </w:cols>
          <w:pgMar w:left="240" w:top="827" w:right="599" w:bottom="202"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b w:val="1"/>
          <w:bCs w:val="1"/>
          <w:color w:val="auto"/>
        </w:rPr>
        <w:t>JOINT FILING STATEMENT</w:t>
      </w:r>
    </w:p>
    <w:p>
      <w:pPr>
        <w:spacing w:after="0" w:line="258"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(Q),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II (Q),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II,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II,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II,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MANAGEMENT, LLC.</w:t>
      </w:r>
    </w:p>
    <w:p>
      <w:pPr>
        <w:spacing w:after="0" w:line="28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jc w:val="center"/>
        <w:ind w:right="694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MANAGEMENT II, LLC.</w:t>
      </w:r>
    </w:p>
    <w:p>
      <w:pPr>
        <w:spacing w:after="0" w:line="28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HALE, III</w:t>
      </w:r>
    </w:p>
    <w:p>
      <w:pPr>
        <w:spacing w:after="0" w:line="2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HURET</w:t>
      </w:r>
    </w:p>
    <w:p>
      <w:pPr>
        <w:sectPr>
          <w:pgSz w:w="11900" w:h="16838" w:orient="portrait"/>
          <w:cols w:equalWidth="0" w:num="1">
            <w:col w:w="11300"/>
          </w:cols>
          <w:pgMar w:left="240" w:top="827"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827" w:right="359" w:bottom="1440" w:gutter="0" w:footer="0" w:header="0"/>
          <w:type w:val="continuous"/>
        </w:sectPr>
      </w:pPr>
    </w:p>
    <w:bookmarkStart w:id="16" w:name="page17"/>
    <w:bookmarkEnd w:id="16"/>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GARMAN</w:t>
      </w:r>
    </w:p>
    <w:p>
      <w:pPr>
        <w:spacing w:after="0" w:line="285"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*By:</w:t>
        <w:tab/>
        <w:t>/s/ DAVID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80010</wp:posOffset>
            </wp:positionV>
            <wp:extent cx="18351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David A. Haynes, Partner and Chief Operating Officer, FTVentures</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Attorney-in-Fact for each of James C. Hale, III, Robert Huret and Richard Garman pursuant to a Power of Attorney attached as Exhibit</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20"/>
          </w:cols>
          <w:pgMar w:left="240" w:top="644" w:right="839" w:bottom="1440" w:gutter="0" w:footer="0" w:header="0"/>
        </w:sectPr>
      </w:pPr>
    </w:p>
    <w:bookmarkStart w:id="17" w:name="page18"/>
    <w:bookmarkEnd w:id="17"/>
    <w:p>
      <w:pPr>
        <w:ind w:left="10740"/>
        <w:spacing w:after="0"/>
        <w:rPr>
          <w:sz w:val="20"/>
          <w:szCs w:val="20"/>
          <w:color w:val="auto"/>
        </w:rPr>
      </w:pPr>
      <w:r>
        <w:rPr>
          <w:rFonts w:ascii="Arial" w:cs="Arial" w:eastAsia="Arial" w:hAnsi="Arial"/>
          <w:sz w:val="16"/>
          <w:szCs w:val="16"/>
          <w:b w:val="1"/>
          <w:bCs w:val="1"/>
          <w:color w:val="auto"/>
        </w:rPr>
        <w:t>Exhibit 1</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required by Item 8 of the Schedule 13G to which this exhibit is attached, the name and classification of each member of the group is provided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Identification</w:t>
            </w:r>
          </w:p>
        </w:tc>
        <w:tc>
          <w:tcPr>
            <w:tcW w:w="7180" w:type="dxa"/>
            <w:vAlign w:val="bottom"/>
            <w:gridSpan w:val="3"/>
          </w:tcPr>
          <w:p>
            <w:pPr>
              <w:ind w:left="1180"/>
              <w:spacing w:after="0"/>
              <w:rPr>
                <w:sz w:val="20"/>
                <w:szCs w:val="20"/>
                <w:color w:val="auto"/>
              </w:rPr>
            </w:pPr>
            <w:r>
              <w:rPr>
                <w:rFonts w:ascii="Arial" w:cs="Arial" w:eastAsia="Arial" w:hAnsi="Arial"/>
                <w:sz w:val="18"/>
                <w:szCs w:val="18"/>
                <w:b w:val="1"/>
                <w:bCs w:val="1"/>
                <w:color w:val="auto"/>
              </w:rPr>
              <w:t>Classification</w:t>
            </w:r>
          </w:p>
        </w:tc>
      </w:tr>
      <w:tr>
        <w:trPr>
          <w:trHeight w:val="20"/>
        </w:trPr>
        <w:tc>
          <w:tcPr>
            <w:tcW w:w="102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78"/>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Ventures (Q), L.P.</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PN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Ventures, L.P.</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PN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Ventures II (Q), L.P.</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PN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Ventures II, L.P.</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PN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Management, LLC</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OO</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Management II, LLC</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OO</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IN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Robert Huret</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IN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Richard Garman</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IN</w:t>
            </w:r>
          </w:p>
        </w:tc>
      </w:tr>
      <w:tr>
        <w:trPr>
          <w:trHeight w:val="863"/>
        </w:trPr>
        <w:tc>
          <w:tcPr>
            <w:tcW w:w="102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8"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David Haynes his true and lawful attorneys-in-fact and agent, with full power of substitution and resubstitution, for him and in his name, place and stead, in any and all capacities, including without limitation in his personal capacity and in his capacity as a managing member of Financial Technology Management, LLC and Financial Technology Management II, LLC, to sign any statement of beneficial ownership on Schedule 13G, and any and all amendments thereto, and to file the same, with all exhibits thereto, and all other documents in connection therewith, with the Securities and Exchange Commission, granting unto said attorney-in-fact and agent full power and authority to do and perform each and every act in person, hereby ratifying and confirming all that said attorney-in-fact and agent or his substitute may lawfully do or cause to be done by virtue hereof.</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witness whereof, each of the undersigned has duly executed and delivered this power of attorney as of the 5</w:t>
      </w:r>
      <w:r>
        <w:rPr>
          <w:rFonts w:ascii="Arial" w:cs="Arial" w:eastAsia="Arial" w:hAnsi="Arial"/>
          <w:sz w:val="35"/>
          <w:szCs w:val="35"/>
          <w:color w:val="auto"/>
          <w:vertAlign w:val="superscript"/>
        </w:rPr>
        <w:t>th</w:t>
      </w:r>
      <w:r>
        <w:rPr>
          <w:rFonts w:ascii="Arial" w:cs="Arial" w:eastAsia="Arial" w:hAnsi="Arial"/>
          <w:sz w:val="18"/>
          <w:szCs w:val="18"/>
          <w:color w:val="auto"/>
        </w:rPr>
        <w:t xml:space="preserve"> day of February, 2007.</w:t>
      </w:r>
    </w:p>
    <w:p>
      <w:pPr>
        <w:spacing w:after="0" w:line="13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JAMES C. HALE,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80010</wp:posOffset>
            </wp:positionV>
            <wp:extent cx="2400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James C. Hale,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ROBERT HURET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80010</wp:posOffset>
            </wp:positionV>
            <wp:extent cx="24009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Huret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RICHARD 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80010</wp:posOffset>
            </wp:positionV>
            <wp:extent cx="2400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5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Richard 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lvl w:ilvl="1">
      <w:lvlJc w:val="left"/>
      <w:lvlText w:val="x"/>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2019-12-15T11:11:09Z</dcterms:created>
  <dcterms:modified xsi:type="dcterms:W3CDTF">2019-12-15T11:11:09Z</dcterms:modified>
</cp:coreProperties>
</file>