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 Villa Rembert</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02/10/2009</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6"/>
        <w:spacing w:after="0"/>
        <w:rPr>
          <w:sz w:val="20"/>
          <w:szCs w:val="20"/>
          <w:color w:val="auto"/>
        </w:rPr>
      </w:pPr>
      <w:r>
        <w:rPr>
          <w:rFonts w:ascii="Times New Roman" w:cs="Times New Roman" w:eastAsia="Times New Roman" w:hAnsi="Times New Roman"/>
          <w:sz w:val="17"/>
          <w:szCs w:val="17"/>
          <w:color w:val="0000FF"/>
        </w:rPr>
        <w:t>VP, Head - Transformation Svcs</w:t>
      </w:r>
    </w:p>
    <w:p>
      <w:pPr>
        <w:spacing w:after="0" w:line="414"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10022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660" w:type="dxa"/>
            <w:vAlign w:val="bottom"/>
          </w:tcPr>
          <w:p>
            <w:pPr>
              <w:ind w:left="26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0000FF"/>
              </w:rPr>
              <w:t>02/10/2009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02/10/2019</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4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0000FF"/>
              </w:rPr>
              <w:t>50,000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 percent of the options will vest and become exerciseable on February 10, 2010; an additional 20 percent of the options will vest and become exerciseable on February 10, 2011, an additional 30 percent of the options will vest and become exerciseable on February 10, 2012; and the remaining 40 percent of options will vest and become exerciseable on February 10, 2013.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2019-12-16T15:41:30Z</dcterms:created>
  <dcterms:modified xsi:type="dcterms:W3CDTF">2019-12-16T15:41:30Z</dcterms:modified>
</cp:coreProperties>
</file>