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4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2020</w:t>
      </w:r>
    </w:p>
    <w:p>
      <w:pPr>
        <w:spacing w:after="0" w:line="5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3922395</wp:posOffset>
            </wp:positionH>
            <wp:positionV relativeFrom="paragraph">
              <wp:posOffset>-4445</wp:posOffset>
            </wp:positionV>
            <wp:extent cx="1226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820" cy="8890"/>
                    </a:xfrm>
                    <a:prstGeom prst="rect">
                      <a:avLst/>
                    </a:prstGeom>
                    <a:noFill/>
                  </pic:spPr>
                </pic:pic>
              </a:graphicData>
            </a:graphic>
          </wp:anchor>
        </w:drawing>
      </w:r>
    </w:p>
    <w:p>
      <w:pPr>
        <w:spacing w:after="0" w:line="3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35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33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2"/>
          </w:tcPr>
          <w:p>
            <w:pPr>
              <w:jc w:val="right"/>
              <w:ind w:right="2045"/>
              <w:spacing w:after="0"/>
              <w:rPr>
                <w:sz w:val="20"/>
                <w:szCs w:val="20"/>
                <w:color w:val="auto"/>
              </w:rPr>
            </w:pPr>
            <w:r>
              <w:rPr>
                <w:rFonts w:ascii="Arial" w:cs="Arial" w:eastAsia="Arial" w:hAnsi="Arial"/>
                <w:sz w:val="16"/>
                <w:szCs w:val="16"/>
                <w:b w:val="1"/>
                <w:bCs w:val="1"/>
                <w:color w:val="auto"/>
              </w:rPr>
              <w:t>82-0572194</w:t>
            </w:r>
          </w:p>
        </w:tc>
        <w:tc>
          <w:tcPr>
            <w:tcW w:w="540" w:type="dxa"/>
            <w:vAlign w:val="bottom"/>
          </w:tcPr>
          <w:p>
            <w:pPr>
              <w:spacing w:after="0"/>
              <w:rPr>
                <w:sz w:val="18"/>
                <w:szCs w:val="18"/>
                <w:color w:val="auto"/>
              </w:rPr>
            </w:pPr>
          </w:p>
        </w:tc>
      </w:tr>
      <w:tr>
        <w:trPr>
          <w:trHeight w:val="186"/>
        </w:trPr>
        <w:tc>
          <w:tcPr>
            <w:tcW w:w="1360" w:type="dxa"/>
            <w:vAlign w:val="bottom"/>
          </w:tcPr>
          <w:p>
            <w:pPr>
              <w:spacing w:after="0"/>
              <w:rPr>
                <w:sz w:val="16"/>
                <w:szCs w:val="16"/>
                <w:color w:val="auto"/>
              </w:rPr>
            </w:pPr>
          </w:p>
        </w:tc>
        <w:tc>
          <w:tcPr>
            <w:tcW w:w="3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360" w:type="dxa"/>
            <w:vAlign w:val="bottom"/>
          </w:tcPr>
          <w:p>
            <w:pPr>
              <w:spacing w:after="0"/>
              <w:rPr>
                <w:sz w:val="16"/>
                <w:szCs w:val="16"/>
                <w:color w:val="auto"/>
              </w:rPr>
            </w:pPr>
          </w:p>
        </w:tc>
        <w:tc>
          <w:tcPr>
            <w:tcW w:w="3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94"/>
              </w:rPr>
              <w:t>Identification No.)</w:t>
            </w:r>
          </w:p>
        </w:tc>
      </w:tr>
      <w:tr>
        <w:trPr>
          <w:trHeight w:val="357"/>
        </w:trPr>
        <w:tc>
          <w:tcPr>
            <w:tcW w:w="1360" w:type="dxa"/>
            <w:vAlign w:val="bottom"/>
          </w:tcPr>
          <w:p>
            <w:pPr>
              <w:spacing w:after="0"/>
              <w:rPr>
                <w:sz w:val="24"/>
                <w:szCs w:val="24"/>
                <w:color w:val="auto"/>
              </w:rPr>
            </w:pPr>
          </w:p>
        </w:tc>
        <w:tc>
          <w:tcPr>
            <w:tcW w:w="3300" w:type="dxa"/>
            <w:vAlign w:val="bottom"/>
            <w:gridSpan w:val="3"/>
          </w:tcPr>
          <w:p>
            <w:pPr>
              <w:ind w:left="520"/>
              <w:spacing w:after="0"/>
              <w:rPr>
                <w:sz w:val="20"/>
                <w:szCs w:val="20"/>
                <w:color w:val="auto"/>
              </w:rPr>
            </w:pPr>
            <w:r>
              <w:rPr>
                <w:rFonts w:ascii="Arial" w:cs="Arial" w:eastAsia="Arial" w:hAnsi="Arial"/>
                <w:sz w:val="16"/>
                <w:szCs w:val="16"/>
                <w:b w:val="1"/>
                <w:bCs w:val="1"/>
                <w:color w:val="auto"/>
              </w:rPr>
              <w:t>320 Park Avenue, 29th Floor,</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3300" w:type="dxa"/>
            <w:vAlign w:val="bottom"/>
            <w:gridSpan w:val="3"/>
          </w:tcPr>
          <w:p>
            <w:pPr>
              <w:ind w:left="1020"/>
              <w:spacing w:after="0"/>
              <w:rPr>
                <w:sz w:val="20"/>
                <w:szCs w:val="20"/>
                <w:color w:val="auto"/>
              </w:rPr>
            </w:pPr>
            <w:r>
              <w:rPr>
                <w:rFonts w:ascii="Arial" w:cs="Arial" w:eastAsia="Arial" w:hAnsi="Arial"/>
                <w:sz w:val="16"/>
                <w:szCs w:val="16"/>
                <w:b w:val="1"/>
                <w:bCs w:val="1"/>
                <w:color w:val="auto"/>
              </w:rPr>
              <w:t>New York, New York</w:t>
            </w: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20" w:type="dxa"/>
            <w:vAlign w:val="bottom"/>
            <w:gridSpan w:val="2"/>
          </w:tcPr>
          <w:p>
            <w:pPr>
              <w:jc w:val="right"/>
              <w:ind w:right="2245"/>
              <w:spacing w:after="0"/>
              <w:rPr>
                <w:sz w:val="20"/>
                <w:szCs w:val="20"/>
                <w:color w:val="auto"/>
              </w:rPr>
            </w:pPr>
            <w:r>
              <w:rPr>
                <w:rFonts w:ascii="Arial" w:cs="Arial" w:eastAsia="Arial" w:hAnsi="Arial"/>
                <w:sz w:val="16"/>
                <w:szCs w:val="16"/>
                <w:b w:val="1"/>
                <w:bCs w:val="1"/>
                <w:color w:val="auto"/>
              </w:rPr>
              <w:t>10022</w:t>
            </w:r>
          </w:p>
        </w:tc>
        <w:tc>
          <w:tcPr>
            <w:tcW w:w="540" w:type="dxa"/>
            <w:vAlign w:val="bottom"/>
          </w:tcPr>
          <w:p>
            <w:pPr>
              <w:spacing w:after="0"/>
              <w:rPr>
                <w:sz w:val="22"/>
                <w:szCs w:val="22"/>
                <w:color w:val="auto"/>
              </w:rPr>
            </w:pPr>
          </w:p>
        </w:tc>
      </w:tr>
      <w:tr>
        <w:trPr>
          <w:trHeight w:val="237"/>
        </w:trPr>
        <w:tc>
          <w:tcPr>
            <w:tcW w:w="1360" w:type="dxa"/>
            <w:vAlign w:val="bottom"/>
          </w:tcPr>
          <w:p>
            <w:pPr>
              <w:spacing w:after="0"/>
              <w:rPr>
                <w:sz w:val="20"/>
                <w:szCs w:val="20"/>
                <w:color w:val="auto"/>
              </w:rPr>
            </w:pPr>
          </w:p>
        </w:tc>
        <w:tc>
          <w:tcPr>
            <w:tcW w:w="3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95"/>
              </w:rPr>
              <w:t>(Zip code)</w:t>
            </w:r>
          </w:p>
        </w:tc>
      </w:tr>
      <w:tr>
        <w:trPr>
          <w:trHeight w:val="263"/>
        </w:trPr>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(212) 277-7100</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10"/>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80" w:type="dxa"/>
            <w:vAlign w:val="bottom"/>
            <w:gridSpan w:val="5"/>
          </w:tcPr>
          <w:p>
            <w:pPr>
              <w:jc w:val="center"/>
              <w:ind w:left="9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33"/>
        </w:trPr>
        <w:tc>
          <w:tcPr>
            <w:tcW w:w="1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gridSpan w:val="3"/>
          </w:tcPr>
          <w:p>
            <w:pPr>
              <w:spacing w:after="0"/>
              <w:rPr>
                <w:sz w:val="11"/>
                <w:szCs w:val="11"/>
                <w:color w:val="auto"/>
              </w:rPr>
            </w:pPr>
          </w:p>
        </w:tc>
        <w:tc>
          <w:tcPr>
            <w:tcW w:w="1280" w:type="dxa"/>
            <w:vAlign w:val="bottom"/>
            <w:tcBorders>
              <w:bottom w:val="single" w:sz="8" w:color="auto"/>
            </w:tcBorders>
            <w:gridSpan w:val="3"/>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217"/>
        </w:trPr>
        <w:tc>
          <w:tcPr>
            <w:tcW w:w="13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8040" w:type="dxa"/>
            <w:vAlign w:val="bottom"/>
            <w:tcBorders>
              <w:right w:val="single" w:sz="8" w:color="auto"/>
            </w:tcBorders>
            <w:gridSpan w:val="8"/>
          </w:tcPr>
          <w:p>
            <w:pPr>
              <w:jc w:val="center"/>
              <w:ind w:right="2580"/>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3"/>
        </w:trPr>
        <w:tc>
          <w:tcPr>
            <w:tcW w:w="136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r>
      <w:tr>
        <w:trPr>
          <w:trHeight w:val="183"/>
        </w:trPr>
        <w:tc>
          <w:tcPr>
            <w:tcW w:w="3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Title of Each Class:</w:t>
            </w:r>
          </w:p>
        </w:tc>
        <w:tc>
          <w:tcPr>
            <w:tcW w:w="720" w:type="dxa"/>
            <w:vAlign w:val="bottom"/>
          </w:tcPr>
          <w:p>
            <w:pPr>
              <w:spacing w:after="0"/>
              <w:rPr>
                <w:sz w:val="15"/>
                <w:szCs w:val="15"/>
                <w:color w:val="auto"/>
              </w:rPr>
            </w:pPr>
          </w:p>
        </w:tc>
        <w:tc>
          <w:tcPr>
            <w:tcW w:w="12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0"/>
              </w:rPr>
              <w:t>Trading symbol(s)</w:t>
            </w:r>
          </w:p>
        </w:tc>
        <w:tc>
          <w:tcPr>
            <w:tcW w:w="7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360" w:type="dxa"/>
            <w:vAlign w:val="bottom"/>
            <w:tcBorders>
              <w:lef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20"/>
        </w:trPr>
        <w:tc>
          <w:tcPr>
            <w:tcW w:w="1360" w:type="dxa"/>
            <w:vAlign w:val="bottom"/>
            <w:tcBorders>
              <w:left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r>
      <w:tr>
        <w:trPr>
          <w:trHeight w:val="232"/>
        </w:trPr>
        <w:tc>
          <w:tcPr>
            <w:tcW w:w="39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72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4"/>
                <w:szCs w:val="14"/>
                <w:color w:val="auto"/>
              </w:rPr>
              <w:t>EXLS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gridSpan w:val="2"/>
          </w:tcPr>
          <w:p>
            <w:pPr>
              <w:jc w:val="center"/>
              <w:ind w:right="560"/>
              <w:spacing w:after="0"/>
              <w:rPr>
                <w:sz w:val="20"/>
                <w:szCs w:val="20"/>
                <w:color w:val="auto"/>
              </w:rPr>
            </w:pPr>
            <w:r>
              <w:rPr>
                <w:rFonts w:ascii="Arial" w:cs="Arial" w:eastAsia="Arial" w:hAnsi="Arial"/>
                <w:sz w:val="16"/>
                <w:szCs w:val="16"/>
                <w:color w:val="auto"/>
              </w:rPr>
              <w:t>NASDAQ</w:t>
            </w:r>
          </w:p>
        </w:tc>
      </w:tr>
    </w:tbl>
    <w:p>
      <w:pPr>
        <w:spacing w:after="0" w:line="40"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None</w:t>
      </w:r>
    </w:p>
    <w:p>
      <w:pPr>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187" w:lineRule="exact"/>
        <w:rPr>
          <w:sz w:val="24"/>
          <w:szCs w:val="24"/>
          <w:color w:val="auto"/>
        </w:rPr>
      </w:pPr>
    </w:p>
    <w:p>
      <w:pPr>
        <w:ind w:right="100" w:firstLine="324"/>
        <w:spacing w:after="0" w:line="24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1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240" w:firstLine="324"/>
        <w:spacing w:after="0" w:line="24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19" w:lineRule="exact"/>
        <w:tabs>
          <w:tab w:leader="none" w:pos="7020" w:val="left"/>
        </w:tabs>
        <w:rPr>
          <w:sz w:val="20"/>
          <w:szCs w:val="20"/>
          <w:color w:val="auto"/>
        </w:rPr>
      </w:pPr>
      <w:r>
        <w:rPr>
          <w:rFonts w:ascii="Arial" w:cs="Arial" w:eastAsia="Arial" w:hAnsi="Arial"/>
          <w:sz w:val="16"/>
          <w:szCs w:val="16"/>
          <w:color w:val="auto"/>
        </w:rPr>
        <w:t xml:space="preserve">months (or for such shorter period that the registrant was required to submit and post such files).  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252" w:lineRule="exact"/>
        <w:rPr>
          <w:sz w:val="24"/>
          <w:szCs w:val="24"/>
          <w:color w:val="auto"/>
        </w:rPr>
      </w:pPr>
    </w:p>
    <w:p>
      <w:pPr>
        <w:ind w:right="6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1"/>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1"/>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9"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line="219" w:lineRule="exact"/>
        <w:tabs>
          <w:tab w:leader="none" w:pos="80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3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4, 2020, there were 34,316,121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445"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ITEM</w:t>
            </w:r>
          </w:p>
        </w:tc>
        <w:tc>
          <w:tcPr>
            <w:tcW w:w="9400" w:type="dxa"/>
            <w:vAlign w:val="bottom"/>
            <w:gridSpan w:val="4"/>
            <w:vMerge w:val="restart"/>
          </w:tcPr>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60" w:type="dxa"/>
            <w:vAlign w:val="bottom"/>
            <w:vMerge w:val="restart"/>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9400" w:type="dxa"/>
            <w:vAlign w:val="bottom"/>
            <w:gridSpan w:val="4"/>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as of March 31, 2020 (Unaudited) and December 31, 2019</w:t>
              </w:r>
            </w:hyperlink>
          </w:p>
        </w:tc>
        <w:tc>
          <w:tcPr>
            <w:tcW w:w="660" w:type="dxa"/>
            <w:vAlign w:val="bottom"/>
          </w:tcPr>
          <w:p>
            <w:pPr>
              <w:ind w:lef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Income (Unaudited) for the Three months ended March 31, 2020 and 2019</w:t>
              </w:r>
            </w:hyperlink>
          </w:p>
        </w:tc>
        <w:tc>
          <w:tcPr>
            <w:tcW w:w="660" w:type="dxa"/>
            <w:vAlign w:val="bottom"/>
          </w:tcPr>
          <w:p>
            <w:pPr>
              <w:ind w:left="4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7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Comprehensive (Loss)/Income (Unaudited) for the Three months ended March 31, 2020 and</w:t>
              </w:r>
            </w:hyperlink>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8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ind w:left="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91"/>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Equity (Unaudited) for the Three months ended March 31, 2020 and 2019</w:t>
              </w:r>
            </w:hyperlink>
          </w:p>
        </w:tc>
        <w:tc>
          <w:tcPr>
            <w:tcW w:w="660" w:type="dxa"/>
            <w:vAlign w:val="bottom"/>
          </w:tcPr>
          <w:p>
            <w:pPr>
              <w:ind w:left="4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Consolidated Statements of Cash Flows (Unaudited) for the Three months ended March 31, 2020 and 2019</w:t>
              </w:r>
            </w:hyperlink>
          </w:p>
        </w:tc>
        <w:tc>
          <w:tcPr>
            <w:tcW w:w="660" w:type="dxa"/>
            <w:vAlign w:val="bottom"/>
          </w:tcPr>
          <w:p>
            <w:pPr>
              <w:ind w:left="4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660" w:type="dxa"/>
            <w:vAlign w:val="bottom"/>
          </w:tcPr>
          <w:p>
            <w:pPr>
              <w:ind w:left="4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2.</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ind w:left="4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4.</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Controls and Procedures</w:t>
              </w:r>
            </w:hyperlink>
          </w:p>
        </w:tc>
        <w:tc>
          <w:tcPr>
            <w:tcW w:w="66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Part II. Other Information</w:t>
              </w:r>
            </w:hyperlink>
          </w:p>
        </w:tc>
        <w:tc>
          <w:tcPr>
            <w:tcW w:w="66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Legal Proceedings</w:t>
              </w:r>
            </w:hyperlink>
          </w:p>
        </w:tc>
        <w:tc>
          <w:tcPr>
            <w:tcW w:w="66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1A.</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Risk Factors</w:t>
              </w:r>
            </w:hyperlink>
          </w:p>
        </w:tc>
        <w:tc>
          <w:tcPr>
            <w:tcW w:w="660" w:type="dxa"/>
            <w:vAlign w:val="bottom"/>
          </w:tcPr>
          <w:p>
            <w:pPr>
              <w:ind w:left="40"/>
              <w:spacing w:after="0"/>
              <w:rPr>
                <w:rFonts w:ascii="Arial" w:cs="Arial" w:eastAsia="Arial" w:hAnsi="Arial"/>
                <w:sz w:val="18"/>
                <w:szCs w:val="18"/>
                <w:color w:val="0000EE"/>
              </w:rPr>
            </w:pPr>
            <w:hyperlink w:anchor="page50">
              <w:r>
                <w:rPr>
                  <w:rFonts w:ascii="Arial" w:cs="Arial" w:eastAsia="Arial" w:hAnsi="Arial"/>
                  <w:sz w:val="18"/>
                  <w:szCs w:val="18"/>
                  <w:color w:val="0000EE"/>
                </w:rPr>
                <w:t>49</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ind w:left="40"/>
              <w:spacing w:after="0"/>
              <w:rPr>
                <w:rFonts w:ascii="Arial" w:cs="Arial" w:eastAsia="Arial" w:hAnsi="Arial"/>
                <w:sz w:val="18"/>
                <w:szCs w:val="18"/>
                <w:color w:val="0000EE"/>
              </w:rPr>
            </w:pPr>
            <w:hyperlink w:anchor="page51">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Defaults Upon Senior Securities</w:t>
              </w:r>
            </w:hyperlink>
          </w:p>
        </w:tc>
        <w:tc>
          <w:tcPr>
            <w:tcW w:w="660" w:type="dxa"/>
            <w:vAlign w:val="bottom"/>
          </w:tcPr>
          <w:p>
            <w:pPr>
              <w:ind w:left="4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4.</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Mine Safety Disclosures</w:t>
              </w:r>
            </w:hyperlink>
          </w:p>
        </w:tc>
        <w:tc>
          <w:tcPr>
            <w:tcW w:w="660" w:type="dxa"/>
            <w:vAlign w:val="bottom"/>
          </w:tcPr>
          <w:p>
            <w:pPr>
              <w:ind w:left="4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5.</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Other Information</w:t>
              </w:r>
            </w:hyperlink>
          </w:p>
        </w:tc>
        <w:tc>
          <w:tcPr>
            <w:tcW w:w="660" w:type="dxa"/>
            <w:vAlign w:val="bottom"/>
          </w:tcPr>
          <w:p>
            <w:pPr>
              <w:ind w:left="4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6.</w:t>
            </w:r>
          </w:p>
        </w:tc>
        <w:tc>
          <w:tcPr>
            <w:tcW w:w="9400" w:type="dxa"/>
            <w:vAlign w:val="bottom"/>
            <w:gridSpan w:val="4"/>
          </w:tcPr>
          <w:p>
            <w:pPr>
              <w:ind w:left="36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Exhibits</w:t>
              </w:r>
            </w:hyperlink>
          </w:p>
        </w:tc>
        <w:tc>
          <w:tcPr>
            <w:tcW w:w="660" w:type="dxa"/>
            <w:vAlign w:val="bottom"/>
          </w:tcPr>
          <w:p>
            <w:pPr>
              <w:ind w:left="40"/>
              <w:spacing w:after="0"/>
              <w:rPr>
                <w:rFonts w:ascii="Arial" w:cs="Arial" w:eastAsia="Arial" w:hAnsi="Arial"/>
                <w:sz w:val="18"/>
                <w:szCs w:val="18"/>
                <w:color w:val="0000EE"/>
              </w:rPr>
            </w:pPr>
            <w:hyperlink w:anchor="page52">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392"/>
        </w:trPr>
        <w:tc>
          <w:tcPr>
            <w:tcW w:w="11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Signatures</w:t>
              </w:r>
            </w:hyperlink>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ind w:left="40"/>
              <w:spacing w:after="0"/>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9380" w:type="dxa"/>
            <w:vAlign w:val="bottom"/>
            <w:gridSpan w:val="3"/>
          </w:tcPr>
          <w:p>
            <w:pPr>
              <w:ind w:left="4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37"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6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119,165</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142,539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202,238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187,137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171,864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13,246</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24,594</w:t>
            </w: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604,892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541,258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79,142</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99,940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86,396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2,426</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16,640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11,855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73,982</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348,076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349,529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36,016</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Investment in equity affiliate</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1,267,259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1,183,088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8,048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6,564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40,867</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13,436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71,626</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84,495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71,023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24,148</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Income taxes payable, net</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finance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7"/>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258,364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229,349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234,820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194,131</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93,707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74,709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liabilities,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21,521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11,712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611,355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513,087</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(Refer to Note 24)</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7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$0.001 par value; 100,000,000 shares authorized, 38,813,775 shares issued and</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34,315,996 shares outstanding as of March 31, 2020 and 38,480,654 shares issued and 34,185,241 shares</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December 31, 2019</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396,939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391,240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551,903</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(84,892)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858,188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858,290</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Arial" w:cs="Arial" w:eastAsia="Arial" w:hAnsi="Arial"/>
                <w:sz w:val="16"/>
                <w:szCs w:val="16"/>
                <w:color w:val="auto"/>
                <w:w w:val="93"/>
              </w:rPr>
              <w:t>Less: 4,497,779 shares as of March 31, 2020 and 4,295,413 shares as of December 31, 2019, held in treasury,</w:t>
            </w: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tcPr>
          <w:p>
            <w:pPr>
              <w:ind w:left="20"/>
              <w:spacing w:after="0"/>
              <w:rPr>
                <w:sz w:val="20"/>
                <w:szCs w:val="20"/>
                <w:color w:val="auto"/>
              </w:rPr>
            </w:pPr>
            <w:r>
              <w:rPr>
                <w:rFonts w:ascii="Arial" w:cs="Arial" w:eastAsia="Arial" w:hAnsi="Arial"/>
                <w:sz w:val="16"/>
                <w:szCs w:val="16"/>
                <w:color w:val="auto"/>
              </w:rPr>
              <w:t>at cost</w:t>
            </w: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(202,284)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(188,289)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655,904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670,001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154305</wp:posOffset>
            </wp:positionV>
            <wp:extent cx="70891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ectPr>
          <w:pgSz w:w="11900" w:h="16838" w:orient="portrait"/>
          <w:cols w:equalWidth="0" w:num="1">
            <w:col w:w="11220"/>
          </w:cols>
          <w:pgMar w:left="320" w:top="337" w:right="359" w:bottom="0" w:gutter="0" w:footer="0" w:header="0"/>
        </w:sectPr>
      </w:pPr>
    </w:p>
    <w:p>
      <w:pPr>
        <w:spacing w:after="0" w:line="270" w:lineRule="exact"/>
        <w:rPr>
          <w:sz w:val="20"/>
          <w:szCs w:val="20"/>
          <w:color w:val="auto"/>
        </w:rPr>
      </w:pPr>
    </w:p>
    <w:p>
      <w:pPr>
        <w:ind w:left="60"/>
        <w:spacing w:after="0"/>
        <w:tabs>
          <w:tab w:leader="none" w:pos="8680" w:val="left"/>
          <w:tab w:leader="none" w:pos="10560" w:val="left"/>
        </w:tabs>
        <w:rPr>
          <w:sz w:val="20"/>
          <w:szCs w:val="20"/>
          <w:color w:val="auto"/>
        </w:rPr>
      </w:pPr>
      <w:r>
        <w:rPr>
          <w:rFonts w:ascii="Arial" w:cs="Arial" w:eastAsia="Arial" w:hAnsi="Arial"/>
          <w:sz w:val="16"/>
          <w:szCs w:val="16"/>
          <w:b w:val="1"/>
          <w:bCs w:val="1"/>
          <w:color w:val="auto"/>
        </w:rPr>
        <w:t>Total equity</w:t>
      </w:r>
      <w:r>
        <w:rPr>
          <w:sz w:val="20"/>
          <w:szCs w:val="20"/>
          <w:color w:val="auto"/>
        </w:rPr>
        <w:tab/>
      </w:r>
      <w:r>
        <w:rPr>
          <w:rFonts w:ascii="Arial" w:cs="Arial" w:eastAsia="Arial" w:hAnsi="Arial"/>
          <w:sz w:val="16"/>
          <w:szCs w:val="16"/>
          <w:b w:val="1"/>
          <w:bCs w:val="1"/>
          <w:color w:val="auto"/>
        </w:rPr>
        <w:t>655,904</w:t>
      </w:r>
      <w:r>
        <w:rPr>
          <w:sz w:val="20"/>
          <w:szCs w:val="20"/>
          <w:color w:val="auto"/>
        </w:rPr>
        <w:tab/>
      </w:r>
      <w:r>
        <w:rPr>
          <w:rFonts w:ascii="Arial" w:cs="Arial" w:eastAsia="Arial" w:hAnsi="Arial"/>
          <w:sz w:val="14"/>
          <w:szCs w:val="14"/>
          <w:b w:val="1"/>
          <w:bCs w:val="1"/>
          <w:color w:val="auto"/>
        </w:rPr>
        <w:t>670,001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37465</wp:posOffset>
            </wp:positionV>
            <wp:extent cx="2400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ectPr>
          <w:pgSz w:w="11900" w:h="16838" w:orient="portrait"/>
          <w:cols w:equalWidth="0" w:num="1">
            <w:col w:w="11220"/>
          </w:cols>
          <w:pgMar w:left="320" w:top="337" w:right="359" w:bottom="0" w:gutter="0" w:footer="0" w:header="0"/>
          <w:type w:val="continuous"/>
        </w:sectPr>
      </w:pPr>
    </w:p>
    <w:bookmarkStart w:id="3" w:name="page4"/>
    <w:bookmarkEnd w:id="3"/>
    <w:p>
      <w:pPr>
        <w:spacing w:after="0"/>
        <w:tabs>
          <w:tab w:leader="none" w:pos="7380" w:val="left"/>
          <w:tab w:leader="none" w:pos="8500" w:val="left"/>
          <w:tab w:leader="none" w:pos="9380" w:val="left"/>
          <w:tab w:leader="none" w:pos="10380" w:val="left"/>
        </w:tabs>
        <w:rPr>
          <w:sz w:val="20"/>
          <w:szCs w:val="20"/>
          <w:color w:val="auto"/>
        </w:rPr>
      </w:pPr>
      <w:r>
        <w:rPr>
          <w:rFonts w:ascii="Arial" w:cs="Arial" w:eastAsia="Arial" w:hAnsi="Arial"/>
          <w:sz w:val="16"/>
          <w:szCs w:val="16"/>
          <w:b w:val="1"/>
          <w:bCs w:val="1"/>
          <w:color w:val="auto"/>
        </w:rPr>
        <w:t>Total liabilities and stockholders’ equity</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1,267,259</w:t>
        <w:tab/>
        <w:t>$</w:t>
      </w:r>
      <w:r>
        <w:rPr>
          <w:sz w:val="20"/>
          <w:szCs w:val="20"/>
          <w:color w:val="auto"/>
        </w:rPr>
        <w:tab/>
      </w:r>
      <w:r>
        <w:rPr>
          <w:rFonts w:ascii="Arial" w:cs="Arial" w:eastAsia="Arial" w:hAnsi="Arial"/>
          <w:sz w:val="14"/>
          <w:szCs w:val="14"/>
          <w:b w:val="1"/>
          <w:bCs w:val="1"/>
          <w:color w:val="auto"/>
        </w:rPr>
        <w:t>1,183,088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37465</wp:posOffset>
            </wp:positionV>
            <wp:extent cx="2400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6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-130175</wp:posOffset>
            </wp:positionV>
            <wp:extent cx="2400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80" w:top="12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245,990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239,573</w:t>
            </w:r>
          </w:p>
        </w:tc>
      </w:tr>
      <w:tr>
        <w:trPr>
          <w:trHeight w:val="270"/>
        </w:trPr>
        <w:tc>
          <w:tcPr>
            <w:tcW w:w="74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162,656</w:t>
            </w: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157,240</w:t>
            </w:r>
          </w:p>
        </w:tc>
      </w:tr>
      <w:tr>
        <w:trPr>
          <w:trHeight w:val="263"/>
        </w:trPr>
        <w:tc>
          <w:tcPr>
            <w:tcW w:w="74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83,334</w:t>
            </w:r>
          </w:p>
        </w:tc>
        <w:tc>
          <w:tcPr>
            <w:tcW w:w="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82,333</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0"/>
        </w:trPr>
        <w:tc>
          <w:tcPr>
            <w:tcW w:w="7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32,531</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18,047</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Impairment and restructuring charges</w:t>
            </w: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65,472</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27,487</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16,861</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28,321</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18,962</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22,466</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14,762</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22,411</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14,695</w:t>
            </w:r>
          </w:p>
        </w:tc>
      </w:tr>
      <w:tr>
        <w:trPr>
          <w:trHeight w:val="67"/>
        </w:trPr>
        <w:tc>
          <w:tcPr>
            <w:tcW w:w="74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0"/>
        </w:trPr>
        <w:tc>
          <w:tcPr>
            <w:tcW w:w="7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w w:val="92"/>
              </w:rPr>
              <w:t>Weighted-average number of shares used in computing earnings per share attributable to ExlService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Holdings Inc. stockholders: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34,401,565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34,374,815</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34,720,603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34,833,435</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320" w:top="337" w:right="7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CONSOLIDATED STATEMENTS OF COMPREHENSIVE (LOSS)/INCOME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79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14,695</w:t>
            </w:r>
          </w:p>
        </w:tc>
      </w:tr>
      <w:tr>
        <w:trPr>
          <w:trHeight w:val="224"/>
        </w:trPr>
        <w:tc>
          <w:tcPr>
            <w:tcW w:w="7980" w:type="dxa"/>
            <w:vAlign w:val="bottom"/>
          </w:tcPr>
          <w:p>
            <w:pPr>
              <w:ind w:left="60"/>
              <w:spacing w:after="0"/>
              <w:rPr>
                <w:sz w:val="20"/>
                <w:szCs w:val="20"/>
                <w:color w:val="auto"/>
              </w:rPr>
            </w:pPr>
            <w:r>
              <w:rPr>
                <w:rFonts w:ascii="Arial" w:cs="Arial" w:eastAsia="Arial" w:hAnsi="Arial"/>
                <w:sz w:val="16"/>
                <w:szCs w:val="16"/>
                <w:b w:val="1"/>
                <w:bCs w:val="1"/>
                <w:color w:val="auto"/>
              </w:rPr>
              <w:t>Other comprehensive (loss)/income: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6"/>
        </w:trPr>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Unrealized (loss)/gain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5,937</w:t>
            </w:r>
          </w:p>
        </w:tc>
      </w:tr>
      <w:tr>
        <w:trPr>
          <w:trHeight w:val="243"/>
        </w:trPr>
        <w:tc>
          <w:tcPr>
            <w:tcW w:w="7980" w:type="dxa"/>
            <w:vAlign w:val="bottom"/>
          </w:tcPr>
          <w:p>
            <w:pPr>
              <w:ind w:left="380"/>
              <w:spacing w:after="0"/>
              <w:rPr>
                <w:sz w:val="20"/>
                <w:szCs w:val="20"/>
                <w:color w:val="auto"/>
              </w:rPr>
            </w:pPr>
            <w:r>
              <w:rPr>
                <w:rFonts w:ascii="Arial" w:cs="Arial" w:eastAsia="Arial" w:hAnsi="Arial"/>
                <w:sz w:val="16"/>
                <w:szCs w:val="16"/>
                <w:color w:val="auto"/>
              </w:rPr>
              <w:t>Foreign currency translation (loss)/gain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2,680</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Reclassification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6"/>
                <w:szCs w:val="16"/>
                <w:color w:val="auto"/>
              </w:rPr>
              <w:t>Gain on cash flow hedges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Retirement benefits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Income tax benefit/(expense) relating to above</w:t>
            </w:r>
            <w:r>
              <w:rPr>
                <w:rFonts w:ascii="Arial" w:cs="Arial" w:eastAsia="Arial" w:hAnsi="Arial"/>
                <w:sz w:val="21"/>
                <w:szCs w:val="21"/>
                <w:b w:val="1"/>
                <w:bCs w:val="1"/>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63"/>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comprehensive (loss)/income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6,255</w:t>
            </w:r>
          </w:p>
        </w:tc>
      </w:tr>
      <w:tr>
        <w:trPr>
          <w:trHeight w:val="23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(loss)/income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20,950</w:t>
            </w:r>
          </w:p>
        </w:tc>
      </w:tr>
      <w:tr>
        <w:trPr>
          <w:trHeight w:val="27"/>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40" w:hanging="532"/>
        <w:spacing w:after="0" w:line="27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16 to the unaudited consolidated financial statements.</w:t>
      </w:r>
    </w:p>
    <w:p>
      <w:pPr>
        <w:spacing w:after="0" w:line="145" w:lineRule="exact"/>
        <w:rPr>
          <w:rFonts w:ascii="Arial" w:cs="Arial" w:eastAsia="Arial" w:hAnsi="Arial"/>
          <w:sz w:val="16"/>
          <w:szCs w:val="16"/>
          <w:i w:val="1"/>
          <w:iCs w:val="1"/>
          <w:color w:val="auto"/>
        </w:rPr>
      </w:pPr>
    </w:p>
    <w:p>
      <w:pPr>
        <w:ind w:left="540" w:hanging="532"/>
        <w:spacing w:after="0" w:line="27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19 to the unaudited consolidated financial statements.</w:t>
      </w:r>
    </w:p>
    <w:p>
      <w:pPr>
        <w:spacing w:after="0" w:line="145" w:lineRule="exact"/>
        <w:rPr>
          <w:rFonts w:ascii="Arial" w:cs="Arial" w:eastAsia="Arial" w:hAnsi="Arial"/>
          <w:sz w:val="16"/>
          <w:szCs w:val="16"/>
          <w:i w:val="1"/>
          <w:iCs w:val="1"/>
          <w:color w:val="auto"/>
        </w:rPr>
      </w:pPr>
    </w:p>
    <w:p>
      <w:pPr>
        <w:ind w:left="540" w:hanging="532"/>
        <w:spacing w:after="0"/>
        <w:tabs>
          <w:tab w:leader="none" w:pos="5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These are income tax benefit/(expense) recognized on cash flow hedges and retirement benefits. Refer to Note 21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96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860" w:type="dxa"/>
            <w:vAlign w:val="bottom"/>
            <w:gridSpan w:val="4"/>
          </w:tcPr>
          <w:p>
            <w:pPr>
              <w:ind w:left="42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3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3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31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3120" w:type="dxa"/>
            <w:vAlign w:val="bottom"/>
          </w:tcPr>
          <w:p>
            <w:pPr>
              <w:spacing w:after="0"/>
              <w:rPr>
                <w:sz w:val="8"/>
                <w:szCs w:val="8"/>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2020</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38,480,654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391,240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551,903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(84,892)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(4,295,413)</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(188,289)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w w:val="91"/>
              </w:rPr>
              <w:t>Stock issued against stock-based compensation plans</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333,121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73"/>
        </w:trPr>
        <w:tc>
          <w:tcPr>
            <w:tcW w:w="3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80"/>
        </w:trPr>
        <w:tc>
          <w:tcPr>
            <w:tcW w:w="312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(202,366)</w:t>
            </w:r>
          </w:p>
        </w:tc>
        <w:tc>
          <w:tcPr>
            <w:tcW w:w="1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(13,995)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(13,995)</w:t>
            </w:r>
          </w:p>
        </w:tc>
        <w:tc>
          <w:tcPr>
            <w:tcW w:w="0" w:type="dxa"/>
            <w:vAlign w:val="bottom"/>
          </w:tcPr>
          <w:p>
            <w:pPr>
              <w:spacing w:after="0"/>
              <w:rPr>
                <w:sz w:val="1"/>
                <w:szCs w:val="1"/>
                <w:color w:val="auto"/>
              </w:rPr>
            </w:pPr>
          </w:p>
        </w:tc>
      </w:tr>
      <w:tr>
        <w:trPr>
          <w:trHeight w:val="73"/>
        </w:trPr>
        <w:tc>
          <w:tcPr>
            <w:tcW w:w="3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(28,212)</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(28,212)</w:t>
            </w:r>
          </w:p>
        </w:tc>
        <w:tc>
          <w:tcPr>
            <w:tcW w:w="0" w:type="dxa"/>
            <w:vAlign w:val="bottom"/>
          </w:tcPr>
          <w:p>
            <w:pPr>
              <w:spacing w:after="0"/>
              <w:rPr>
                <w:sz w:val="1"/>
                <w:szCs w:val="1"/>
                <w:color w:val="auto"/>
              </w:rPr>
            </w:pPr>
          </w:p>
        </w:tc>
      </w:tr>
      <w:tr>
        <w:trPr>
          <w:trHeight w:val="80"/>
        </w:trPr>
        <w:tc>
          <w:tcPr>
            <w:tcW w:w="312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22,411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22,411</w:t>
            </w:r>
          </w:p>
        </w:tc>
        <w:tc>
          <w:tcPr>
            <w:tcW w:w="0" w:type="dxa"/>
            <w:vAlign w:val="bottom"/>
          </w:tcPr>
          <w:p>
            <w:pPr>
              <w:spacing w:after="0"/>
              <w:rPr>
                <w:sz w:val="1"/>
                <w:szCs w:val="1"/>
                <w:color w:val="auto"/>
              </w:rPr>
            </w:pPr>
          </w:p>
        </w:tc>
      </w:tr>
      <w:tr>
        <w:trPr>
          <w:trHeight w:val="73"/>
        </w:trPr>
        <w:tc>
          <w:tcPr>
            <w:tcW w:w="3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38,813,775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396,939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574,314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(4,497,779)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 (202,284)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655,904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January 1, 2019</w:t>
      </w:r>
    </w:p>
    <w:p>
      <w:pPr>
        <w:spacing w:after="0" w:line="57"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against stock-based compensation plans</w:t>
      </w:r>
    </w:p>
    <w:p>
      <w:pPr>
        <w:spacing w:after="0" w:line="12" w:lineRule="exact"/>
        <w:rPr>
          <w:sz w:val="20"/>
          <w:szCs w:val="20"/>
          <w:color w:val="auto"/>
        </w:rPr>
      </w:pPr>
    </w:p>
    <w:p>
      <w:pPr>
        <w:ind w:left="40" w:right="220"/>
        <w:spacing w:after="0" w:line="433" w:lineRule="auto"/>
        <w:rPr>
          <w:sz w:val="20"/>
          <w:szCs w:val="20"/>
          <w:color w:val="auto"/>
        </w:rPr>
      </w:pPr>
      <w:r>
        <w:rPr>
          <w:rFonts w:ascii="Arial" w:cs="Arial" w:eastAsia="Arial" w:hAnsi="Arial"/>
          <w:sz w:val="13"/>
          <w:szCs w:val="13"/>
          <w:color w:val="auto"/>
        </w:rPr>
        <w:t>Stock-based compensation Acquisition of treasury stock</w:t>
      </w:r>
    </w:p>
    <w:p>
      <w:pPr>
        <w:spacing w:after="0" w:line="1" w:lineRule="exact"/>
        <w:rPr>
          <w:sz w:val="20"/>
          <w:szCs w:val="20"/>
          <w:color w:val="auto"/>
        </w:rPr>
      </w:pPr>
    </w:p>
    <w:p>
      <w:pPr>
        <w:ind w:left="40" w:right="40"/>
        <w:spacing w:after="0" w:line="264" w:lineRule="auto"/>
        <w:rPr>
          <w:sz w:val="20"/>
          <w:szCs w:val="20"/>
          <w:color w:val="auto"/>
        </w:rPr>
      </w:pPr>
      <w:r>
        <w:rPr>
          <w:rFonts w:ascii="Arial" w:cs="Arial" w:eastAsia="Arial" w:hAnsi="Arial"/>
          <w:sz w:val="13"/>
          <w:szCs w:val="13"/>
          <w:color w:val="auto"/>
        </w:rPr>
        <w:t>Allocation of equity component related to issuance costs on convertible notes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as of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4"/>
          </w:tcPr>
          <w:p>
            <w:pPr>
              <w:ind w:lef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Non -</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Controlling</w:t>
            </w:r>
          </w:p>
        </w:tc>
        <w:tc>
          <w:tcPr>
            <w:tcW w:w="880" w:type="dxa"/>
            <w:vAlign w:val="bottom"/>
            <w:gridSpan w:val="2"/>
            <w:vMerge w:val="restart"/>
          </w:tcPr>
          <w:p>
            <w:pPr>
              <w:ind w:left="60"/>
              <w:spacing w:after="0" w:line="139" w:lineRule="exact"/>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4"/>
                <w:szCs w:val="14"/>
                <w:b w:val="1"/>
                <w:bCs w:val="1"/>
                <w:color w:val="auto"/>
              </w:rPr>
              <w:t>Earnings</w:t>
            </w:r>
          </w:p>
        </w:tc>
        <w:tc>
          <w:tcPr>
            <w:tcW w:w="1440" w:type="dxa"/>
            <w:vAlign w:val="bottom"/>
            <w:gridSpan w:val="3"/>
            <w:vMerge w:val="restart"/>
          </w:tcPr>
          <w:p>
            <w:pPr>
              <w:ind w:left="20"/>
              <w:spacing w:after="0" w:line="125" w:lineRule="exact"/>
              <w:rPr>
                <w:sz w:val="20"/>
                <w:szCs w:val="20"/>
                <w:color w:val="auto"/>
              </w:rPr>
            </w:pPr>
            <w:r>
              <w:rPr>
                <w:rFonts w:ascii="Arial" w:cs="Arial" w:eastAsia="Arial" w:hAnsi="Arial"/>
                <w:sz w:val="14"/>
                <w:szCs w:val="14"/>
                <w:b w:val="1"/>
                <w:bCs w:val="1"/>
                <w:color w:val="auto"/>
                <w:w w:val="98"/>
              </w:rPr>
              <w:t>Comprehensive Loss</w:t>
            </w: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37,850,544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364,179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484,244</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(83,467)</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(3,628,068)</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 (146,925)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618,319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405,492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(262,531)</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(15,408)</w:t>
            </w:r>
          </w:p>
        </w:tc>
        <w:tc>
          <w:tcPr>
            <w:tcW w:w="0" w:type="dxa"/>
            <w:vAlign w:val="bottom"/>
          </w:tcPr>
          <w:p>
            <w:pPr>
              <w:spacing w:after="0"/>
              <w:rPr>
                <w:sz w:val="1"/>
                <w:szCs w:val="1"/>
                <w:color w:val="auto"/>
              </w:rPr>
            </w:pPr>
          </w:p>
        </w:tc>
      </w:tr>
      <w:tr>
        <w:trPr>
          <w:trHeight w:val="50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6,255</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6,255</w:t>
            </w:r>
          </w:p>
        </w:tc>
        <w:tc>
          <w:tcPr>
            <w:tcW w:w="0" w:type="dxa"/>
            <w:vAlign w:val="bottom"/>
          </w:tcPr>
          <w:p>
            <w:pPr>
              <w:spacing w:after="0"/>
              <w:rPr>
                <w:sz w:val="1"/>
                <w:szCs w:val="1"/>
                <w:color w:val="auto"/>
              </w:rPr>
            </w:pPr>
          </w:p>
        </w:tc>
      </w:tr>
      <w:tr>
        <w:trPr>
          <w:trHeight w:val="276"/>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14,695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14,695</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38,256,036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371,144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498,939</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(77,212)</w:t>
            </w: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(3,890,599)</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(162,333)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630,835</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-1281430</wp:posOffset>
            </wp:positionH>
            <wp:positionV relativeFrom="paragraph">
              <wp:posOffset>-1757045</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-1362075</wp:posOffset>
            </wp:positionV>
            <wp:extent cx="71234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-1019810</wp:posOffset>
            </wp:positionV>
            <wp:extent cx="712343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31750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-530860</wp:posOffset>
            </wp:positionV>
            <wp:extent cx="71234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-1281430</wp:posOffset>
            </wp:positionH>
            <wp:positionV relativeFrom="paragraph">
              <wp:posOffset>-187960</wp:posOffset>
            </wp:positionV>
            <wp:extent cx="71234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120"/>
            <w:col w:w="920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7"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7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22,411</w:t>
            </w:r>
          </w:p>
        </w:tc>
        <w:tc>
          <w:tcPr>
            <w:tcW w:w="100" w:type="dxa"/>
            <w:vAlign w:val="bottom"/>
          </w:tcPr>
          <w:p>
            <w:pPr>
              <w:spacing w:after="0"/>
              <w:rPr>
                <w:sz w:val="16"/>
                <w:szCs w:val="16"/>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14,695</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(used for)/provided by operating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Depreciation and amortization expense</w:t>
            </w: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12,472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13,724</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Amortization of operating lease right-of-use assets</w:t>
            </w: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7,017</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Unrealized gain on short term investments</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(3,185)</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Unrealized foreign exchange (gain)/loss, net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(5,112)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 expense</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Allowance for expected credit losses</w:t>
            </w: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from equity-method investment</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charges</w:t>
            </w:r>
          </w:p>
        </w:tc>
        <w:tc>
          <w:tcPr>
            <w:tcW w:w="38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Others, net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(1,401)</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(17,518)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(12,016)</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80"/>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7760" w:type="dxa"/>
            <w:vAlign w:val="bottom"/>
          </w:tcPr>
          <w:p>
            <w:pPr>
              <w:ind w:left="380"/>
              <w:spacing w:after="0"/>
              <w:rPr>
                <w:sz w:val="20"/>
                <w:szCs w:val="20"/>
                <w:color w:val="auto"/>
              </w:rPr>
            </w:pPr>
            <w:r>
              <w:rPr>
                <w:rFonts w:ascii="Arial" w:cs="Arial" w:eastAsia="Arial" w:hAnsi="Arial"/>
                <w:sz w:val="14"/>
                <w:szCs w:val="14"/>
                <w:color w:val="auto"/>
              </w:rPr>
              <w:t>Advance income tax, net</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(1,159)</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2,579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Accrued employee costs</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(37,046)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(22,436)</w:t>
            </w:r>
          </w:p>
        </w:tc>
        <w:tc>
          <w:tcPr>
            <w:tcW w:w="0" w:type="dxa"/>
            <w:vAlign w:val="bottom"/>
          </w:tcPr>
          <w:p>
            <w:pPr>
              <w:spacing w:after="0"/>
              <w:rPr>
                <w:sz w:val="1"/>
                <w:szCs w:val="1"/>
                <w:color w:val="auto"/>
              </w:rPr>
            </w:pPr>
          </w:p>
        </w:tc>
      </w:tr>
      <w:tr>
        <w:trPr>
          <w:trHeight w:val="73"/>
        </w:trPr>
        <w:tc>
          <w:tcPr>
            <w:tcW w:w="7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5,837</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(6,576)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(5,199)</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for)/provided by operating activities</w:t>
            </w: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(13,555)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8,343</w:t>
            </w:r>
          </w:p>
        </w:tc>
        <w:tc>
          <w:tcPr>
            <w:tcW w:w="0" w:type="dxa"/>
            <w:vAlign w:val="bottom"/>
          </w:tcPr>
          <w:p>
            <w:pPr>
              <w:spacing w:after="0"/>
              <w:rPr>
                <w:sz w:val="1"/>
                <w:szCs w:val="1"/>
                <w:color w:val="auto"/>
              </w:rPr>
            </w:pPr>
          </w:p>
        </w:tc>
      </w:tr>
      <w:tr>
        <w:trPr>
          <w:trHeight w:val="73"/>
        </w:trPr>
        <w:tc>
          <w:tcPr>
            <w:tcW w:w="776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111125</wp:posOffset>
            </wp:positionV>
            <wp:extent cx="71234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337" w:right="339" w:bottom="622" w:gutter="0" w:footer="0" w:header="0"/>
        </w:sectPr>
      </w:pPr>
    </w:p>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Purchases of property and equipment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Investment in equity affiliate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Purchase of investments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Proceeds from redemption of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cash provided by/(used for)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80" w:type="dxa"/>
            <w:vAlign w:val="bottom"/>
          </w:tcPr>
          <w:p>
            <w:pPr>
              <w:jc w:val="right"/>
              <w:spacing w:after="0"/>
              <w:rPr>
                <w:sz w:val="20"/>
                <w:szCs w:val="20"/>
                <w:color w:val="auto"/>
              </w:rPr>
            </w:pPr>
            <w:r>
              <w:rPr>
                <w:rFonts w:ascii="Arial" w:cs="Arial" w:eastAsia="Arial" w:hAnsi="Arial"/>
                <w:sz w:val="14"/>
                <w:szCs w:val="14"/>
                <w:color w:val="auto"/>
              </w:rPr>
              <w:t>(12,274)</w:t>
            </w:r>
          </w:p>
        </w:tc>
        <w:tc>
          <w:tcPr>
            <w:tcW w:w="1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(10,878)</w:t>
            </w:r>
          </w:p>
        </w:tc>
      </w:tr>
      <w:tr>
        <w:trPr>
          <w:trHeight w:val="270"/>
        </w:trPr>
        <w:tc>
          <w:tcPr>
            <w:tcW w:w="16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3"/>
                <w:szCs w:val="23"/>
                <w:color w:val="auto"/>
              </w:rPr>
            </w:pP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1680" w:type="dxa"/>
            <w:vAlign w:val="bottom"/>
          </w:tcPr>
          <w:p>
            <w:pPr>
              <w:jc w:val="right"/>
              <w:spacing w:after="0"/>
              <w:rPr>
                <w:sz w:val="20"/>
                <w:szCs w:val="20"/>
                <w:color w:val="auto"/>
              </w:rPr>
            </w:pPr>
            <w:r>
              <w:rPr>
                <w:rFonts w:ascii="Arial" w:cs="Arial" w:eastAsia="Arial" w:hAnsi="Arial"/>
                <w:sz w:val="14"/>
                <w:szCs w:val="14"/>
                <w:color w:val="auto"/>
              </w:rPr>
              <w:t>(23,830)</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(47,683)</w:t>
            </w:r>
          </w:p>
        </w:tc>
      </w:tr>
      <w:tr>
        <w:trPr>
          <w:trHeight w:val="276"/>
        </w:trPr>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72,844</w:t>
            </w: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21,361</w:t>
            </w:r>
          </w:p>
        </w:tc>
      </w:tr>
      <w:tr>
        <w:trPr>
          <w:trHeight w:val="250"/>
        </w:trPr>
        <w:tc>
          <w:tcPr>
            <w:tcW w:w="1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36,040</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-693420</wp:posOffset>
            </wp:positionV>
            <wp:extent cx="71234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-350520</wp:posOffset>
            </wp:positionV>
            <wp:extent cx="71234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712343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060" w:space="720"/>
            <w:col w:w="3460"/>
          </w:cols>
          <w:pgMar w:left="320" w:top="337" w:right="339" w:bottom="622" w:gutter="0" w:footer="0" w:header="0"/>
          <w:type w:val="continuous"/>
        </w:sect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71234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Principal payments of finance lease liabilities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Proceeds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71234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Repayments of borrowings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7123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jc w:val="right"/>
              <w:ind w:right="568"/>
              <w:spacing w:after="0"/>
              <w:rPr>
                <w:sz w:val="20"/>
                <w:szCs w:val="20"/>
                <w:color w:val="auto"/>
              </w:rPr>
            </w:pPr>
            <w:r>
              <w:rPr>
                <w:rFonts w:ascii="Arial" w:cs="Arial" w:eastAsia="Arial" w:hAnsi="Arial"/>
                <w:sz w:val="14"/>
                <w:szCs w:val="14"/>
                <w:color w:val="auto"/>
              </w:rPr>
              <w:t>(67)</w:t>
            </w:r>
          </w:p>
        </w:tc>
        <w:tc>
          <w:tcPr>
            <w:tcW w:w="114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0"/>
        </w:trPr>
        <w:tc>
          <w:tcPr>
            <w:tcW w:w="1160" w:type="dxa"/>
            <w:vAlign w:val="bottom"/>
          </w:tcPr>
          <w:p>
            <w:pPr>
              <w:jc w:val="right"/>
              <w:ind w:right="628"/>
              <w:spacing w:after="0"/>
              <w:rPr>
                <w:sz w:val="20"/>
                <w:szCs w:val="20"/>
                <w:color w:val="auto"/>
              </w:rPr>
            </w:pPr>
            <w:r>
              <w:rPr>
                <w:rFonts w:ascii="Arial" w:cs="Arial" w:eastAsia="Arial" w:hAnsi="Arial"/>
                <w:sz w:val="14"/>
                <w:szCs w:val="14"/>
                <w:color w:val="auto"/>
                <w:w w:val="86"/>
              </w:rPr>
              <w:t>110,000</w:t>
            </w:r>
          </w:p>
        </w:tc>
        <w:tc>
          <w:tcPr>
            <w:tcW w:w="1140" w:type="dxa"/>
            <w:vAlign w:val="bottom"/>
          </w:tcPr>
          <w:p>
            <w:pPr>
              <w:jc w:val="right"/>
              <w:spacing w:after="0"/>
              <w:rPr>
                <w:sz w:val="20"/>
                <w:szCs w:val="20"/>
                <w:color w:val="auto"/>
              </w:rPr>
            </w:pPr>
            <w:r>
              <w:rPr>
                <w:rFonts w:ascii="Arial" w:cs="Arial" w:eastAsia="Arial" w:hAnsi="Arial"/>
                <w:sz w:val="14"/>
                <w:szCs w:val="14"/>
                <w:color w:val="auto"/>
              </w:rPr>
              <w:t>46,000</w:t>
            </w:r>
          </w:p>
        </w:tc>
      </w:tr>
      <w:tr>
        <w:trPr>
          <w:trHeight w:val="270"/>
        </w:trPr>
        <w:tc>
          <w:tcPr>
            <w:tcW w:w="1160" w:type="dxa"/>
            <w:vAlign w:val="bottom"/>
          </w:tcPr>
          <w:p>
            <w:pPr>
              <w:jc w:val="right"/>
              <w:ind w:right="568"/>
              <w:spacing w:after="0"/>
              <w:rPr>
                <w:sz w:val="20"/>
                <w:szCs w:val="20"/>
                <w:color w:val="auto"/>
              </w:rPr>
            </w:pPr>
            <w:r>
              <w:rPr>
                <w:rFonts w:ascii="Arial" w:cs="Arial" w:eastAsia="Arial" w:hAnsi="Arial"/>
                <w:sz w:val="14"/>
                <w:szCs w:val="14"/>
                <w:color w:val="auto"/>
                <w:w w:val="95"/>
              </w:rPr>
              <w:t>(10,201)</w:t>
            </w:r>
          </w:p>
        </w:tc>
        <w:tc>
          <w:tcPr>
            <w:tcW w:w="1140" w:type="dxa"/>
            <w:vAlign w:val="bottom"/>
          </w:tcPr>
          <w:p>
            <w:pPr>
              <w:jc w:val="right"/>
              <w:spacing w:after="0"/>
              <w:rPr>
                <w:sz w:val="20"/>
                <w:szCs w:val="20"/>
                <w:color w:val="auto"/>
              </w:rPr>
            </w:pPr>
            <w:r>
              <w:rPr>
                <w:rFonts w:ascii="Arial" w:cs="Arial" w:eastAsia="Arial" w:hAnsi="Arial"/>
                <w:sz w:val="14"/>
                <w:szCs w:val="14"/>
                <w:color w:val="auto"/>
              </w:rPr>
              <w:t>(10,572)</w:t>
            </w:r>
          </w:p>
        </w:tc>
      </w:tr>
      <w:tr>
        <w:trPr>
          <w:trHeight w:val="270"/>
        </w:trPr>
        <w:tc>
          <w:tcPr>
            <w:tcW w:w="11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0"/>
        </w:trPr>
        <w:tc>
          <w:tcPr>
            <w:tcW w:w="1160" w:type="dxa"/>
            <w:vAlign w:val="bottom"/>
          </w:tcPr>
          <w:p>
            <w:pPr>
              <w:jc w:val="right"/>
              <w:ind w:right="568"/>
              <w:spacing w:after="0"/>
              <w:rPr>
                <w:sz w:val="20"/>
                <w:szCs w:val="20"/>
                <w:color w:val="auto"/>
              </w:rPr>
            </w:pPr>
            <w:r>
              <w:rPr>
                <w:rFonts w:ascii="Arial" w:cs="Arial" w:eastAsia="Arial" w:hAnsi="Arial"/>
                <w:sz w:val="14"/>
                <w:szCs w:val="14"/>
                <w:color w:val="auto"/>
                <w:w w:val="95"/>
              </w:rPr>
              <w:t>(13,995)</w:t>
            </w:r>
          </w:p>
        </w:tc>
        <w:tc>
          <w:tcPr>
            <w:tcW w:w="1140" w:type="dxa"/>
            <w:vAlign w:val="bottom"/>
          </w:tcPr>
          <w:p>
            <w:pPr>
              <w:jc w:val="right"/>
              <w:spacing w:after="0"/>
              <w:rPr>
                <w:sz w:val="20"/>
                <w:szCs w:val="20"/>
                <w:color w:val="auto"/>
              </w:rPr>
            </w:pPr>
            <w:r>
              <w:rPr>
                <w:rFonts w:ascii="Arial" w:cs="Arial" w:eastAsia="Arial" w:hAnsi="Arial"/>
                <w:sz w:val="14"/>
                <w:szCs w:val="14"/>
                <w:color w:val="auto"/>
              </w:rPr>
              <w:t>(15,408)</w:t>
            </w:r>
          </w:p>
        </w:tc>
      </w:tr>
      <w:tr>
        <w:trPr>
          <w:trHeight w:val="270"/>
        </w:trPr>
        <w:tc>
          <w:tcPr>
            <w:tcW w:w="1160" w:type="dxa"/>
            <w:vAlign w:val="bottom"/>
          </w:tcPr>
          <w:p>
            <w:pPr>
              <w:jc w:val="right"/>
              <w:ind w:right="628"/>
              <w:spacing w:after="0"/>
              <w:rPr>
                <w:sz w:val="20"/>
                <w:szCs w:val="20"/>
                <w:color w:val="auto"/>
              </w:rPr>
            </w:pPr>
            <w:r>
              <w:rPr>
                <w:rFonts w:ascii="Arial" w:cs="Arial" w:eastAsia="Arial" w:hAnsi="Arial"/>
                <w:sz w:val="14"/>
                <w:szCs w:val="14"/>
                <w:color w:val="auto"/>
              </w:rPr>
              <w:t>921</w:t>
            </w: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r>
    </w:tbl>
    <w:p>
      <w:pPr>
        <w:spacing w:after="0" w:line="1" w:lineRule="exact"/>
        <w:rPr>
          <w:sz w:val="20"/>
          <w:szCs w:val="20"/>
          <w:color w:val="auto"/>
        </w:rPr>
      </w:pPr>
    </w:p>
    <w:p>
      <w:pPr>
        <w:sectPr>
          <w:pgSz w:w="11900" w:h="16838" w:orient="portrait"/>
          <w:cols w:equalWidth="0" w:num="2">
            <w:col w:w="8160" w:space="720"/>
            <w:col w:w="2360"/>
          </w:cols>
          <w:pgMar w:left="320" w:top="337" w:right="339" w:bottom="622" w:gutter="0" w:footer="0" w:header="0"/>
          <w:type w:val="continuous"/>
        </w:sectPr>
      </w:pPr>
    </w:p>
    <w:tbl>
      <w:tblPr>
        <w:tblLayout w:type="fixed"/>
        <w:tblInd w:w="20" w:type="dxa"/>
        <w:tblCellMar>
          <w:top w:w="0" w:type="dxa"/>
          <w:left w:w="0" w:type="dxa"/>
          <w:bottom w:w="0" w:type="dxa"/>
          <w:right w:w="0" w:type="dxa"/>
        </w:tblCellMar>
      </w:tblPr>
      <w:tr>
        <w:trPr>
          <w:trHeight w:val="262"/>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580" w:type="dxa"/>
            <w:vAlign w:val="bottom"/>
            <w:tcBorders>
              <w:top w:val="single" w:sz="8" w:color="auto"/>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86,658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19,808</w:t>
            </w:r>
          </w:p>
        </w:tc>
        <w:tc>
          <w:tcPr>
            <w:tcW w:w="0" w:type="dxa"/>
            <w:vAlign w:val="bottom"/>
          </w:tcPr>
          <w:p>
            <w:pPr>
              <w:spacing w:after="0"/>
              <w:rPr>
                <w:sz w:val="1"/>
                <w:szCs w:val="1"/>
                <w:color w:val="auto"/>
              </w:rPr>
            </w:pPr>
          </w:p>
        </w:tc>
      </w:tr>
      <w:tr>
        <w:trPr>
          <w:trHeight w:val="171"/>
        </w:trPr>
        <w:tc>
          <w:tcPr>
            <w:tcW w:w="77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5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increase/(decrease) in cash, cash equivalents and restricted cash</w:t>
            </w:r>
          </w:p>
        </w:tc>
        <w:tc>
          <w:tcPr>
            <w:tcW w:w="5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106,490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(9,504)</w:t>
            </w:r>
          </w:p>
        </w:tc>
        <w:tc>
          <w:tcPr>
            <w:tcW w:w="0" w:type="dxa"/>
            <w:vAlign w:val="bottom"/>
          </w:tcPr>
          <w:p>
            <w:pPr>
              <w:spacing w:after="0"/>
              <w:rPr>
                <w:sz w:val="1"/>
                <w:szCs w:val="1"/>
                <w:color w:val="auto"/>
              </w:rPr>
            </w:pPr>
          </w:p>
        </w:tc>
      </w:tr>
      <w:tr>
        <w:trPr>
          <w:trHeight w:val="79"/>
        </w:trPr>
        <w:tc>
          <w:tcPr>
            <w:tcW w:w="77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7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the beginning of the period</w:t>
            </w:r>
          </w:p>
        </w:tc>
        <w:tc>
          <w:tcPr>
            <w:tcW w:w="580" w:type="dxa"/>
            <w:vAlign w:val="bottom"/>
          </w:tcPr>
          <w:p>
            <w:pPr>
              <w:spacing w:after="0"/>
              <w:rPr>
                <w:sz w:val="16"/>
                <w:szCs w:val="16"/>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127,044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104,131</w:t>
            </w:r>
          </w:p>
        </w:tc>
        <w:tc>
          <w:tcPr>
            <w:tcW w:w="0" w:type="dxa"/>
            <w:vAlign w:val="bottom"/>
          </w:tcPr>
          <w:p>
            <w:pPr>
              <w:spacing w:after="0"/>
              <w:rPr>
                <w:sz w:val="1"/>
                <w:szCs w:val="1"/>
                <w:color w:val="auto"/>
              </w:rPr>
            </w:pPr>
          </w:p>
        </w:tc>
      </w:tr>
      <w:tr>
        <w:trPr>
          <w:trHeight w:val="73"/>
        </w:trPr>
        <w:tc>
          <w:tcPr>
            <w:tcW w:w="776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period</w:t>
            </w:r>
          </w:p>
        </w:tc>
        <w:tc>
          <w:tcPr>
            <w:tcW w:w="58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233,534</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94,627</w:t>
            </w:r>
          </w:p>
        </w:tc>
        <w:tc>
          <w:tcPr>
            <w:tcW w:w="0" w:type="dxa"/>
            <w:vAlign w:val="bottom"/>
          </w:tcPr>
          <w:p>
            <w:pPr>
              <w:spacing w:after="0"/>
              <w:rPr>
                <w:sz w:val="1"/>
                <w:szCs w:val="1"/>
                <w:color w:val="auto"/>
              </w:rPr>
            </w:pPr>
          </w:p>
        </w:tc>
      </w:tr>
      <w:tr>
        <w:trPr>
          <w:trHeight w:val="60"/>
        </w:trPr>
        <w:tc>
          <w:tcPr>
            <w:tcW w:w="776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240"/>
          </w:cols>
          <w:pgMar w:left="320" w:top="337" w:right="339" w:bottom="622"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337" w:right="339" w:bottom="622"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00" w:lineRule="exact"/>
        <w:rPr>
          <w:sz w:val="20"/>
          <w:szCs w:val="20"/>
          <w:color w:val="auto"/>
        </w:rPr>
      </w:pPr>
    </w:p>
    <w:p>
      <w:pPr>
        <w:spacing w:after="0" w:line="24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2019.</w:t>
      </w:r>
    </w:p>
    <w:p>
      <w:pPr>
        <w:spacing w:after="0" w:line="15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those financial statements.</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18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the Company’s businesses and to simplify its organizational structure. Under the new structure, the Company reports its financial performance based on new segments described in Note 3 - Segment and Geographical Information to the unaudited consolidated financial statements. In conjunction with the new reporting structure, the Company has recast certain prior period amounts, wherever applicable, to conform to the way the Company internally manages and monitors segment performance. This change primarily impacted Note 3 - Segment and Geographical Information and Note 9 - Goodwill to the unaudited consolidated financial statements, with no impact on the unaudited consolidated balance sheets, statements of income, comprehensive (loss)/income, equity and cash flows.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7"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environment, actual results may be different from those estimates. The significant estimates and assumptions that affect the unaudited consolidated financial statements include, but are not limited to, allowance for expected credit losses,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Leases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determines if an arrangement is a lease at inception of the contract. Operating leases are recorded in "operating lease right-of-use ("ROU") assets", "current portion of operating lease liabilities" and "operating lease liabilities, less current portion" in the Company's unaudited consolidated balance sheets. Finance leases are recorded in "property and equipment", "current portion of finance lease liabilities" and "finance lease liabilities, less current portion" in the Company's unaudited consolidated balance sheets.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ROU assets represent the Company’s right to use an underlying asset during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for determining the present value of lease payments. Lease terms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w:t>
      </w:r>
    </w:p>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On January 1, 2019, the date of initial application, the Company adopted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using the modified retrospective method. The modified retrospective method provides a method of recognizing those leases which had not expired as of the date of adoption of January 1, 2019.</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 The adoption had no impact on opening balance of retained earnings. Refer to Note 20 to the unaudited consolidated financial statements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Recent Accounting Pronouncements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 Update (“ASU”) No. 2018-14, </w:t>
      </w:r>
      <w:r>
        <w:rPr>
          <w:rFonts w:ascii="Arial" w:cs="Arial" w:eastAsia="Arial" w:hAnsi="Arial"/>
          <w:sz w:val="17"/>
          <w:szCs w:val="17"/>
          <w:i w:val="1"/>
          <w:iCs w:val="1"/>
          <w:color w:val="auto"/>
        </w:rPr>
        <w:t xml:space="preserve">Compensation-Retirement Benefits-Defined Benefit Plans-General </w:t>
      </w:r>
      <w:r>
        <w:rPr>
          <w:rFonts w:ascii="Arial" w:cs="Arial" w:eastAsia="Arial" w:hAnsi="Arial"/>
          <w:sz w:val="17"/>
          <w:szCs w:val="17"/>
          <w:color w:val="auto"/>
        </w:rPr>
        <w:t>(("Subtopic 715-20")): Changes to the Disclosure Requirements for Defined Benefit Plans.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ASU remove disclosures that no longer are considered cost beneficial, clarify the specific requirements of disclosures, and add disclosure requirements identified as relevant. The amendments in this ASU are effective for fiscal years beginning after December 15, 2020. Early adoption is permitted. The adoption of this ASU is not expected to have any material effect on the Company’s consolidated financial statements.</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March 2020, FASB issued ASU No.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This ASU provides optional guidance for a limited period of time to ease potential accounting impacts associated with transitioning</w:t>
      </w:r>
      <w:r>
        <w:rPr>
          <w:rFonts w:ascii="Arial" w:cs="Arial" w:eastAsia="Arial" w:hAnsi="Arial"/>
          <w:sz w:val="18"/>
          <w:szCs w:val="18"/>
          <w:i w:val="1"/>
          <w:iCs w:val="1"/>
          <w:color w:val="auto"/>
        </w:rPr>
        <w:t xml:space="preserve"> </w:t>
      </w:r>
      <w:r>
        <w:rPr>
          <w:rFonts w:ascii="Arial" w:cs="Arial" w:eastAsia="Arial" w:hAnsi="Arial"/>
          <w:sz w:val="18"/>
          <w:szCs w:val="18"/>
          <w:color w:val="auto"/>
        </w:rPr>
        <w:t>away from reference rates that are expected to be discontinued, such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interbank offered rates and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In June 2016, FASB issued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Company adopted Topic 326 as of January 1, 2020 using a modified retrospective approach through a cumulative-effect adjustment to its retained earnings. The adoption of the ASU had no impact to equity as of January 1, 2020 with a corresponding offset to accounts receivable. Further, the impact of adoption of this guidance did not have a material effect on the Company's accounting policies, processes, and systems. Refer to Note 4 to the unaudited consolidated financial statements for details.</w:t>
      </w:r>
    </w:p>
    <w:p>
      <w:pPr>
        <w:spacing w:after="0" w:line="16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August 2018, FASB issued ASU No.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Changes to the Disclosure Requirements for Fair Value Measurement. The amendments in this ASU modify the disclosure requirements on fair value measurements in Topic 820, by prescribing new disclosure requirements, and the elimination and modification of disclosure requirements based on the concepts in the Concepts Statement, including the consideration of costs and benefits. The amendments in this ASU are effective for fiscal years beginning after December 15, 2019, including interim periods within those fiscal years. An entity was permitted to early adopt either the entire standard or only the provisions that eliminate or modify requirements. The early adoption of this ASU, effective January 1, 2020, did not have any material effect on the Company’s disclosures in the unaudited consolidated financial statements.</w:t>
      </w:r>
    </w:p>
    <w:p>
      <w:pPr>
        <w:spacing w:after="0" w:line="19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August 2018, FASB issued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and adoption was allowed prospectively. The adoption of this ASU effective January 1, 2020 did not have any material effect on the Company’s unaudited consolidated financial statements.</w:t>
      </w:r>
    </w:p>
    <w:p>
      <w:pPr>
        <w:spacing w:after="0" w:line="19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April 2019, FASB issued ASU No. 2019-04, </w:t>
      </w:r>
      <w:r>
        <w:rPr>
          <w:rFonts w:ascii="Arial" w:cs="Arial" w:eastAsia="Arial" w:hAnsi="Arial"/>
          <w:sz w:val="17"/>
          <w:szCs w:val="17"/>
          <w:i w:val="1"/>
          <w:iCs w:val="1"/>
          <w:color w:val="auto"/>
        </w:rPr>
        <w:t>Codification Improvements to Financial Instruments-Credit Losses</w:t>
      </w:r>
      <w:r>
        <w:rPr>
          <w:rFonts w:ascii="Arial" w:cs="Arial" w:eastAsia="Arial" w:hAnsi="Arial"/>
          <w:sz w:val="17"/>
          <w:szCs w:val="17"/>
          <w:color w:val="auto"/>
        </w:rPr>
        <w:t xml:space="preserve"> (Topic 326),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w:t>
      </w:r>
      <w:r>
        <w:rPr>
          <w:rFonts w:ascii="Arial" w:cs="Arial" w:eastAsia="Arial" w:hAnsi="Arial"/>
          <w:sz w:val="17"/>
          <w:szCs w:val="17"/>
          <w:color w:val="auto"/>
        </w:rPr>
        <w:t>(Topic 815), and</w:t>
      </w:r>
      <w:r>
        <w:rPr>
          <w:rFonts w:ascii="Arial" w:cs="Arial" w:eastAsia="Arial" w:hAnsi="Arial"/>
          <w:sz w:val="17"/>
          <w:szCs w:val="17"/>
          <w:i w:val="1"/>
          <w:iCs w:val="1"/>
          <w:color w:val="auto"/>
        </w:rPr>
        <w:t xml:space="preserve"> Financial Instruments: Targeted Transition Relief </w:t>
      </w:r>
      <w:r>
        <w:rPr>
          <w:rFonts w:ascii="Arial" w:cs="Arial" w:eastAsia="Arial" w:hAnsi="Arial"/>
          <w:sz w:val="17"/>
          <w:szCs w:val="17"/>
          <w:color w:val="auto"/>
        </w:rPr>
        <w:t>(Topic 825). The amendments clarify the scope of the credit losses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and 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the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was permitted. The adoption of this ASU did not have any material effect on the Company’s unaudited consolidated financial statements.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 May 2019, FASB issued ASU No. 2019-05,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Targeted Transition Relief. This ASU provides entities with the option to irrevocably elect the fair value option, on an instrument-by-instrument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basis in accordance with Subtopic 825-10, for certain financial instruments that are within the scope of Subtopic 326-20, upon adopting Topic 326. The fair value option election does not apply to held-to-maturity debt securities. The amendments in this ASU provide entities with targeted transition relief that is intended to increase comparability of financial statement information for some entities that otherwise would have measured similar financial instruments using different measurement methodologies. The Company adopted Topic 326 as of January 1, 2020, whereby no such fair value election was made, accordingly, the adoption of this ASU did not have any material effect on the Company’s unaudited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in the BPM industry and is a provider of operations management and analytics services.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its businesses and to simplify its organizational structure. The Company now manages and reports financial information through its four strategic business units: Insurance, Healthcare, Analytics and Emerging Business, which reflects how management will review financial information and make operating decisions. These business units will develop client-specific solutions, build capabilities, maintain a unified go-to-market approach and be integrally responsible for service delivery, customer satisfaction, growth and profitability. In line with the Company’s strategy of vertical integration and focus on domain expertise, the Company has integrated its Finance &amp; Accounting and Consulting operating segments within each of the Insurance and Healthcare operating segments based on the corresponding industry-specific clients to whom those services are provided. Finance &amp; Accounting and Consulting services to clients outside of the Insurance and Healthcare industries will now be part of the Company’s newly formed business unit and reportable segment Emerging Business. In addition, the Company integrated its former Travel, Transportation and Logistics, Banking and Financial Services, and Utilities operating segments under the Emerging Business unit to further leverage and optimize the operating scale in providing operations management services.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new reportable segments effective January 1, 2020 are as follows:</w:t>
      </w:r>
    </w:p>
    <w:p>
      <w:pPr>
        <w:spacing w:after="0" w:line="225"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Emerging Business,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conjunction with the new reporting structure, the Company has recasted its segment disclosures for prior periods presented to conform to the way the Company internally manages and monitors segment performance.</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and cost of revenues for the three months ended March 31, 2020 and 2019,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183515</wp:posOffset>
            </wp:positionV>
            <wp:extent cx="4020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1"/>
          </w:tcPr>
          <w:p>
            <w:pPr>
              <w:jc w:val="center"/>
              <w:ind w:left="48"/>
              <w:spacing w:after="0"/>
              <w:rPr>
                <w:sz w:val="20"/>
                <w:szCs w:val="20"/>
                <w:color w:val="auto"/>
              </w:rPr>
            </w:pPr>
            <w:r>
              <w:rPr>
                <w:rFonts w:ascii="Arial" w:cs="Arial" w:eastAsia="Arial" w:hAnsi="Arial"/>
                <w:sz w:val="14"/>
                <w:szCs w:val="14"/>
                <w:b w:val="1"/>
                <w:bCs w:val="1"/>
                <w:color w:val="auto"/>
                <w:w w:val="93"/>
              </w:rPr>
              <w:t>Three months ended March 31, 2020</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Emerging</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Insurance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5"/>
              </w:rPr>
              <w:t>Healthcare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2"/>
              </w:rPr>
              <w:t>Business</w:t>
            </w:r>
          </w:p>
        </w:tc>
        <w:tc>
          <w:tcPr>
            <w:tcW w:w="120" w:type="dxa"/>
            <w:vAlign w:val="bottom"/>
          </w:tcPr>
          <w:p>
            <w:pPr>
              <w:spacing w:after="0"/>
              <w:rPr>
                <w:sz w:val="20"/>
                <w:szCs w:val="20"/>
                <w:color w:val="auto"/>
              </w:rPr>
            </w:pPr>
          </w:p>
        </w:tc>
        <w:tc>
          <w:tcPr>
            <w:tcW w:w="1220" w:type="dxa"/>
            <w:vAlign w:val="bottom"/>
            <w:gridSpan w:val="6"/>
          </w:tcPr>
          <w:p>
            <w:pPr>
              <w:ind w:left="1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27,029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42,791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245,990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7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58,965</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19,593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0"/>
              </w:rPr>
              <w:t>25,482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58,616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162,656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17,309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33,815</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55,847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3"/>
              </w:rPr>
              <w:t>Foreign exchange gain, interest expense and 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spacing w:after="0"/>
              <w:rPr>
                <w:sz w:val="24"/>
                <w:szCs w:val="24"/>
                <w:color w:val="auto"/>
              </w:rPr>
            </w:pPr>
          </w:p>
        </w:tc>
        <w:tc>
          <w:tcPr>
            <w:tcW w:w="106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Three months ended March 31, 2019</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Emerging</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Insurance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Healthcare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2"/>
              </w:rPr>
              <w:t>Business</w:t>
            </w:r>
          </w:p>
        </w:tc>
        <w:tc>
          <w:tcPr>
            <w:tcW w:w="120" w:type="dxa"/>
            <w:vAlign w:val="bottom"/>
          </w:tcPr>
          <w:p>
            <w:pPr>
              <w:spacing w:after="0"/>
              <w:rPr>
                <w:sz w:val="20"/>
                <w:szCs w:val="20"/>
                <w:color w:val="auto"/>
              </w:rPr>
            </w:pPr>
          </w:p>
        </w:tc>
        <w:tc>
          <w:tcPr>
            <w:tcW w:w="1220" w:type="dxa"/>
            <w:vAlign w:val="bottom"/>
            <w:gridSpan w:val="6"/>
          </w:tcPr>
          <w:p>
            <w:pPr>
              <w:ind w:left="18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81,286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22,248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49,078</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86,961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239,573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47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55,243</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17,802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4"/>
              </w:rPr>
              <w:t>27,293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8"/>
              </w:rPr>
              <w:t>56,902</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157,240</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474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26,043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4,446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21,785</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82,333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65,472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Foreign exchange gain, interest expense and 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equity-method investment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7"/>
        </w:trPr>
        <w:tc>
          <w:tcPr>
            <w:tcW w:w="4860" w:type="dxa"/>
            <w:vAlign w:val="bottom"/>
            <w:gridSpan w:val="3"/>
            <w:vMerge w:val="restart"/>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Exclusive of depreciation and amortization expense.</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8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20" w:type="dxa"/>
            <w:vAlign w:val="bottom"/>
          </w:tcPr>
          <w:p>
            <w:pPr>
              <w:spacing w:after="0"/>
              <w:rPr>
                <w:sz w:val="24"/>
                <w:szCs w:val="24"/>
                <w:color w:val="auto"/>
              </w:rPr>
            </w:pPr>
          </w:p>
        </w:tc>
        <w:tc>
          <w:tcPr>
            <w:tcW w:w="4740" w:type="dxa"/>
            <w:vAlign w:val="bottom"/>
            <w:gridSpan w:val="2"/>
          </w:tcPr>
          <w:p>
            <w:pPr>
              <w:ind w:left="300"/>
              <w:spacing w:after="0"/>
              <w:rPr>
                <w:sz w:val="20"/>
                <w:szCs w:val="20"/>
                <w:color w:val="auto"/>
              </w:rPr>
            </w:pPr>
            <w:r>
              <w:rPr>
                <w:rFonts w:ascii="Arial" w:cs="Arial" w:eastAsia="Arial" w:hAnsi="Arial"/>
                <w:sz w:val="18"/>
                <w:szCs w:val="18"/>
                <w:color w:val="auto"/>
              </w:rPr>
              <w:t>Revenues, net by service type, were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Borders>
              <w:bottom w:val="single" w:sz="8" w:color="auto"/>
            </w:tcBorders>
            <w:gridSpan w:val="11"/>
          </w:tcPr>
          <w:p>
            <w:pPr>
              <w:jc w:val="center"/>
              <w:ind w:left="268"/>
              <w:spacing w:after="0"/>
              <w:rPr>
                <w:sz w:val="20"/>
                <w:szCs w:val="20"/>
                <w:color w:val="auto"/>
              </w:rPr>
            </w:pPr>
            <w:r>
              <w:rPr>
                <w:rFonts w:ascii="Arial" w:cs="Arial" w:eastAsia="Arial" w:hAnsi="Arial"/>
                <w:sz w:val="14"/>
                <w:szCs w:val="14"/>
                <w:b w:val="1"/>
                <w:bCs w:val="1"/>
                <w:color w:val="auto"/>
                <w:w w:val="93"/>
              </w:rPr>
              <w:t>Three months ended March 31,</w:t>
            </w:r>
          </w:p>
        </w:tc>
        <w:tc>
          <w:tcPr>
            <w:tcW w:w="3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20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BPM and related services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153,559</w:t>
            </w: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152,612</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92,431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86,961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245,990</w:t>
            </w:r>
          </w:p>
        </w:tc>
        <w:tc>
          <w:tcPr>
            <w:tcW w:w="5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239,573</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13"/>
        <w:spacing w:after="0" w:line="223" w:lineRule="auto"/>
        <w:tabs>
          <w:tab w:leader="none" w:pos="622"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BPM and related services include revenues of the Company's Insurance, Healthcare and Emerging Business operating segments. Refer to the reportable segment disclosure above.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3"/>
        </w:trPr>
        <w:tc>
          <w:tcPr>
            <w:tcW w:w="79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207,880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196,104</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6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29,101</w:t>
            </w:r>
          </w:p>
        </w:tc>
      </w:tr>
      <w:tr>
        <w:trPr>
          <w:trHeight w:val="27"/>
        </w:trPr>
        <w:tc>
          <w:tcPr>
            <w:tcW w:w="7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14,368</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Total Non-United States</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38,110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43,469</w:t>
            </w:r>
          </w:p>
        </w:tc>
      </w:tr>
      <w:tr>
        <w:trPr>
          <w:trHeight w:val="27"/>
        </w:trPr>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245,990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239,573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3"/>
        </w:trPr>
        <w:tc>
          <w:tcPr>
            <w:tcW w:w="7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2"/>
                <w:szCs w:val="22"/>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India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99,385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78,244</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52,375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26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26,006</w:t>
            </w: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8,913</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190,453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165,538</w:t>
            </w:r>
          </w:p>
        </w:tc>
      </w:tr>
      <w:tr>
        <w:trPr>
          <w:trHeight w:val="27"/>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Note 3 to the unaudited consolidated financial statements for revenues disaggregated by reportable segments and geography.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00" w:lineRule="exact"/>
        <w:rPr>
          <w:sz w:val="20"/>
          <w:szCs w:val="20"/>
          <w:color w:val="auto"/>
        </w:rPr>
      </w:pPr>
    </w:p>
    <w:p>
      <w:pPr>
        <w:spacing w:after="0" w:line="213"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640" w:type="dxa"/>
            <w:vAlign w:val="bottom"/>
          </w:tcPr>
          <w:p>
            <w:pPr>
              <w:spacing w:after="0"/>
              <w:rPr>
                <w:sz w:val="18"/>
                <w:szCs w:val="18"/>
                <w:color w:val="auto"/>
              </w:rPr>
            </w:pPr>
          </w:p>
        </w:tc>
      </w:tr>
      <w:tr>
        <w:trPr>
          <w:trHeight w:val="33"/>
        </w:trPr>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6"/>
                <w:szCs w:val="16"/>
                <w:b w:val="1"/>
                <w:bCs w:val="1"/>
                <w:color w:val="auto"/>
                <w:w w:val="94"/>
              </w:rPr>
              <w:t>December 31, 2019</w:t>
            </w: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171,864</w:t>
            </w:r>
          </w:p>
        </w:tc>
      </w:tr>
      <w:tr>
        <w:trPr>
          <w:trHeight w:val="27"/>
        </w:trPr>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5,391</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Deferred revenue (consideration received in advance)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11,259</w:t>
            </w:r>
          </w:p>
        </w:tc>
      </w:tr>
      <w:tr>
        <w:trPr>
          <w:trHeight w:val="243"/>
        </w:trPr>
        <w:tc>
          <w:tcPr>
            <w:tcW w:w="6880" w:type="dxa"/>
            <w:vAlign w:val="bottom"/>
          </w:tcPr>
          <w:p>
            <w:pPr>
              <w:ind w:left="300"/>
              <w:spacing w:after="0"/>
              <w:rPr>
                <w:sz w:val="20"/>
                <w:szCs w:val="20"/>
                <w:color w:val="auto"/>
              </w:rPr>
            </w:pPr>
            <w:r>
              <w:rPr>
                <w:rFonts w:ascii="Arial" w:cs="Arial" w:eastAsia="Arial" w:hAnsi="Arial"/>
                <w:sz w:val="18"/>
                <w:szCs w:val="18"/>
                <w:color w:val="auto"/>
              </w:rPr>
              <w:t>Consideration received for process transition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3,036</w:t>
            </w:r>
          </w:p>
        </w:tc>
      </w:tr>
    </w:tbl>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Accounts receivable includes $74,386 and $73,920 as of March 31, 2020 and December 31, 2019,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18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Contract liabilities represent that portion of deferred revenue for which payments have been received in advance from customers. This may also include revenues deferred for certain contracts where services have been rendered but other conditions for revenue recognition have not been met for example, where a legally enforceable contract is not executed.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during the three months ended March 31, 2020 and 2019 that was included in the contract liabilities balance at the beginning of the period was $5,968 and $2,777,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acquisition and fulfillment costs</w:t>
      </w:r>
    </w:p>
    <w:p>
      <w:pPr>
        <w:spacing w:after="0" w:line="38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8"/>
          </w:tcPr>
          <w:p>
            <w:pPr>
              <w:ind w:left="520"/>
              <w:spacing w:after="0"/>
              <w:rPr>
                <w:sz w:val="20"/>
                <w:szCs w:val="20"/>
                <w:color w:val="auto"/>
              </w:rPr>
            </w:pPr>
            <w:r>
              <w:rPr>
                <w:rFonts w:ascii="Arial" w:cs="Arial" w:eastAsia="Arial" w:hAnsi="Arial"/>
                <w:sz w:val="18"/>
                <w:szCs w:val="18"/>
                <w:b w:val="1"/>
                <w:bCs w:val="1"/>
                <w:color w:val="auto"/>
              </w:rPr>
              <w:t>Contract Acquisition Costs</w:t>
            </w:r>
          </w:p>
        </w:tc>
        <w:tc>
          <w:tcPr>
            <w:tcW w:w="200" w:type="dxa"/>
            <w:vAlign w:val="bottom"/>
          </w:tcPr>
          <w:p>
            <w:pPr>
              <w:spacing w:after="0"/>
              <w:rPr>
                <w:sz w:val="20"/>
                <w:szCs w:val="20"/>
                <w:color w:val="auto"/>
              </w:rPr>
            </w:pPr>
          </w:p>
        </w:tc>
        <w:tc>
          <w:tcPr>
            <w:tcW w:w="3300" w:type="dxa"/>
            <w:vAlign w:val="bottom"/>
            <w:gridSpan w:val="7"/>
          </w:tcPr>
          <w:p>
            <w:pPr>
              <w:jc w:val="right"/>
              <w:ind w:right="630"/>
              <w:spacing w:after="0"/>
              <w:rPr>
                <w:sz w:val="20"/>
                <w:szCs w:val="20"/>
                <w:color w:val="auto"/>
              </w:rPr>
            </w:pPr>
            <w:r>
              <w:rPr>
                <w:rFonts w:ascii="Arial" w:cs="Arial" w:eastAsia="Arial" w:hAnsi="Arial"/>
                <w:sz w:val="18"/>
                <w:szCs w:val="18"/>
                <w:b w:val="1"/>
                <w:bCs w:val="1"/>
                <w:color w:val="auto"/>
              </w:rPr>
              <w:t>Contract Fulfillment Costs</w:t>
            </w: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200" w:type="dxa"/>
            <w:vAlign w:val="bottom"/>
          </w:tcPr>
          <w:p>
            <w:pPr>
              <w:spacing w:after="0"/>
              <w:rPr>
                <w:sz w:val="20"/>
                <w:szCs w:val="20"/>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r>
      <w:tr>
        <w:trPr>
          <w:trHeight w:val="27"/>
        </w:trPr>
        <w:tc>
          <w:tcPr>
            <w:tcW w:w="372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72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(Audited)</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5"/>
              </w:rPr>
              <w:t>(Audited)</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Opening Balance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7,255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4,051</w:t>
            </w: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4,652</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7"/>
        </w:trPr>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Closing Balance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7,255</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was no impairment for contract acquisition and contract fulfillment costs as of March 31, 2020 and December 31, 2019. The capitalized costs are amortized on a straight line basis over the life of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expected credit losses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On January 1, 2020, the Company adopted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Accounts receivable and contract assets are in the scope for which assessment is made. In compliance with the guidance, the allowance for credit losses recognized based on historical loss experience is adjusted to reflect current and estimated future economic conditions.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global Coronavirus Disease 2019 pandemic (“COVID-19”).</w:t>
      </w:r>
    </w:p>
    <w:p>
      <w:pPr>
        <w:spacing w:after="0" w:line="1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applied the expected credit loss model to assess any required allowance; and used a provision matrix devised based on historical trends of losses across aging categories to calculate the expected credit loss allowance for trade receivables and unbilled receivables. This matrix takes into account available external and internal credit risk information such as ratings from international credit rating agencies and the Company's historical collection experience from customers.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January 1, 2020 the Company’s provision for doubtful receivables was $1,163, which was based on previous U.S. GAAP standards. There was no material impact on provision when calculated by applying Topic ASC 326 guidelines.</w:t>
      </w:r>
    </w:p>
    <w:p>
      <w:pPr>
        <w:spacing w:after="0" w:line="328"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As of</w:t>
      </w:r>
    </w:p>
    <w:p>
      <w:pPr>
        <w:spacing w:after="0" w:line="34" w:lineRule="exact"/>
        <w:rPr>
          <w:sz w:val="20"/>
          <w:szCs w:val="20"/>
          <w:color w:val="auto"/>
        </w:rPr>
      </w:pPr>
    </w:p>
    <w:tbl>
      <w:tblPr>
        <w:tblLayout w:type="fixed"/>
        <w:tblInd w:w="280" w:type="dxa"/>
        <w:tblCellMar>
          <w:top w:w="0" w:type="dxa"/>
          <w:left w:w="0" w:type="dxa"/>
          <w:bottom w:w="0" w:type="dxa"/>
          <w:right w:w="0" w:type="dxa"/>
        </w:tblCellMar>
      </w:tblPr>
      <w:tr>
        <w:trPr>
          <w:trHeight w:val="263"/>
        </w:trPr>
        <w:tc>
          <w:tcPr>
            <w:tcW w:w="65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880" w:type="dxa"/>
            <w:vAlign w:val="bottom"/>
            <w:tcBorders>
              <w:top w:val="single" w:sz="8" w:color="auto"/>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January 1, 2020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Accounts receivable, including unbilled receivables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188,483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173,027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lifetime expected credit loss</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57"/>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187,137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171,864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movement in allowance for lifetime expected credit loss on customer balances for the quarters ended March 31, 2020 and December 31, 2019 was as follows:</w:t>
      </w: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40" w:type="dxa"/>
            <w:vAlign w:val="bottom"/>
            <w:gridSpan w:val="3"/>
          </w:tcPr>
          <w:p>
            <w:pPr>
              <w:jc w:val="right"/>
              <w:ind w:right="1570"/>
              <w:spacing w:after="0"/>
              <w:rPr>
                <w:sz w:val="20"/>
                <w:szCs w:val="20"/>
                <w:color w:val="auto"/>
              </w:rPr>
            </w:pPr>
            <w:r>
              <w:rPr>
                <w:rFonts w:ascii="Arial" w:cs="Arial" w:eastAsia="Arial" w:hAnsi="Arial"/>
                <w:sz w:val="18"/>
                <w:szCs w:val="18"/>
                <w:b w:val="1"/>
                <w:bCs w:val="1"/>
                <w:color w:val="auto"/>
              </w:rPr>
              <w:t>As of</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5"/>
              </w:rPr>
              <w:t>March 31, 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2019</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1,113</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during the period,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Charged against allowance</w:t>
            </w:r>
          </w:p>
        </w:tc>
        <w:tc>
          <w:tcPr>
            <w:tcW w:w="1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 if any</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Balance at the end of the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1,163</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Common stock equivalents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55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2019</w:t>
            </w: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22,411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14,695</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34,401,565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34,374,815</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share-based awards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319,038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458,620</w:t>
            </w: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34,720,603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34,833,435</w:t>
            </w:r>
          </w:p>
        </w:tc>
      </w:tr>
      <w:tr>
        <w:trPr>
          <w:trHeight w:val="67"/>
        </w:trPr>
        <w:tc>
          <w:tcPr>
            <w:tcW w:w="55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0"/>
        </w:trPr>
        <w:tc>
          <w:tcPr>
            <w:tcW w:w="5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Earnings per share attributable to ExlService Holdings Inc. stockholders: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70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0.43</w:t>
            </w:r>
          </w:p>
        </w:tc>
      </w:tr>
      <w:tr>
        <w:trPr>
          <w:trHeight w:val="27"/>
        </w:trPr>
        <w:tc>
          <w:tcPr>
            <w:tcW w:w="5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w w:val="95"/>
              </w:rPr>
              <w:t>Weighted average potentially dilutive shares considered anti-dilutive and</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not included in computing diluted earnings per share</w:t>
            </w:r>
          </w:p>
        </w:tc>
        <w:tc>
          <w:tcPr>
            <w:tcW w:w="500" w:type="dxa"/>
            <w:vAlign w:val="bottom"/>
          </w:tcPr>
          <w:p>
            <w:pPr>
              <w:spacing w:after="0"/>
              <w:rPr>
                <w:sz w:val="20"/>
                <w:szCs w:val="20"/>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170,313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425,432</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7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240" w:type="dxa"/>
            <w:vAlign w:val="bottom"/>
          </w:tcPr>
          <w:p>
            <w:pPr>
              <w:spacing w:after="0"/>
              <w:rPr>
                <w:sz w:val="22"/>
                <w:szCs w:val="22"/>
                <w:color w:val="auto"/>
              </w:rPr>
            </w:pPr>
          </w:p>
        </w:tc>
        <w:tc>
          <w:tcPr>
            <w:tcW w:w="152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224,874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86,688</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80" w:type="dxa"/>
            <w:vAlign w:val="bottom"/>
          </w:tcPr>
          <w:p>
            <w:pPr>
              <w:spacing w:after="0"/>
              <w:rPr>
                <w:sz w:val="21"/>
                <w:szCs w:val="21"/>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6,369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5,364</w:t>
            </w:r>
          </w:p>
        </w:tc>
      </w:tr>
      <w:tr>
        <w:trPr>
          <w:trHeight w:val="27"/>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2,575</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233,534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94,627</w:t>
            </w:r>
          </w:p>
        </w:tc>
      </w:tr>
      <w:tr>
        <w:trPr>
          <w:trHeight w:val="27"/>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Income,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63"/>
        </w:trPr>
        <w:tc>
          <w:tcPr>
            <w:tcW w:w="472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and mark-to-market of mutual funds, net</w:t>
            </w:r>
          </w:p>
        </w:tc>
        <w:tc>
          <w:tcPr>
            <w:tcW w:w="4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 net</w:t>
            </w:r>
          </w:p>
        </w:tc>
        <w:tc>
          <w:tcPr>
            <w:tcW w:w="3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47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38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40" w:type="dxa"/>
            <w:vAlign w:val="bottom"/>
            <w:vMerge w:val="restart"/>
          </w:tcPr>
          <w:p>
            <w:pPr>
              <w:jc w:val="right"/>
              <w:ind w:right="275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21"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w:t>
            </w: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22"/>
                <w:szCs w:val="22"/>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Owned Assets:</w:t>
            </w: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Network equipment and computers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96,669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98,309</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79,746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43,896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44,982</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601</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Land</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729</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work in progress</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10,309</w:t>
            </w:r>
          </w:p>
        </w:tc>
      </w:tr>
      <w:tr>
        <w:trPr>
          <w:trHeight w:val="237"/>
        </w:trPr>
        <w:tc>
          <w:tcPr>
            <w:tcW w:w="5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267,111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257,836</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(179,331)</w:t>
            </w:r>
          </w:p>
        </w:tc>
      </w:tr>
      <w:tr>
        <w:trPr>
          <w:trHeight w:val="237"/>
        </w:trPr>
        <w:tc>
          <w:tcPr>
            <w:tcW w:w="5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89,919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78,505</w:t>
            </w:r>
          </w:p>
        </w:tc>
      </w:tr>
      <w:tr>
        <w:trPr>
          <w:trHeight w:val="27"/>
        </w:trPr>
        <w:tc>
          <w:tcPr>
            <w:tcW w:w="5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Right-of-use assets under finance leases:</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711</w:t>
            </w:r>
          </w:p>
        </w:tc>
      </w:tr>
      <w:tr>
        <w:trPr>
          <w:trHeight w:val="27"/>
        </w:trPr>
        <w:tc>
          <w:tcPr>
            <w:tcW w:w="5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5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55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90,513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79,142</w:t>
            </w:r>
          </w:p>
        </w:tc>
      </w:tr>
      <w:tr>
        <w:trPr>
          <w:trHeight w:val="20"/>
        </w:trPr>
        <w:tc>
          <w:tcPr>
            <w:tcW w:w="5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costs incurred on internally developed software not yet ready to be placed in service.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there were no changes in estimated useful lives of property and equipment.</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175"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23495</wp:posOffset>
            </wp:positionV>
            <wp:extent cx="18084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03" w:lineRule="exact"/>
        <w:rPr>
          <w:sz w:val="20"/>
          <w:szCs w:val="20"/>
          <w:color w:val="auto"/>
        </w:rPr>
      </w:pPr>
    </w:p>
    <w:p>
      <w:pPr>
        <w:ind w:left="8400"/>
        <w:spacing w:after="0"/>
        <w:tabs>
          <w:tab w:leader="none" w:pos="98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2048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20485" cy="188595"/>
                    </a:xfrm>
                    <a:prstGeom prst="rect">
                      <a:avLst/>
                    </a:prstGeom>
                    <a:noFill/>
                  </pic:spPr>
                </pic:pic>
              </a:graphicData>
            </a:graphic>
          </wp:anchor>
        </w:drawing>
      </w:r>
    </w:p>
    <w:p>
      <w:pPr>
        <w:spacing w:after="0" w:line="43" w:lineRule="exact"/>
        <w:rPr>
          <w:sz w:val="20"/>
          <w:szCs w:val="20"/>
          <w:color w:val="auto"/>
        </w:rPr>
      </w:pPr>
    </w:p>
    <w:p>
      <w:pPr>
        <w:ind w:left="600"/>
        <w:spacing w:after="0"/>
        <w:tabs>
          <w:tab w:leader="none" w:pos="7840" w:val="left"/>
          <w:tab w:leader="none" w:pos="8720" w:val="left"/>
          <w:tab w:leader="none" w:pos="9360" w:val="left"/>
          <w:tab w:leader="none" w:pos="10160" w:val="left"/>
        </w:tabs>
        <w:rPr>
          <w:sz w:val="20"/>
          <w:szCs w:val="20"/>
          <w:color w:val="auto"/>
        </w:rPr>
      </w:pPr>
      <w:r>
        <w:rPr>
          <w:rFonts w:ascii="Arial" w:cs="Arial" w:eastAsia="Arial" w:hAnsi="Arial"/>
          <w:sz w:val="18"/>
          <w:szCs w:val="18"/>
          <w:color w:val="auto"/>
        </w:rPr>
        <w:t>Depreciation and 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8,297</w:t>
        <w:tab/>
        <w:t>$</w:t>
      </w:r>
      <w:r>
        <w:rPr>
          <w:sz w:val="20"/>
          <w:szCs w:val="20"/>
          <w:color w:val="auto"/>
        </w:rPr>
        <w:tab/>
      </w:r>
      <w:r>
        <w:rPr>
          <w:rFonts w:ascii="Arial" w:cs="Arial" w:eastAsia="Arial" w:hAnsi="Arial"/>
          <w:sz w:val="15"/>
          <w:szCs w:val="15"/>
          <w:color w:val="auto"/>
        </w:rPr>
        <w:t>8,139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48895</wp:posOffset>
            </wp:positionV>
            <wp:extent cx="18084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depreciation and amortization set forth above includes the effect of foreign exchange gain upon settlement of cash flow hedges, amounting to $22 and $57 for the three months ended March 31, 2020 and 2019, respectively. Refer to Note 16 to the unaudited consolidated financial statements for further details.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As of</w:t>
            </w:r>
          </w:p>
        </w:tc>
        <w:tc>
          <w:tcPr>
            <w:tcW w:w="184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540" w:type="dxa"/>
            <w:vAlign w:val="bottom"/>
            <w:tcBorders>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7"/>
              </w:rPr>
              <w:t>16,147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15,784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Less : Accumulated amortization</w:t>
            </w:r>
          </w:p>
        </w:tc>
        <w:tc>
          <w:tcPr>
            <w:tcW w:w="1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(5,812)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(4,989)</w:t>
            </w:r>
          </w:p>
        </w:tc>
      </w:tr>
      <w:tr>
        <w:trPr>
          <w:trHeight w:val="27"/>
        </w:trPr>
        <w:tc>
          <w:tcPr>
            <w:tcW w:w="63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 net</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87"/>
              </w:rPr>
              <w:t>10,335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10,795</w:t>
            </w:r>
          </w:p>
        </w:tc>
      </w:tr>
      <w:tr>
        <w:trPr>
          <w:trHeight w:val="20"/>
        </w:trPr>
        <w:tc>
          <w:tcPr>
            <w:tcW w:w="63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24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23495</wp:posOffset>
            </wp:positionV>
            <wp:extent cx="1851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03" w:lineRule="exact"/>
        <w:rPr>
          <w:sz w:val="20"/>
          <w:szCs w:val="20"/>
          <w:color w:val="auto"/>
        </w:rPr>
      </w:pPr>
    </w:p>
    <w:p>
      <w:pPr>
        <w:ind w:left="8260"/>
        <w:spacing w:after="0"/>
        <w:tabs>
          <w:tab w:leader="none" w:pos="97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633476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4760" cy="180340"/>
                    </a:xfrm>
                    <a:prstGeom prst="rect">
                      <a:avLst/>
                    </a:prstGeom>
                    <a:noFill/>
                  </pic:spPr>
                </pic:pic>
              </a:graphicData>
            </a:graphic>
          </wp:anchor>
        </w:drawing>
      </w:r>
    </w:p>
    <w:p>
      <w:pPr>
        <w:spacing w:after="0" w:line="43" w:lineRule="exact"/>
        <w:rPr>
          <w:sz w:val="20"/>
          <w:szCs w:val="20"/>
          <w:color w:val="auto"/>
        </w:rPr>
      </w:pPr>
    </w:p>
    <w:p>
      <w:pPr>
        <w:ind w:left="660"/>
        <w:spacing w:after="0"/>
        <w:tabs>
          <w:tab w:leader="none" w:pos="7700" w:val="left"/>
          <w:tab w:leader="none" w:pos="8720" w:val="left"/>
          <w:tab w:leader="none" w:pos="9220" w:val="left"/>
          <w:tab w:leader="none" w:pos="1022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831</w:t>
        <w:tab/>
        <w:t>$</w:t>
      </w:r>
      <w:r>
        <w:rPr>
          <w:sz w:val="20"/>
          <w:szCs w:val="20"/>
          <w:color w:val="auto"/>
        </w:rPr>
        <w:tab/>
      </w:r>
      <w:r>
        <w:rPr>
          <w:rFonts w:ascii="Arial" w:cs="Arial" w:eastAsia="Arial" w:hAnsi="Arial"/>
          <w:sz w:val="16"/>
          <w:szCs w:val="16"/>
          <w:color w:val="auto"/>
        </w:rPr>
        <w:t>647</w:t>
      </w:r>
    </w:p>
    <w:p>
      <w:pPr>
        <w:spacing w:after="0" w:line="200" w:lineRule="exact"/>
        <w:rPr>
          <w:sz w:val="20"/>
          <w:szCs w:val="20"/>
          <w:color w:val="auto"/>
        </w:rPr>
      </w:pPr>
    </w:p>
    <w:p>
      <w:pPr>
        <w:spacing w:after="0" w:line="26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During the three months ended March 31, 2019, the Company performed an impairment test of its long-lived assets related to its Health Integrated business. Based on the results, the long-lived assets carrying value exceeded its fair value. The primary factor contributing to a reduction in the fair value is the wind down of the Health Integrated business, due to reduction to the Company's estimated future cash flows. As a result of this analysis, the Company recognized impairment charges of $1,227 during the three months ended March 31, 2019, to write down the carrying value of internally developed software to its fair value. This impairment charge was recorded in the unaudited consolidated statements of income under "Impairment and restructuring charges".</w:t>
      </w:r>
    </w:p>
    <w:p>
      <w:pPr>
        <w:spacing w:after="0" w:line="16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March 31,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w:t>
      </w:r>
      <w:r>
        <w:rPr>
          <w:rFonts w:ascii="Arial" w:cs="Arial" w:eastAsia="Arial" w:hAnsi="Arial"/>
          <w:sz w:val="13"/>
          <w:szCs w:val="13"/>
          <w:color w:val="auto"/>
        </w:rPr>
        <w:t>.</w:t>
      </w:r>
    </w:p>
    <w:p>
      <w:pPr>
        <w:spacing w:after="0" w:line="294" w:lineRule="exact"/>
        <w:rPr>
          <w:sz w:val="20"/>
          <w:szCs w:val="20"/>
          <w:color w:val="auto"/>
        </w:rPr>
      </w:pPr>
    </w:p>
    <w:p>
      <w:pPr>
        <w:ind w:right="8660" w:firstLine="8"/>
        <w:spacing w:after="0" w:line="511"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jc w:val="both"/>
        <w:ind w:firstLine="405"/>
        <w:spacing w:after="0" w:line="311"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changes in goodwill by reportable segment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Emerging</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TT&amp;L</w:t>
            </w:r>
          </w:p>
        </w:tc>
        <w:tc>
          <w:tcPr>
            <w:tcW w:w="16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F&amp;A</w:t>
            </w: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$ 349,984</w:t>
            </w:r>
          </w:p>
        </w:tc>
      </w:tr>
      <w:tr>
        <w:trPr>
          <w:trHeight w:val="229"/>
        </w:trPr>
        <w:tc>
          <w:tcPr>
            <w:tcW w:w="2140" w:type="dxa"/>
            <w:vAlign w:val="bottom"/>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14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2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227,289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$ 349,529</w:t>
            </w:r>
          </w:p>
        </w:tc>
      </w:tr>
      <w:tr>
        <w:trPr>
          <w:trHeight w:val="270"/>
        </w:trPr>
        <w:tc>
          <w:tcPr>
            <w:tcW w:w="2140" w:type="dxa"/>
            <w:vAlign w:val="bottom"/>
          </w:tcPr>
          <w:p>
            <w:pPr>
              <w:ind w:left="380"/>
              <w:spacing w:after="0" w:line="270" w:lineRule="exact"/>
              <w:rPr>
                <w:sz w:val="20"/>
                <w:szCs w:val="20"/>
                <w:color w:val="auto"/>
              </w:rPr>
            </w:pPr>
            <w:r>
              <w:rPr>
                <w:rFonts w:ascii="Arial" w:cs="Arial" w:eastAsia="Arial" w:hAnsi="Arial"/>
                <w:sz w:val="18"/>
                <w:szCs w:val="18"/>
                <w:color w:val="auto"/>
                <w:w w:val="93"/>
              </w:rPr>
              <w:t>Goodwill reallocation</w:t>
            </w:r>
            <w:r>
              <w:rPr>
                <w:rFonts w:ascii="Arial" w:cs="Arial" w:eastAsia="Arial" w:hAnsi="Arial"/>
                <w:sz w:val="25"/>
                <w:szCs w:val="25"/>
                <w:color w:val="auto"/>
                <w:w w:val="93"/>
                <w:vertAlign w:val="superscript"/>
              </w:rPr>
              <w:t>(1)</w:t>
            </w:r>
          </w:p>
        </w:tc>
        <w:tc>
          <w:tcPr>
            <w:tcW w:w="1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12,192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(46,905)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2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r>
      <w:tr>
        <w:trPr>
          <w:trHeight w:val="237"/>
        </w:trPr>
        <w:tc>
          <w:tcPr>
            <w:tcW w:w="2140" w:type="dxa"/>
            <w:vAlign w:val="bottom"/>
          </w:tcPr>
          <w:p>
            <w:pPr>
              <w:ind w:left="40"/>
              <w:spacing w:after="0"/>
              <w:rPr>
                <w:sz w:val="20"/>
                <w:szCs w:val="20"/>
                <w:color w:val="auto"/>
              </w:rPr>
            </w:pPr>
            <w:r>
              <w:rPr>
                <w:rFonts w:ascii="Arial" w:cs="Arial" w:eastAsia="Arial" w:hAnsi="Arial"/>
                <w:sz w:val="18"/>
                <w:szCs w:val="18"/>
                <w:color w:val="auto"/>
                <w:w w:val="96"/>
              </w:rPr>
              <w:t>Balance at March 31,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50,175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227,287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$ 348,076</w:t>
            </w:r>
          </w:p>
        </w:tc>
      </w:tr>
      <w:tr>
        <w:trPr>
          <w:trHeight w:val="27"/>
        </w:trPr>
        <w:tc>
          <w:tcPr>
            <w:tcW w:w="2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13"/>
        <w:spacing w:after="0" w:line="227" w:lineRule="auto"/>
        <w:tabs>
          <w:tab w:leader="none" w:pos="613"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Represents the reallocation of goodwill as a result of the Company reorganizing its operating segments as described in Note 3 to the unaudited consolidated financial statements.</w:t>
      </w:r>
    </w:p>
    <w:p>
      <w:pPr>
        <w:spacing w:after="0" w:line="202"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As of March 31, 2020, due to the deteriorating macroeconomic conditions arising from the COVID-19 pandemic, the Company performed a goodwill impairment test for its reporting units. The Company considered the effects of the COVID-19 pandemic on its significant inputs used in determining the fair value of the Company’s reporting units. Key assumptions used in determining the fair value of the Company’s reporting units were a long-term debt-free net cash flow growth rate in the terminal year of 3.0% and discount rates ranging from 9.0% to 10.0%. Based on the results, the fair value of each of the Company’s reporting units exceeded their carrying value and the Company’s goodwill was not impaired. However, for the Healthcare Analytics reporting unit within the Analytics reportable segment, the fair value was not substantially in excess of its carrying value. The Healthcare Analytics reporting unit was formed as a result of the Company’s transition to a new organization structure effective January 1, 2020 and the integration of the SCIOinspire Holdings Inc. acquisition in July 2018 with other analytics services offered to clients in the Healthcare industry. As of March 31, 2020, the goodwill associated with the Healthcare Analytics reporting unit was $181,217, representing approximately 52.0% of the Company’s total goodwill, and the percentage by which the fair value of the Healthcare Analytics reporting unit exceeded the carrying value as of the date of the most recent annual impairment test was approximately 15.0%. While the goodwill of this reporting unit is not currently impaired, there could be an impairment in the future as a result of changes in certain assumptions, including those related to the pandemic. For example, the fair value could be adversely affected and may result in an impairment of goodwill if this reporting unit is not able to expand its existing customer relationships, win new clients, improve profitability, the estimated cash flows are discounted at a higher risk-adjusted rate, or the market multiples decreases. The Company also believes that it is possible that its actual revenue growth rates could be higher than the long-term revenue growth rates used in the impairment test due to a number of factors, including (i) increased demand for the Company’s reimbursement and care optimization services to help clients identify overpayments and enhance their claims payment accuracy, (ii) the Company's ability to improve business outcomes for its healthcare customers through data-driven insights thereby generating more demand for its analytics services, and (iii) the Company’s ability to offer integrated solutions by leveraging technology platforms, digital, customizable and configurable analytics for its clients. The Company believes that its discount rate utilized is appropriate to use for its future cash flow assumptions considering current market conditions. However, keeping all other variables constant, a further 50 basis point increase in discount rate will decrease the percentage by which the fair value exceeds the carrying value of the Healthcare Analytics reporting unit to approximately 10.0%. The Company continues to monitor the cash flows of the Healthcare Analytics reporting unit for changes in the business environment that could impact recoverability.</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recoverability of goodwill is dependent upon the continued growth of cash flows from our business activities. 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660"/>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Carrying 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49"/>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Finite-lived intangible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97,483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51,664</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14,989</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129,461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68,834</w:t>
            </w:r>
          </w:p>
        </w:tc>
        <w:tc>
          <w:tcPr>
            <w:tcW w:w="0" w:type="dxa"/>
            <w:vAlign w:val="bottom"/>
          </w:tcPr>
          <w:p>
            <w:pPr>
              <w:spacing w:after="0"/>
              <w:rPr>
                <w:sz w:val="1"/>
                <w:szCs w:val="1"/>
                <w:color w:val="auto"/>
              </w:rPr>
            </w:pPr>
          </w:p>
        </w:tc>
      </w:tr>
      <w:tr>
        <w:trPr>
          <w:trHeight w:val="223"/>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6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130,361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69,734</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1340"/>
              <w:spacing w:after="0"/>
              <w:rPr>
                <w:sz w:val="20"/>
                <w:szCs w:val="20"/>
                <w:color w:val="auto"/>
              </w:rPr>
            </w:pPr>
            <w:r>
              <w:rPr>
                <w:rFonts w:ascii="Arial" w:cs="Arial" w:eastAsia="Arial" w:hAnsi="Arial"/>
                <w:sz w:val="14"/>
                <w:szCs w:val="14"/>
                <w:b w:val="1"/>
                <w:bCs w:val="1"/>
                <w:color w:val="auto"/>
              </w:rPr>
              <w:t>As of December 31, 2019</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20" w:type="dxa"/>
            <w:vAlign w:val="bottom"/>
          </w:tcPr>
          <w:p>
            <w:pPr>
              <w:spacing w:after="0"/>
              <w:rPr>
                <w:sz w:val="13"/>
                <w:szCs w:val="13"/>
                <w:color w:val="auto"/>
              </w:rPr>
            </w:pPr>
          </w:p>
        </w:tc>
        <w:tc>
          <w:tcPr>
            <w:tcW w:w="18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Gross Carrying 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24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Finite-lived intangible assets: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97,602</w:t>
            </w:r>
          </w:p>
        </w:tc>
        <w:tc>
          <w:tcPr>
            <w:tcW w:w="120" w:type="dxa"/>
            <w:vAlign w:val="bottom"/>
          </w:tcPr>
          <w:p>
            <w:pPr>
              <w:spacing w:after="0"/>
              <w:rPr>
                <w:sz w:val="21"/>
                <w:szCs w:val="21"/>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54,272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Trade names and trademarks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129,678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73,082</w:t>
            </w:r>
          </w:p>
        </w:tc>
        <w:tc>
          <w:tcPr>
            <w:tcW w:w="0" w:type="dxa"/>
            <w:vAlign w:val="bottom"/>
          </w:tcPr>
          <w:p>
            <w:pPr>
              <w:spacing w:after="0"/>
              <w:rPr>
                <w:sz w:val="1"/>
                <w:szCs w:val="1"/>
                <w:color w:val="auto"/>
              </w:rPr>
            </w:pPr>
          </w:p>
        </w:tc>
      </w:tr>
      <w:tr>
        <w:trPr>
          <w:trHeight w:val="223"/>
        </w:trPr>
        <w:tc>
          <w:tcPr>
            <w:tcW w:w="6420" w:type="dxa"/>
            <w:vAlign w:val="bottom"/>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130,578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73,982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amortization expense for the period is as follows:</w:t>
      </w:r>
    </w:p>
    <w:p>
      <w:pPr>
        <w:spacing w:after="0" w:line="33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23495</wp:posOffset>
            </wp:positionV>
            <wp:extent cx="2125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03" w:lineRule="exact"/>
        <w:rPr>
          <w:sz w:val="20"/>
          <w:szCs w:val="20"/>
          <w:color w:val="auto"/>
        </w:rPr>
      </w:pPr>
    </w:p>
    <w:p>
      <w:pPr>
        <w:ind w:left="7840"/>
        <w:spacing w:after="0"/>
        <w:tabs>
          <w:tab w:leader="none" w:pos="95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23495</wp:posOffset>
            </wp:positionV>
            <wp:extent cx="618045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80455" cy="188595"/>
                    </a:xfrm>
                    <a:prstGeom prst="rect">
                      <a:avLst/>
                    </a:prstGeom>
                    <a:noFill/>
                  </pic:spPr>
                </pic:pic>
              </a:graphicData>
            </a:graphic>
          </wp:anchor>
        </w:drawing>
      </w:r>
    </w:p>
    <w:p>
      <w:pPr>
        <w:spacing w:after="0" w:line="43" w:lineRule="exact"/>
        <w:rPr>
          <w:sz w:val="20"/>
          <w:szCs w:val="20"/>
          <w:color w:val="auto"/>
        </w:rPr>
      </w:pPr>
    </w:p>
    <w:p>
      <w:pPr>
        <w:ind w:left="780"/>
        <w:spacing w:after="0"/>
        <w:tabs>
          <w:tab w:leader="none" w:pos="7140" w:val="left"/>
          <w:tab w:leader="none" w:pos="8300" w:val="left"/>
          <w:tab w:leader="none" w:pos="8940" w:val="left"/>
          <w:tab w:leader="none" w:pos="9980" w:val="left"/>
        </w:tabs>
        <w:rPr>
          <w:sz w:val="20"/>
          <w:szCs w:val="20"/>
          <w:color w:val="auto"/>
        </w:rPr>
      </w:pPr>
      <w:r>
        <w:rPr>
          <w:rFonts w:ascii="Arial" w:cs="Arial" w:eastAsia="Arial" w:hAnsi="Arial"/>
          <w:sz w:val="18"/>
          <w:szCs w:val="18"/>
          <w:color w:val="auto"/>
        </w:rPr>
        <w:t>Amortization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4,153</w:t>
        <w:tab/>
        <w:t>$</w:t>
      </w:r>
      <w:r>
        <w:rPr>
          <w:sz w:val="20"/>
          <w:szCs w:val="20"/>
          <w:color w:val="auto"/>
        </w:rPr>
        <w:tab/>
      </w:r>
      <w:r>
        <w:rPr>
          <w:rFonts w:ascii="Arial" w:cs="Arial" w:eastAsia="Arial" w:hAnsi="Arial"/>
          <w:sz w:val="15"/>
          <w:szCs w:val="15"/>
          <w:color w:val="auto"/>
        </w:rPr>
        <w:t>5,528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48895</wp:posOffset>
            </wp:positionV>
            <wp:extent cx="2125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383"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82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r>
      <w:tr>
        <w:trPr>
          <w:trHeight w:val="27"/>
        </w:trPr>
        <w:tc>
          <w:tcPr>
            <w:tcW w:w="392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58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392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5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648"/>
        </w:trPr>
        <w:tc>
          <w:tcPr>
            <w:tcW w:w="3920" w:type="dxa"/>
            <w:vAlign w:val="bottom"/>
          </w:tcPr>
          <w:p>
            <w:pPr>
              <w:spacing w:after="0"/>
              <w:rPr>
                <w:sz w:val="24"/>
                <w:szCs w:val="24"/>
                <w:color w:val="auto"/>
              </w:rPr>
            </w:pPr>
          </w:p>
        </w:tc>
        <w:tc>
          <w:tcPr>
            <w:tcW w:w="5820" w:type="dxa"/>
            <w:vAlign w:val="bottom"/>
          </w:tcPr>
          <w:p>
            <w:pPr>
              <w:jc w:val="right"/>
              <w:ind w:right="469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81"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Estimated future amortization expense related to intangible assets as of March 31, 2020 is as follows:</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(April 1 - December 31)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10,262</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12,732</w:t>
            </w:r>
          </w:p>
        </w:tc>
      </w:tr>
      <w:tr>
        <w:trPr>
          <w:trHeight w:val="27"/>
        </w:trPr>
        <w:tc>
          <w:tcPr>
            <w:tcW w:w="8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11,326</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9,037</w:t>
            </w:r>
          </w:p>
        </w:tc>
      </w:tr>
      <w:tr>
        <w:trPr>
          <w:trHeight w:val="27"/>
        </w:trPr>
        <w:tc>
          <w:tcPr>
            <w:tcW w:w="8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2025 and thereafter</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18,782</w:t>
            </w:r>
          </w:p>
        </w:tc>
      </w:tr>
      <w:tr>
        <w:trPr>
          <w:trHeight w:val="27"/>
        </w:trPr>
        <w:tc>
          <w:tcPr>
            <w:tcW w:w="8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68,834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Current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6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December 31, 2019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Advances to suppliers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contract fulfillment costs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Others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3,242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26,173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11. Other Assets</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3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assets consist of the following: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32"/>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deposits</w:t>
            </w:r>
          </w:p>
        </w:tc>
        <w:tc>
          <w:tcPr>
            <w:tcW w:w="300" w:type="dxa"/>
            <w:vAlign w:val="bottom"/>
            <w:tcBorders>
              <w:top w:val="single" w:sz="8" w:color="auto"/>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with statutory authorities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Term deposits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Deferred contract fulfillment costs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32,045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36,016</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20" w:top="12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960"/>
          </w:cols>
          <w:pgMar w:left="320" w:top="121" w:right="61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520" w:type="dxa"/>
            <w:vAlign w:val="bottom"/>
            <w:tcBorders>
              <w:right w:val="single" w:sz="8" w:color="CCEEFF"/>
            </w:tcBorders>
          </w:tcPr>
          <w:p>
            <w:pPr>
              <w:spacing w:after="0"/>
              <w:rPr>
                <w:sz w:val="21"/>
                <w:szCs w:val="21"/>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6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51,449</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left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53,133</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Payable to statutory authorities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15,718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Client liabilities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84,495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71,023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Other Non-Current Liabilities</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73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80" w:type="dxa"/>
            <w:vAlign w:val="bottom"/>
            <w:gridSpan w:val="2"/>
          </w:tcPr>
          <w:p>
            <w:pPr>
              <w:ind w:left="440"/>
              <w:spacing w:after="0"/>
              <w:rPr>
                <w:sz w:val="20"/>
                <w:szCs w:val="20"/>
                <w:color w:val="auto"/>
              </w:rPr>
            </w:pPr>
            <w:r>
              <w:rPr>
                <w:rFonts w:ascii="Arial" w:cs="Arial" w:eastAsia="Arial" w:hAnsi="Arial"/>
                <w:sz w:val="18"/>
                <w:szCs w:val="18"/>
                <w:color w:val="auto"/>
              </w:rPr>
              <w:t>Other non-current liabilities consist of the following: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68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Deferred transition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left w:val="single" w:sz="8" w:color="CCEEFF"/>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8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21,521</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33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Accumulated other comprehensive loss (“AOCI”), consists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these foreign currency exchange contracts are recognized in AOCI on the Company's unaudited consolidated balance sheets until the settlement of those contracts. The balances as of March 31, 2020 and December 31, 2019 are as follows:</w:t>
      </w: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2"/>
                <w:szCs w:val="22"/>
                <w:color w:val="auto"/>
              </w:rPr>
            </w:pPr>
          </w:p>
        </w:tc>
        <w:tc>
          <w:tcPr>
            <w:tcW w:w="146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December 31, 2019</w:t>
            </w:r>
          </w:p>
        </w:tc>
      </w:tr>
      <w:tr>
        <w:trPr>
          <w:trHeight w:val="249"/>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(87,591)</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Unrealized (loss)/gain on cash flow hedges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4,604</w:t>
            </w:r>
          </w:p>
        </w:tc>
      </w:tr>
      <w:tr>
        <w:trPr>
          <w:trHeight w:val="27"/>
        </w:trPr>
        <w:tc>
          <w:tcPr>
            <w:tcW w:w="6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70"/>
        </w:trPr>
        <w:tc>
          <w:tcPr>
            <w:tcW w:w="68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Income tax benefit/(expense) relating to above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4,674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69"/>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(84,892)</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500" w:right="20" w:hanging="168"/>
        <w:spacing w:after="0" w:line="310" w:lineRule="auto"/>
        <w:tabs>
          <w:tab w:leader="none" w:pos="518" w:val="left"/>
        </w:tabs>
        <w:numPr>
          <w:ilvl w:val="0"/>
          <w:numId w:val="8"/>
        </w:numPr>
        <w:rPr>
          <w:rFonts w:ascii="Arial" w:cs="Arial" w:eastAsia="Arial" w:hAnsi="Arial"/>
          <w:sz w:val="11"/>
          <w:szCs w:val="11"/>
          <w:i w:val="1"/>
          <w:iCs w:val="1"/>
          <w:color w:val="auto"/>
        </w:rPr>
      </w:pPr>
      <w:r>
        <w:rPr>
          <w:rFonts w:ascii="Arial" w:cs="Arial" w:eastAsia="Arial" w:hAnsi="Arial"/>
          <w:sz w:val="16"/>
          <w:szCs w:val="16"/>
          <w:i w:val="1"/>
          <w:iCs w:val="1"/>
          <w:color w:val="auto"/>
        </w:rPr>
        <w:t>These are income tax benefits/(expenses) recognized on cash flow hedges and retirement benefits. Refer to Note 21 to the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2020 and December 31, 2019.</w:t>
      </w:r>
    </w:p>
    <w:p>
      <w:pPr>
        <w:spacing w:after="0" w:line="361"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114,116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114,116</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114,116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118,862</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14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38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1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2</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7,509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77" w:lineRule="auto"/>
        <w:tabs>
          <w:tab w:leader="none" w:pos="567"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those short-term investments which are carried at the fair value option under ASC 825 "Financial Instruments” as of March 31, 2020 and December 31, 2019.</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for derivative financial instruments are based on independent sources including highly rated financial institutions and are classified as Level 2. Refer to Note 16 to the unaudited consolidated financial statements for further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other financial instruments not carried at fair value consist primarily of cash and cash equivalents, short-term investments (except investment in mutual funds, as disclosed above), restricted cash, and accrued expenses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total estimated fair value of the convertible senior notes as of March 31, 2020 and December 31, 2019 was $120,033 and $149,934, respectively. The fair value was determined based on the market yields for similar Notes as of the March 31, 2020 and December 31, 2019, respectively. The Company considers the fair value of the Notes to be a Level 2 measurement due to the limited inputs available for its fair valuation.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Derivatives and Hedge Accounting</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$449,495 (including $2,550 of range forward contracts) as of March 31, 2020 and $410,390 (including $4,300 of range forward contracts) as of December 31, 2019.</w:t>
      </w:r>
    </w:p>
    <w:p>
      <w:pPr>
        <w:spacing w:after="0" w:line="16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derivative financial instruments are recorded along with the underlying hedged item in the same line of unaudited consolidated statements of income as either a part of “Cost of revenues”, “General and administrative expenses”, “Selling and marketing expenses”, “Depreciation and amortization expense”, as applicable.</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estimates that approximately $4,480 of net derivative losses, excluding tax effects, included in AOCI, representing changes in the value of cash flow hedges, could be reclassified into earnings within the next twelve months based on exchange rates prevailing as of March 31, 2020. At March 31, 2020, the maximum outstanding term of the cash flow hedges was 45 months.</w:t>
      </w:r>
    </w:p>
    <w:p>
      <w:pPr>
        <w:spacing w:after="0" w:line="18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$137,700, GBP 9,590 and EUR 1,446 as of March 31, 2020 and $124,045, GBP 10,843 and EUR 1,289 as of December 31, 2019.</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60960</wp:posOffset>
            </wp:positionV>
            <wp:extent cx="37287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46355</wp:posOffset>
            </wp:positionV>
            <wp:extent cx="26657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0"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December 31,2019</w:t>
      </w:r>
    </w:p>
    <w:p>
      <w:pPr>
        <w:spacing w:after="0" w:line="53" w:lineRule="exact"/>
        <w:rPr>
          <w:sz w:val="20"/>
          <w:szCs w:val="20"/>
          <w:color w:val="auto"/>
        </w:rPr>
      </w:pPr>
    </w:p>
    <w:p>
      <w:pPr>
        <w:sectPr>
          <w:pgSz w:w="11900" w:h="16838" w:orient="portrait"/>
          <w:cols w:equalWidth="0" w:num="2">
            <w:col w:w="6240" w:space="720"/>
            <w:col w:w="428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3,945</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3,433</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1,250</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56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46355</wp:posOffset>
            </wp:positionV>
            <wp:extent cx="3728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46355</wp:posOffset>
            </wp:positionV>
            <wp:extent cx="646366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3665" cy="179705"/>
                    </a:xfrm>
                    <a:prstGeom prst="rect">
                      <a:avLst/>
                    </a:prstGeom>
                    <a:noFill/>
                  </pic:spPr>
                </pic:pic>
              </a:graphicData>
            </a:graphic>
          </wp:anchor>
        </w:drawing>
      </w:r>
    </w:p>
    <w:p>
      <w:pPr>
        <w:spacing w:after="0" w:line="80"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December 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46355</wp:posOffset>
            </wp:positionV>
            <wp:extent cx="2665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240" w:space="720"/>
            <w:col w:w="4280"/>
          </w:cols>
          <w:pgMar w:left="320" w:top="121" w:right="3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1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1,268</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46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months ended March 31, 2020 and 2019:</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47"/>
        </w:trPr>
        <w:tc>
          <w:tcPr>
            <w:tcW w:w="46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1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r>
      <w:tr>
        <w:trPr>
          <w:trHeight w:val="47"/>
        </w:trPr>
        <w:tc>
          <w:tcPr>
            <w:tcW w:w="468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Unrealized (loss)/gain recognized in AOCI</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3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(14,846)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5,937</w:t>
            </w:r>
          </w:p>
        </w:tc>
      </w:tr>
      <w:tr>
        <w:trPr>
          <w:trHeight w:val="27"/>
        </w:trPr>
        <w:tc>
          <w:tcPr>
            <w:tcW w:w="4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w w:val="99"/>
              </w:rPr>
              <w:t>(Loss)/Gain recognized in consolidated statements of income</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w:t>
            </w:r>
          </w:p>
        </w:tc>
      </w:tr>
      <w:tr>
        <w:trPr>
          <w:trHeight w:val="432"/>
        </w:trPr>
        <w:tc>
          <w:tcPr>
            <w:tcW w:w="4680" w:type="dxa"/>
            <w:vAlign w:val="bottom"/>
          </w:tcPr>
          <w:p>
            <w:pPr>
              <w:spacing w:after="0"/>
              <w:rPr>
                <w:sz w:val="24"/>
                <w:szCs w:val="24"/>
                <w:color w:val="auto"/>
              </w:rPr>
            </w:pPr>
          </w:p>
        </w:tc>
        <w:tc>
          <w:tcPr>
            <w:tcW w:w="2700" w:type="dxa"/>
            <w:vAlign w:val="bottom"/>
          </w:tcPr>
          <w:p>
            <w:pPr>
              <w:jc w:val="right"/>
              <w:ind w:right="19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ind w:left="720" w:right="1280"/>
        <w:spacing w:after="0" w:line="298"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-6350</wp:posOffset>
            </wp:positionV>
            <wp:extent cx="6266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46355</wp:posOffset>
            </wp:positionV>
            <wp:extent cx="3497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2020</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spacing w:after="0"/>
              <w:rPr>
                <w:sz w:val="18"/>
                <w:szCs w:val="18"/>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5"/>
          </w:tcPr>
          <w:p>
            <w:pPr>
              <w:jc w:val="center"/>
              <w:ind w:right="173"/>
              <w:spacing w:after="0"/>
              <w:rPr>
                <w:sz w:val="20"/>
                <w:szCs w:val="20"/>
                <w:color w:val="auto"/>
              </w:rPr>
            </w:pPr>
            <w:r>
              <w:rPr>
                <w:rFonts w:ascii="Arial" w:cs="Arial" w:eastAsia="Arial" w:hAnsi="Arial"/>
                <w:sz w:val="16"/>
                <w:szCs w:val="16"/>
                <w:b w:val="1"/>
                <w:bCs w:val="1"/>
                <w:color w:val="auto"/>
                <w:w w:val="91"/>
              </w:rPr>
              <w:t>As per unaudited</w:t>
            </w: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Gain/(loss) on</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As per unaudited</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Gain on foreign</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foreign currency</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consolidated</w:t>
            </w:r>
          </w:p>
        </w:tc>
        <w:tc>
          <w:tcPr>
            <w:tcW w:w="220" w:type="dxa"/>
            <w:vAlign w:val="bottom"/>
          </w:tcPr>
          <w:p>
            <w:pPr>
              <w:spacing w:after="0"/>
              <w:rPr>
                <w:sz w:val="17"/>
                <w:szCs w:val="17"/>
                <w:color w:val="auto"/>
              </w:rPr>
            </w:pPr>
          </w:p>
        </w:tc>
        <w:tc>
          <w:tcPr>
            <w:tcW w:w="108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currency</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exchange</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statements of</w:t>
            </w:r>
          </w:p>
        </w:tc>
        <w:tc>
          <w:tcPr>
            <w:tcW w:w="220" w:type="dxa"/>
            <w:vAlign w:val="bottom"/>
          </w:tcPr>
          <w:p>
            <w:pPr>
              <w:spacing w:after="0"/>
              <w:rPr>
                <w:sz w:val="17"/>
                <w:szCs w:val="17"/>
                <w:color w:val="auto"/>
              </w:rPr>
            </w:pPr>
          </w:p>
        </w:tc>
        <w:tc>
          <w:tcPr>
            <w:tcW w:w="1080" w:type="dxa"/>
            <w:vAlign w:val="bottom"/>
          </w:tcPr>
          <w:p>
            <w:pPr>
              <w:jc w:val="center"/>
              <w:ind w:right="133"/>
              <w:spacing w:after="0"/>
              <w:rPr>
                <w:sz w:val="20"/>
                <w:szCs w:val="20"/>
                <w:color w:val="auto"/>
              </w:rPr>
            </w:pPr>
            <w:r>
              <w:rPr>
                <w:rFonts w:ascii="Arial" w:cs="Arial" w:eastAsia="Arial" w:hAnsi="Arial"/>
                <w:sz w:val="16"/>
                <w:szCs w:val="16"/>
                <w:b w:val="1"/>
                <w:bCs w:val="1"/>
                <w:color w:val="auto"/>
                <w:w w:val="83"/>
              </w:rPr>
              <w:t>exchange</w:t>
            </w:r>
          </w:p>
        </w:tc>
      </w:t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5"/>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contracts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1080" w:type="dxa"/>
            <w:vAlign w:val="bottom"/>
          </w:tcPr>
          <w:p>
            <w:pPr>
              <w:jc w:val="center"/>
              <w:ind w:right="133"/>
              <w:spacing w:after="0"/>
              <w:rPr>
                <w:sz w:val="20"/>
                <w:szCs w:val="20"/>
                <w:color w:val="auto"/>
              </w:rPr>
            </w:pPr>
            <w:r>
              <w:rPr>
                <w:rFonts w:ascii="Arial" w:cs="Arial" w:eastAsia="Arial" w:hAnsi="Arial"/>
                <w:sz w:val="16"/>
                <w:szCs w:val="16"/>
                <w:b w:val="1"/>
                <w:bCs w:val="1"/>
                <w:color w:val="auto"/>
                <w:w w:val="86"/>
              </w:rPr>
              <w:t>contracts</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4360" w:type="dxa"/>
            <w:vAlign w:val="bottom"/>
            <w:gridSpan w:val="2"/>
          </w:tcPr>
          <w:p>
            <w:pPr>
              <w:ind w:left="20"/>
              <w:spacing w:after="0"/>
              <w:rPr>
                <w:sz w:val="20"/>
                <w:szCs w:val="20"/>
                <w:color w:val="auto"/>
              </w:rPr>
            </w:pPr>
            <w:r>
              <w:rPr>
                <w:rFonts w:ascii="Arial" w:cs="Arial" w:eastAsia="Arial" w:hAnsi="Arial"/>
                <w:sz w:val="18"/>
                <w:szCs w:val="18"/>
                <w:color w:val="auto"/>
                <w:w w:val="95"/>
              </w:rPr>
              <w:t>Location in unaudited consolidated statements of income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where gain was reclassed from AOCI</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162,656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157,240</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671</w:t>
            </w:r>
          </w:p>
        </w:tc>
      </w:tr>
      <w:tr>
        <w:trPr>
          <w:trHeight w:val="67"/>
        </w:trPr>
        <w:tc>
          <w:tcPr>
            <w:tcW w:w="4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Location in unaudited consolidated statements of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where gain/(loss) was recognized</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gain/(loss),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1,396</w:t>
            </w: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Borrowings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Revolver Credit Agreement</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sub-facility. The Credit Facility has a maturity date of November 21, 2022 and is voluntarily pre-payable from time to time without premium or penalty. Borrowings under the Credit Facility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The incremental commitments were made pursuant to (and constitute part of) the existing commitments and are subject to the terms and conditions applicable to the existing commitments as set forth in the Credit Agreement.</w:t>
      </w:r>
    </w:p>
    <w:p>
      <w:pPr>
        <w:spacing w:after="0" w:line="19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Depending on the type of borrowing, borrowings under the Credit Agreement bear interest at a rate equal to the specified prime rate (alternate base rate) or adjusted LIBOR rate, plus, in each case, an applicable margin. The applicable margin is tied to the Company’s total net leverage ratio and ranges from 0% to 0.75% per annum with respect to loans pegged to the specified prime rate, and 1.00% to 1.75% per annum on loans pegged to the adjusted LIBOR rate. The revolving credit commitments under the Credit Agreement are subject to a commitment fee, which is also tied to the Company’s total net leverage ratio, and ranges from</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0.15% to 0.30% per annum on the average daily amount by which the aggregate revolving commitments exceed the sum of outstanding revolving loans and letter of credit obligations. The Credit Facility carried an effective interest rate of 3.0% per annum and 3.9% per annum during the three months ended March 31, 2020, and 2019, respectively.</w:t>
      </w:r>
    </w:p>
    <w:p>
      <w:pPr>
        <w:spacing w:after="0" w:line="17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Obligations under the Credit Agreement are guaranteed by the Company’s material domestic subsidiaries and are secured by all or substantially all of the assets of the Company and its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March 31, 2020, the Company was in compliance with all financial and non-financial covenants listed under the Credit Agreement.</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2020, the Company had outstanding indebtedness under the Credit Facility of $199,000, of which $100,000 is expected to be repaid within the next twelve months and is included under “current portion of long-term borrowings” and of which $99,000 is included under “long-term borrowings, less current portion” in the unaudited consolidated balance sheets. As of December 31, 2019, the Company had an outstanding indebtedness under the Credit Facility of $99,000, of which $40,000 was included under “current portion of long-term borrowings” and the balance of $59,000 was included under “long-term borrowings, less current portion” in the consolidated balance sheets.</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incurred certain debt issuance costs, which are deferred and amortized as an adjustment to interest expense over the term of the credit facility. The unamortized debt issuance costs as of March 31, 2020 and December 31, 2019 was $684 and $748, respectively, and is included under "other current assets" and “other assets” in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months ended March 31, 2020 and 2019, the Company recognized interest expense of $1,313 each on the Notes.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that the Company to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 The Company may elect to settle conversions of the Notes by paying or delivering, as the case may be, cash, shares of the Company’s common stock or a combination of cash and shares of the Company’s common stock. The Company used the proceeds from the issuance of the Notes to repay $150,000 of its outstanding borrowings under the Credit Facility.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net proceeds from the issuance of the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 The unamortized debt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issuance costs are presented as a direct reduction from the Notes in the consolidated balance sheets. The unamortized debt issuance costs as of March 31, 2020 and December 31, 2019 were $964 and $1,018, respectively.</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three months ended March 31, 2020 and March 31, 2019, the Company amortized $635 and $600, of the discount to interest expense, on the Notes. The unamortized debt discount on the Notes as of March 31, 2020 and December 31, 2019 was $13,216 and $13,851, respectively.</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Borrowings also includes structured payables which are in the nature of debt, amounting to $666 and $867 as of March 31, 2020 and December 31, 2019, respectively, included under "current portion of long-term borrowings".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principal payments/maturities for all of the Company's borrowings as of March 31, 2020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Structured</w:t>
            </w:r>
          </w:p>
        </w:tc>
        <w:tc>
          <w:tcPr>
            <w:tcW w:w="320" w:type="dxa"/>
            <w:vAlign w:val="bottom"/>
          </w:tcPr>
          <w:p>
            <w:pPr>
              <w:spacing w:after="0"/>
              <w:rPr>
                <w:sz w:val="18"/>
                <w:szCs w:val="18"/>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5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Notes</w:t>
            </w: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Revolver Credit</w:t>
            </w:r>
          </w:p>
        </w:tc>
        <w:tc>
          <w:tcPr>
            <w:tcW w:w="200" w:type="dxa"/>
            <w:vAlign w:val="bottom"/>
          </w:tcPr>
          <w:p>
            <w:pPr>
              <w:spacing w:after="0"/>
              <w:rPr>
                <w:sz w:val="10"/>
                <w:szCs w:val="10"/>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7"/>
              </w:rPr>
              <w:t>Payables</w:t>
            </w:r>
          </w:p>
        </w:tc>
        <w:tc>
          <w:tcPr>
            <w:tcW w:w="3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(April - December)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100,666</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349,666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March 31, 2020 and December 31, 2019, the Company had outstanding letters of credit of $461 each that were not recognized in the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March 31, 2020 and 2019, the Company purchased 26,601 and 22,666 shares of common stock, respectively, from employees in connection with withholding tax payments related to the vesting of restricted stock for a total consideration of $2,012 and $1,408, respectively. The weighted average purchase price per share of $75.63 and $62.11, respectively, was the closing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December 16, 2019, the Company’s Board of Directors authorized a $200,000 common stock repurchase program beginning January 1, 2020 through December 31, 2022 (the “2019 Repurchase Program”). The shares may be purchased by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from time to time from the open market and through private transactions, or otherwise, as determined by the Company’s management as market conditions warrant.</w:t>
      </w:r>
    </w:p>
    <w:p>
      <w:pPr>
        <w:spacing w:after="0" w:line="170"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three months ended March 31, 2020, the Company purchased 175,765 shares of its common stock, for an aggregate purchase price of $11,983, including commissions, representing an average purchase price per share of $68.18, under the 2019 Repurchase Program.</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quarter ended March 31, 2020, to enhance the Company’s liquidity position in response to COVID-19, the Company elected to temporarily suspend share repurchases under the 2019 Repurchase Program. The 2019 Repurchase Program remains authorized by the Board of Directors and the Company has the discretion to resume share repurchases in the future at any time, depending upon market conditions, the Company’s capital needs and other factors.</w:t>
      </w:r>
    </w:p>
    <w:p>
      <w:pPr>
        <w:spacing w:after="0" w:line="18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three months ended March 31, 2019, the Company purchased 239,865 shares of its common stock, for an aggregate purchase price of $14,000, including commissions, representing an average purchase price per share of $58.37 under the 2017 Repurchase Program.</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 Plans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w:t>
      </w:r>
    </w:p>
    <w:p>
      <w:pPr>
        <w:spacing w:after="0" w:line="163"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24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6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(142)</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Amortization of actuarial loss/(gain)</w:t>
            </w: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5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Fund managers manage these funds and calculate the annual contribution required to be made by the Company and manage the Gratuity Plans, including any required payouts. These funds are managed on a cash accumulation basis and interest is declared retrospectively on March 31 of each year. The Company earned a return of approximately 7.5% per annum on these Gratuity Plans for the three months ended March 31, 2020.</w:t>
      </w:r>
    </w:p>
    <w:p>
      <w:pPr>
        <w:spacing w:after="0" w:line="13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2020</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8,784</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Employer contribution</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7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57"/>
        </w:trPr>
        <w:tc>
          <w:tcPr>
            <w:tcW w:w="7620" w:type="dxa"/>
            <w:vAlign w:val="bottom"/>
          </w:tcPr>
          <w:p>
            <w:pPr>
              <w:ind w:left="20"/>
              <w:spacing w:after="0"/>
              <w:rPr>
                <w:sz w:val="20"/>
                <w:szCs w:val="20"/>
                <w:color w:val="auto"/>
              </w:rPr>
            </w:pPr>
            <w:r>
              <w:rPr>
                <w:rFonts w:ascii="Arial" w:cs="Arial" w:eastAsia="Arial" w:hAnsi="Arial"/>
                <w:sz w:val="18"/>
                <w:szCs w:val="18"/>
                <w:color w:val="auto"/>
              </w:rPr>
              <w:t>Plan assets at March 31, 2020</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w:t>
            </w:r>
          </w:p>
        </w:tc>
      </w:tr>
      <w:tr>
        <w:trPr>
          <w:trHeight w:val="20"/>
        </w:trPr>
        <w:tc>
          <w:tcPr>
            <w:tcW w:w="7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6"/>
          <w:szCs w:val="16"/>
          <w:i w:val="1"/>
          <w:iCs w:val="1"/>
          <w:color w:val="auto"/>
        </w:rPr>
        <w:t>Benefits</w:t>
      </w:r>
      <w:r>
        <w:rPr>
          <w:rFonts w:ascii="Arial" w:cs="Arial" w:eastAsia="Arial" w:hAnsi="Arial"/>
          <w:sz w:val="18"/>
          <w:szCs w:val="18"/>
          <w:i w:val="1"/>
          <w:iCs w:val="1"/>
          <w:color w:val="auto"/>
        </w:rPr>
        <w:t xml:space="preserve"> payments were substantially made through the plan assets during the three months ended March 31, 2020.</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 of employee compensation within certain limits. The Company accrued for contributions to the 401(k) Plans of $226 and $1,213 for the three months ended March 31, 2020 and 2019, respectively.</w:t>
      </w:r>
    </w:p>
    <w:p>
      <w:pPr>
        <w:spacing w:after="0" w:line="18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During the three months ended March 31, 2020 and 2019, the Company contributed $2,917 and $2,004, respectively, for various defined contribution plans on behalf of its employees in India, the Philippines, Romania, the Czech Republic, South Africa, Colombia, and Singapore.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170"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Company had performed an evaluation of its contracts with suppliers in accordance with Topic 842 and had determined that, except for leases for office facilities, motor vehicles and other equipment as described above, none of the Company’s contracts contain a lease.</w:t>
      </w:r>
    </w:p>
    <w:p>
      <w:pPr>
        <w:spacing w:after="0" w:line="2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assessment of the lease term, the Company considers the extension option as part of its lease term for those lease arrangements where the Company is reasonably certain of availing the extension option.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lease agreements do not contain any covenant to impose any restrictions except for market-standard practice for similar lease arrangements.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293"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As of</w:t>
            </w:r>
          </w:p>
        </w:tc>
        <w:tc>
          <w:tcPr>
            <w:tcW w:w="180" w:type="dxa"/>
            <w:vAlign w:val="bottom"/>
          </w:tcPr>
          <w:p>
            <w:pPr>
              <w:spacing w:after="0"/>
              <w:rPr>
                <w:sz w:val="18"/>
                <w:szCs w:val="18"/>
                <w:color w:val="auto"/>
              </w:rPr>
            </w:pPr>
          </w:p>
        </w:tc>
        <w:tc>
          <w:tcPr>
            <w:tcW w:w="1620" w:type="dxa"/>
            <w:vAlign w:val="bottom"/>
          </w:tcPr>
          <w:p>
            <w:pPr>
              <w:jc w:val="right"/>
              <w:ind w:right="639"/>
              <w:spacing w:after="0"/>
              <w:rPr>
                <w:sz w:val="20"/>
                <w:szCs w:val="20"/>
                <w:color w:val="auto"/>
              </w:rPr>
            </w:pPr>
            <w:r>
              <w:rPr>
                <w:rFonts w:ascii="Arial" w:cs="Arial" w:eastAsia="Arial" w:hAnsi="Arial"/>
                <w:sz w:val="16"/>
                <w:szCs w:val="16"/>
                <w:b w:val="1"/>
                <w:bCs w:val="1"/>
                <w:color w:val="auto"/>
              </w:rPr>
              <w:t>As of</w:t>
            </w:r>
          </w:p>
        </w:tc>
      </w:tr>
      <w:tr>
        <w:trPr>
          <w:trHeight w:val="270"/>
        </w:trPr>
        <w:tc>
          <w:tcPr>
            <w:tcW w:w="7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23"/>
                <w:szCs w:val="23"/>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99,940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86,396</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318"/>
        </w:trPr>
        <w:tc>
          <w:tcPr>
            <w:tcW w:w="7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18,236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24,148</w:t>
            </w:r>
          </w:p>
        </w:tc>
      </w:tr>
      <w:tr>
        <w:trPr>
          <w:trHeight w:val="33"/>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74,709</w:t>
            </w:r>
          </w:p>
        </w:tc>
      </w:tr>
      <w:tr>
        <w:trPr>
          <w:trHeight w:val="217"/>
        </w:trPr>
        <w:tc>
          <w:tcPr>
            <w:tcW w:w="7280" w:type="dxa"/>
            <w:vAlign w:val="bottom"/>
          </w:tcPr>
          <w:p>
            <w:pPr>
              <w:ind w:left="260"/>
              <w:spacing w:after="0"/>
              <w:rPr>
                <w:sz w:val="20"/>
                <w:szCs w:val="20"/>
                <w:color w:val="auto"/>
              </w:rPr>
            </w:pPr>
            <w:r>
              <w:rPr>
                <w:rFonts w:ascii="Arial" w:cs="Arial" w:eastAsia="Arial" w:hAnsi="Arial"/>
                <w:sz w:val="16"/>
                <w:szCs w:val="16"/>
                <w:color w:val="auto"/>
              </w:rPr>
              <w:t>Total operating lease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111,943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98,857</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7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24"/>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Finance Lease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6"/>
        </w:trPr>
        <w:tc>
          <w:tcPr>
            <w:tcW w:w="7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r>
      <w:tr>
        <w:trPr>
          <w:trHeight w:val="263"/>
        </w:trPr>
        <w:tc>
          <w:tcPr>
            <w:tcW w:w="72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liabilities - 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7"/>
        </w:trPr>
        <w:tc>
          <w:tcPr>
            <w:tcW w:w="7280" w:type="dxa"/>
            <w:vAlign w:val="bottom"/>
          </w:tcPr>
          <w:p>
            <w:pPr>
              <w:ind w:left="20"/>
              <w:spacing w:after="0"/>
              <w:rPr>
                <w:sz w:val="20"/>
                <w:szCs w:val="20"/>
                <w:color w:val="auto"/>
              </w:rPr>
            </w:pPr>
            <w:r>
              <w:rPr>
                <w:rFonts w:ascii="Arial" w:cs="Arial" w:eastAsia="Arial" w:hAnsi="Arial"/>
                <w:sz w:val="16"/>
                <w:szCs w:val="16"/>
                <w:color w:val="auto"/>
              </w:rPr>
              <w:t>Finance lease liabilities - Non-current</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430</w:t>
            </w:r>
          </w:p>
        </w:tc>
      </w:tr>
      <w:tr>
        <w:trPr>
          <w:trHeight w:val="33"/>
        </w:trPr>
        <w:tc>
          <w:tcPr>
            <w:tcW w:w="7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finance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which are included in the Company's unaudited consolidated statements of income, are as follows:</w:t>
      </w:r>
    </w:p>
    <w:p>
      <w:pPr>
        <w:sectPr>
          <w:pgSz w:w="11900" w:h="16838" w:orient="portrait"/>
          <w:cols w:equalWidth="0" w:num="1">
            <w:col w:w="10980"/>
          </w:cols>
          <w:pgMar w:left="320" w:top="121" w:right="599" w:bottom="1440" w:gutter="0" w:footer="0" w:header="0"/>
        </w:sect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Lease cost</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Finance lease: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Amortization of right-of-use assets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Interest on lease liabilities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Operating lease</w:t>
      </w:r>
      <w:r>
        <w:rPr>
          <w:rFonts w:ascii="Arial" w:cs="Arial" w:eastAsia="Arial" w:hAnsi="Arial"/>
          <w:sz w:val="21"/>
          <w:szCs w:val="21"/>
          <w:b w:val="1"/>
          <w:bCs w:val="1"/>
          <w:color w:val="auto"/>
          <w:vertAlign w:val="superscript"/>
        </w:rPr>
        <w:t>(a)</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Total lease cost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Includes short-term leases, which are immaterial.</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March</w:t>
            </w:r>
          </w:p>
        </w:tc>
        <w:tc>
          <w:tcPr>
            <w:tcW w:w="20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Three months ended March</w:t>
            </w:r>
          </w:p>
        </w:tc>
      </w:tr>
      <w:tr>
        <w:trPr>
          <w:trHeight w:val="210"/>
        </w:trPr>
        <w:tc>
          <w:tcPr>
            <w:tcW w:w="100" w:type="dxa"/>
            <w:vAlign w:val="bottom"/>
          </w:tcPr>
          <w:p>
            <w:pPr>
              <w:spacing w:after="0"/>
              <w:rPr>
                <w:sz w:val="18"/>
                <w:szCs w:val="18"/>
                <w:color w:val="auto"/>
              </w:rPr>
            </w:pPr>
          </w:p>
        </w:tc>
        <w:tc>
          <w:tcPr>
            <w:tcW w:w="2040" w:type="dxa"/>
            <w:vAlign w:val="bottom"/>
          </w:tcPr>
          <w:p>
            <w:pPr>
              <w:jc w:val="right"/>
              <w:ind w:right="719"/>
              <w:spacing w:after="0"/>
              <w:rPr>
                <w:sz w:val="20"/>
                <w:szCs w:val="20"/>
                <w:color w:val="auto"/>
              </w:rPr>
            </w:pPr>
            <w:r>
              <w:rPr>
                <w:rFonts w:ascii="Arial" w:cs="Arial" w:eastAsia="Arial" w:hAnsi="Arial"/>
                <w:sz w:val="16"/>
                <w:szCs w:val="16"/>
                <w:b w:val="1"/>
                <w:bCs w:val="1"/>
                <w:color w:val="auto"/>
              </w:rPr>
              <w:t>31, 2020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b w:val="1"/>
                <w:bCs w:val="1"/>
                <w:color w:val="auto"/>
              </w:rPr>
              <w:t>31, 2019</w:t>
            </w:r>
          </w:p>
        </w:tc>
      </w:tr>
      <w:tr>
        <w:trPr>
          <w:trHeight w:val="33"/>
        </w:trPr>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70"/>
        </w:trPr>
        <w:tc>
          <w:tcPr>
            <w:tcW w:w="100" w:type="dxa"/>
            <w:vAlign w:val="bottom"/>
          </w:tcPr>
          <w:p>
            <w:pPr>
              <w:spacing w:after="0"/>
              <w:rPr>
                <w:sz w:val="23"/>
                <w:szCs w:val="23"/>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100" w:type="dxa"/>
            <w:vAlign w:val="bottom"/>
          </w:tcPr>
          <w:p>
            <w:pPr>
              <w:spacing w:after="0"/>
              <w:rPr>
                <w:sz w:val="23"/>
                <w:szCs w:val="23"/>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6,853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7,017</w:t>
            </w:r>
          </w:p>
        </w:tc>
      </w:tr>
      <w:tr>
        <w:trPr>
          <w:trHeight w:val="33"/>
        </w:trPr>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6,945</w:t>
            </w:r>
          </w:p>
        </w:tc>
        <w:tc>
          <w:tcPr>
            <w:tcW w:w="10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7,137</w:t>
            </w:r>
          </w:p>
        </w:tc>
      </w:tr>
      <w:tr>
        <w:trPr>
          <w:trHeight w:val="33"/>
        </w:trPr>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-890905</wp:posOffset>
            </wp:positionV>
            <wp:extent cx="675513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55130" cy="18034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-539115</wp:posOffset>
            </wp:positionV>
            <wp:extent cx="67551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55130" cy="17145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-196215</wp:posOffset>
            </wp:positionV>
            <wp:extent cx="675513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55130" cy="179705"/>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5980" w:space="720"/>
            <w:col w:w="4280"/>
          </w:cols>
          <w:pgMar w:left="320" w:top="121" w:right="599" w:bottom="1440" w:gutter="0" w:footer="0" w:header="0"/>
          <w:type w:val="continuous"/>
        </w:sectPr>
      </w:pPr>
    </w:p>
    <w:p>
      <w:pPr>
        <w:spacing w:after="0" w:line="37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80"/>
          </w:cols>
          <w:pgMar w:left="320" w:top="121" w:right="5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Supplemental cash flow and other information related to leases are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120" w:type="dxa"/>
            <w:vAlign w:val="bottom"/>
            <w:vMerge w:val="restart"/>
          </w:tcPr>
          <w:p>
            <w:pPr>
              <w:ind w:left="20"/>
              <w:spacing w:after="0"/>
              <w:rPr>
                <w:sz w:val="20"/>
                <w:szCs w:val="20"/>
                <w:color w:val="auto"/>
              </w:rPr>
            </w:pPr>
            <w:r>
              <w:rPr>
                <w:rFonts w:ascii="Arial" w:cs="Arial" w:eastAsia="Arial" w:hAnsi="Arial"/>
                <w:sz w:val="16"/>
                <w:szCs w:val="16"/>
                <w:color w:val="auto"/>
              </w:rPr>
              <w:t>Cash payments for amounts included in the measurement of lease liabilities :</w:t>
            </w: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cash outflows for operating leases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237"/>
        </w:trPr>
        <w:tc>
          <w:tcPr>
            <w:tcW w:w="7120" w:type="dxa"/>
            <w:vAlign w:val="bottom"/>
          </w:tcPr>
          <w:p>
            <w:pPr>
              <w:ind w:left="380"/>
              <w:spacing w:after="0"/>
              <w:rPr>
                <w:sz w:val="20"/>
                <w:szCs w:val="20"/>
                <w:color w:val="auto"/>
              </w:rPr>
            </w:pPr>
            <w:r>
              <w:rPr>
                <w:rFonts w:ascii="Arial" w:cs="Arial" w:eastAsia="Arial" w:hAnsi="Arial"/>
                <w:sz w:val="16"/>
                <w:szCs w:val="16"/>
                <w:color w:val="auto"/>
              </w:rPr>
              <w:t>Operating cash outflows for finance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Financing cash outflows for finance leases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71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16,366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16,614</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Arial" w:cs="Arial" w:eastAsia="Arial" w:hAnsi="Arial"/>
                <w:sz w:val="16"/>
                <w:szCs w:val="16"/>
                <w:color w:val="auto"/>
              </w:rPr>
              <w:t>Weighted-average remaining lease term</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Finance lease</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2.3 years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 years</w:t>
            </w:r>
          </w:p>
        </w:tc>
        <w:tc>
          <w:tcPr>
            <w:tcW w:w="0" w:type="dxa"/>
            <w:vAlign w:val="bottom"/>
          </w:tcPr>
          <w:p>
            <w:pPr>
              <w:spacing w:after="0"/>
              <w:rPr>
                <w:sz w:val="1"/>
                <w:szCs w:val="1"/>
                <w:color w:val="auto"/>
              </w:rPr>
            </w:pPr>
          </w:p>
        </w:tc>
      </w:tr>
      <w:tr>
        <w:trPr>
          <w:trHeight w:val="237"/>
        </w:trPr>
        <w:tc>
          <w:tcPr>
            <w:tcW w:w="7120" w:type="dxa"/>
            <w:vAlign w:val="bottom"/>
          </w:tcPr>
          <w:p>
            <w:pPr>
              <w:ind w:left="380"/>
              <w:spacing w:after="0"/>
              <w:rPr>
                <w:sz w:val="20"/>
                <w:szCs w:val="20"/>
                <w:color w:val="auto"/>
              </w:rPr>
            </w:pPr>
            <w:r>
              <w:rPr>
                <w:rFonts w:ascii="Arial" w:cs="Arial" w:eastAsia="Arial" w:hAnsi="Arial"/>
                <w:sz w:val="16"/>
                <w:szCs w:val="16"/>
                <w:color w:val="auto"/>
              </w:rPr>
              <w:t>Operating lease</w:t>
            </w:r>
          </w:p>
        </w:tc>
        <w:tc>
          <w:tcPr>
            <w:tcW w:w="320" w:type="dxa"/>
            <w:vAlign w:val="bottom"/>
          </w:tcPr>
          <w:p>
            <w:pPr>
              <w:spacing w:after="0"/>
              <w:rPr>
                <w:sz w:val="20"/>
                <w:szCs w:val="20"/>
                <w:color w:val="auto"/>
              </w:rPr>
            </w:pPr>
          </w:p>
        </w:tc>
        <w:tc>
          <w:tcPr>
            <w:tcW w:w="1480" w:type="dxa"/>
            <w:vAlign w:val="bottom"/>
            <w:gridSpan w:val="2"/>
          </w:tcPr>
          <w:p>
            <w:pPr>
              <w:ind w:left="640"/>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6.4 years</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380"/>
              <w:spacing w:after="0"/>
              <w:rPr>
                <w:sz w:val="20"/>
                <w:szCs w:val="20"/>
                <w:color w:val="auto"/>
              </w:rPr>
            </w:pPr>
            <w:r>
              <w:rPr>
                <w:rFonts w:ascii="Arial" w:cs="Arial" w:eastAsia="Arial" w:hAnsi="Arial"/>
                <w:sz w:val="16"/>
                <w:szCs w:val="16"/>
                <w:color w:val="auto"/>
              </w:rPr>
              <w:t>Finance lease</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lease</w:t>
            </w: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7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lease liabilities as of March 31, 2020 are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8"/>
                <w:szCs w:val="18"/>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Finance Leases</w:t>
            </w:r>
          </w:p>
        </w:tc>
      </w:tr>
      <w:tr>
        <w:trPr>
          <w:trHeight w:val="33"/>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(April 1 - December 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24,377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2025 and thereafter</w:t>
            </w:r>
          </w:p>
        </w:tc>
        <w:tc>
          <w:tcPr>
            <w:tcW w:w="20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42,783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37"/>
        </w:trPr>
        <w:tc>
          <w:tcPr>
            <w:tcW w:w="670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34,586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33"/>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Maturities of minimum lease payments as of December 31, 2019 are as follows:</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During the next twelve months ending December 31,</w:t>
            </w:r>
          </w:p>
        </w:tc>
        <w:tc>
          <w:tcPr>
            <w:tcW w:w="24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9"/>
                <w:szCs w:val="19"/>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Capital Leases</w:t>
            </w:r>
          </w:p>
        </w:tc>
      </w:tr>
      <w:tr>
        <w:trPr>
          <w:trHeight w:val="33"/>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33"/>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19,381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2025 and thereafter</w:t>
            </w:r>
          </w:p>
        </w:tc>
        <w:tc>
          <w:tcPr>
            <w:tcW w:w="2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23,983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minimum lease payment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31,613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minimum lease payments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income tax expense of $5,855 and $4,200 for the three months ended March 31, 2020 and 2019, respectively. The effective tax rate decreased from 22.1% during the three months ended March 31, 2019 to 20.7% during the three months ended March 31, 2020, primarily as a result of the recording of higher excess tax benefits related to stock awards of $1,799 pursuant to ASU No. 2016-09 during the three months ended March 31, 2020 compared to $1,015 during the three months ended March 31, 2019.</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Income taxes recognized in other comprehensive income are as follows: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7300" w:type="dxa"/>
            <w:vAlign w:val="bottom"/>
          </w:tcPr>
          <w:p>
            <w:pPr>
              <w:spacing w:after="0"/>
              <w:rPr>
                <w:sz w:val="24"/>
                <w:szCs w:val="24"/>
                <w:color w:val="auto"/>
              </w:rPr>
            </w:pPr>
          </w:p>
        </w:tc>
        <w:tc>
          <w:tcPr>
            <w:tcW w:w="312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taxes benefit/(expense):</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Unrealized gain/(loss) on cash flow hedges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4,808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(1,543)</w:t>
            </w:r>
          </w:p>
        </w:tc>
      </w:tr>
      <w:tr>
        <w:trPr>
          <w:trHeight w:val="27"/>
        </w:trPr>
        <w:tc>
          <w:tcPr>
            <w:tcW w:w="7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Income tax benefit/(expense) recognized in other comprehensive income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4,799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w:t>
            </w:r>
          </w:p>
        </w:tc>
      </w:tr>
      <w:tr>
        <w:trPr>
          <w:trHeight w:val="20"/>
        </w:trPr>
        <w:tc>
          <w:tcPr>
            <w:tcW w:w="7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7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9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49"/>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2,975</w:t>
            </w:r>
          </w:p>
        </w:tc>
      </w:tr>
      <w:tr>
        <w:trPr>
          <w:trHeight w:val="27"/>
        </w:trPr>
        <w:tc>
          <w:tcPr>
            <w:tcW w:w="7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2,655</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4,778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6,956</w:t>
            </w:r>
          </w:p>
        </w:tc>
      </w:tr>
      <w:tr>
        <w:trPr>
          <w:trHeight w:val="27"/>
        </w:trPr>
        <w:tc>
          <w:tcPr>
            <w:tcW w:w="7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the Company had 2,308,555 shares available for grant under the 2018 Omnibus Incentive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68"/>
        </w:trPr>
        <w:tc>
          <w:tcPr>
            <w:tcW w:w="50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7"/>
                <w:szCs w:val="7"/>
                <w:color w:val="auto"/>
              </w:rPr>
            </w:pPr>
          </w:p>
        </w:tc>
        <w:tc>
          <w:tcPr>
            <w:tcW w:w="11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0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7"/>
                <w:szCs w:val="7"/>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87"/>
        </w:trPr>
        <w:tc>
          <w:tcPr>
            <w:tcW w:w="502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March 31, 2020</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vMerge w:val="continue"/>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58,329</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compensation cost for unvested options as of March 31, 2020 was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3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Number</w:t>
            </w:r>
          </w:p>
        </w:tc>
        <w:tc>
          <w:tcPr>
            <w:tcW w:w="12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05"/>
        </w:trPr>
        <w:tc>
          <w:tcPr>
            <w:tcW w:w="5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5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913,094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368,683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2020*</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963,839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As of March 31, 2020 and December 31, 2019 restricted stock units vested for which the underlying common stock is yet to be issued is 167,270 each.</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2020, unrecognized compensation cost of $61,705 is expected to be expensed over a weighted average period of 3.07 years.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 based restricted stock unit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24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47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82.10</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61,368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78.29</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61,352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147,758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69.08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147,727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2020, unrecognized compensation cost of $10,092 is expected to be expensed over a weighted average period of 2.21 years.</w:t>
      </w:r>
    </w:p>
    <w:p>
      <w:pPr>
        <w:sectPr>
          <w:pgSz w:w="11900" w:h="16838" w:orient="portrait"/>
          <w:cols w:equalWidth="0" w:num="1">
            <w:col w:w="10840"/>
          </w:cols>
          <w:pgMar w:left="320" w:top="121" w:right="7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840"/>
          </w:cols>
          <w:pgMar w:left="320" w:top="121" w:right="7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Disclosures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had outstanding Notes with a principal amount of $150,000 each as of March 31, 2020 and December 31, 2019 and interest accrued of $2,625 and $1,313 as of March 31, 2020 and December 31, 2019, respectively, related to the Investment Agreement. During the three months ended March 31, 2020 and 2019, the Company recognized interest expense of $1,313 each on the Notes. Refer to Note 17 to the unaudited consolidated financial statements for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At March 31, 2020, the Company has committed to spend approximately $12,300 under agreements to purchase property and equipment. This amount is net of capital advances paid which are recognized in the unaudited consolidated balance sheets as property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units of the Company’s Indian subsidiaries were established as 100% Export-Oriented units or under the Software Technology Parks of India (“STPI”) or Special Economic Zone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operations centers in the Philippines are registered with the Philippine Economic Zone Authority (“PEZA”). The registration provides the Company with certain fiscal incentives on the import of capital goods and local purchase of services and materials and requires ExlService Philippines, Inc. to meet certain performance and investment criteria. The Company’s management believes that these centers have in the past satisfied and will continue to satisfy the required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the Philippines and India, tax year 2016 and subsequent tax years remain open for examination by the tax authorities as of March 31, 2020.</w:t>
      </w:r>
    </w:p>
    <w:p>
      <w:pPr>
        <w:spacing w:after="0" w:line="19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aggregate amount demanded by income tax authorities (net of advance payments, if any) from the Company related to its transfer pricing issues for tax years 2003 to 2015 and its permanent establishment issues for tax years 2003 to 2007 as of March 31, 2020 and December 31, 2019 is $16,104 and $16,220, respectively, of which the Company has made payments and/or provided bank guarantees to the extent $7,858 and $8,108, respectively. Amounts paid as deposits in respect of such assessments aggregating to $6,108 and $6,252 as of March 31, 2020 and December 31, 2019, respectively, are included in “Other assets” and amounts deposited for bank guarantees aggregating to $1,750 and $1,856 as of March 31, 2020 and December 31, 2019, respectively, are included in “Restricted cash” in the non-current assets section of the Company’s unaudited consolidated balance sheets.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the quarter ended March 31, 2019, there was a judicial pronouncement in India with respect to defined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developments.</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There are many uncertainties regarding COVID-19, and the Company is closely monitoring the effects of the pandemic on all aspects of its business, including how it will impact the Company, its customers, employees, contractors, suppliers, business partners and delivery models. While COVID-19 did not have a significant impact on the Company’s financial results during the fiscal quarter ended March 31, 2020, the Company is unable to determine with any degree of accuracy the length and severity of the COVID-19 crisis and what impact it will have on its future financial position and operating results. The COVID-19 crisis is ongoing and dynamic in nature and, to date, the Company has experienced temporary closures in key operations centers, including in the U.S., India, the Philippines, Europe and South Africa. The Company will continue to assess the evolving impact of COVID-19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2019. Some of the statements in the following discussion are forward looking statements. Dollar amounts within Item 2 are presented as actual, rounded, dollar amounts.</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We have described in this Quarterly Report on Form 10-Q, the impact of the global Coronavirus Disease 2019 pandemic (“COVID-19”) on our financial results for the quarter ended March 31, 2020. However, we are not able to predict at this time what impact, the spread of COVID-19 will have on our 2020 financial results. See "Cautionary Note Regarding Forward-Looking Statements" below and in Item 1A-“Risk Factors” included elsewhere in this Quarterly Report on Form 10-Q for further information regarding risks and uncertainties relating to COVID-19.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are, and will be, amplified by COVID-19. These factors include but are not limited to:</w:t>
      </w:r>
    </w:p>
    <w:p>
      <w:pPr>
        <w:spacing w:after="0" w:line="77" w:lineRule="exact"/>
        <w:rPr>
          <w:sz w:val="20"/>
          <w:szCs w:val="20"/>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results of operations have been affected and could in the future be adversely impacted by COVID-19;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accurately estimate and/or manage the costs and/or timing of winding down businesses;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entire book value of goodwill and other intangible assets from acquisitions;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37"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operational and information security failures arising as a result of remote work solutions adopted due to COVID-19;</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36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2019. These and other risks could cause actual results to differ materially from those implied by forward-looking statements in this Quarterly Report on Form 10-Q.</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18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develop client specific solutions, build capabilities, maintain a unified go-to-market approach and are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corresponding industry-specific clients. Finance &amp; Accounting and Consulting services provided to clients outside of the Insurance and Healthcare industries is now the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new reportable segments are as follows: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Healthcare,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Emerging Business</w:t>
      </w:r>
    </w:p>
    <w:p>
      <w:pPr>
        <w:spacing w:after="0" w:line="2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conjunction with the new reporting structure, we recasted our segment disclosures for all prior periods presented to conform to the way we internally manage and monitor segment performance.</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7"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recent outbreak of COVID-19, which has been declared by the World Health Organization to be a “public health emergency of international concern,” has spread across the globe and is materially impacting worldwide economic activity and levels of business confidence. Through the first fiscal quarter ended March 31, 2020, COVID-19 did not have a significant impact on our business, however COVID-19 is likely to materially impact us and our customers, employees, contractors, suppliers, and other partners, who have been prevented from conducting business activities as usual, including due to shutdowns that have been requested or mandated by governmental authorities. The restrictions have disrupted our ability to provide our services and solutions and resulted in, among other things loss of revenue, increased costs and the possibility of enhanced credit risk on our accounts receivable. The continued spread of COVID-19 and the measures taken by the governments of countries affected has disrupted the continuity of providing services to our customers and adversely impacted our business, financial condition or results of operations. There continues to be significant volatility and economic and geopolitical uncertainty in many markets around the world. Several states in the United States, including New York, where we are headquartered, have declared states of emergency, and several countries around the world, including the United States, have significantly restricted travel. We are actively managing our business to respond to the impact.</w:t>
      </w:r>
    </w:p>
    <w:p>
      <w:pPr>
        <w:spacing w:after="0" w:line="18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Given the unprecedented uncertainty of this situation, including the unknown duration and severity of the pandemic and the unknown overall impact on our services, we are unable to forecast the full impact on our business; however, we expect that the impacts from COVID-19 and the related economic disruption will have an adverse impact on our consolidated results of operations, consolidated financial position and consolidated cash flow in fiscal 2020. Due to the above circumstances and as described generally in this Quarterly Report on Form 10-Q, our results of operations for the three month period ended March 31, 2020 are not necessarily indicative of the results to be expected for the full fiscal year.</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2020, due to the deteriorating macroeconomic conditions arising from the COVID-19 pandemic, we performed a goodwill impairment test for any potential impairment and concluded that there was no impairment. However, there can be no assurances that goodwill will not be impaired in future periods. Estimating the fair value of goodwill requires the use of estimates and significant judgments that are based on a number of factors including actual operating results. These estimates and judgments may not be within the control of us and accordingly it is reasonably possible that the judgments and estimates could change in future periods.</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Given the continued uncertainty surrounding COVID-19, we have taken certain precautionary measures to maintain financial flexibility during this time, including drawing $100 million from our line of credit under our existing Credit Agreement on March 12, 2020, the proceeds of which were available for working capital, general corporate or other purposes as needed, and which was repaid in full on April 20, 2020, temporary suspension of our stock repurchase program, and other cost reduction measures related to employee and vendor expenses and capital expenditure plans.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and risks related to COVID-19, see Item 1A- "Risk Factors" below.</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2020, we had revenues of $246.0 million compared to revenues of $239.6 million for the three months ended March 31, 2019, an increase of $6.4 million, or 2.7%.</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serve clients mainly in the U.S. and the U.K., with these two regions generating 84.5% and 9.5%, respectively, of our total revenues for the three months ended March 31, 2020, and 81.9% and 12.1%, respectively, of our revenues for the three months ended March 31, 2019.</w:t>
      </w:r>
    </w:p>
    <w:p>
      <w:pPr>
        <w:spacing w:after="0" w:line="1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2020 and 2019, our total revenues from our top ten clients accounted for 37.3% and 36.6%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Operations Management Services: </w:t>
      </w:r>
      <w:r>
        <w:rPr>
          <w:rFonts w:ascii="Arial" w:cs="Arial" w:eastAsia="Arial" w:hAnsi="Arial"/>
          <w:sz w:val="18"/>
          <w:szCs w:val="18"/>
          <w:color w:val="auto"/>
        </w:rPr>
        <w:t>We provide our clients with a range of operations management services from our Insurance, Healthcare and</w:t>
      </w:r>
      <w:r>
        <w:rPr>
          <w:rFonts w:ascii="Arial" w:cs="Arial" w:eastAsia="Arial" w:hAnsi="Arial"/>
          <w:sz w:val="18"/>
          <w:szCs w:val="18"/>
          <w:i w:val="1"/>
          <w:iCs w:val="1"/>
          <w:color w:val="auto"/>
        </w:rPr>
        <w:t xml:space="preserve"> </w:t>
      </w:r>
      <w:r>
        <w:rPr>
          <w:rFonts w:ascii="Arial" w:cs="Arial" w:eastAsia="Arial" w:hAnsi="Arial"/>
          <w:sz w:val="18"/>
          <w:szCs w:val="18"/>
          <w:color w:val="auto"/>
        </w:rPr>
        <w:t>Emerging Business operating segments, which typically involve the transfer to EXL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37"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operations of a client such as claims processing, clinical operations, or financial transaction processing, after which we administer and manage those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19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continue to observe a shift in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billing rate model to a transaction-based or other alternative pricing model. These alternative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for our clients.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2019</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due to outbreak of COVID-19, we have reassessed those of our accounting policies whose application places the most significant demands on management’s judgment, for instance, revenue recognition, allowance for expected credit losses, business combinations, goodwill, intangibles and long-lived assets, stock-based compensation, derivative instruments and hedging activity, borrowings, assumptions related to ROU assets, lease cost, income taxes and assets and obligations related to employee benefit plans. Such reassessments did not have a significant impact on our results of operations and cash flows for the periods presented.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37"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w:t>
      </w:r>
    </w:p>
    <w:p>
      <w:pPr>
        <w:spacing w:after="0" w:line="271"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63"/>
        </w:trPr>
        <w:tc>
          <w:tcPr>
            <w:tcW w:w="748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196"/>
        </w:trPr>
        <w:tc>
          <w:tcPr>
            <w:tcW w:w="7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w w:val="98"/>
              </w:rPr>
              <w:t>(dollars in millions)</w:t>
            </w:r>
          </w:p>
        </w:tc>
        <w:tc>
          <w:tcPr>
            <w:tcW w:w="520" w:type="dxa"/>
            <w:vAlign w:val="bottom"/>
          </w:tcPr>
          <w:p>
            <w:pPr>
              <w:spacing w:after="0"/>
              <w:rPr>
                <w:sz w:val="17"/>
                <w:szCs w:val="17"/>
                <w:color w:val="auto"/>
              </w:rPr>
            </w:pPr>
          </w:p>
        </w:tc>
      </w:tr>
      <w:tr>
        <w:trPr>
          <w:trHeight w:val="25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246.0</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239.6</w:t>
            </w:r>
          </w:p>
        </w:tc>
      </w:tr>
      <w:tr>
        <w:trPr>
          <w:trHeight w:val="270"/>
        </w:trPr>
        <w:tc>
          <w:tcPr>
            <w:tcW w:w="74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3"/>
              </w:rPr>
              <w:t>162.7</w:t>
            </w:r>
          </w:p>
        </w:tc>
        <w:tc>
          <w:tcPr>
            <w:tcW w:w="18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157.3</w:t>
            </w:r>
          </w:p>
        </w:tc>
      </w:tr>
      <w:tr>
        <w:trPr>
          <w:trHeight w:val="263"/>
        </w:trPr>
        <w:tc>
          <w:tcPr>
            <w:tcW w:w="74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8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83.3</w:t>
            </w:r>
          </w:p>
        </w:tc>
        <w:tc>
          <w:tcPr>
            <w:tcW w:w="18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82.3</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1"/>
        </w:trPr>
        <w:tc>
          <w:tcPr>
            <w:tcW w:w="7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7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Impairment and restructuring charges</w:t>
            </w:r>
          </w:p>
        </w:tc>
        <w:tc>
          <w:tcPr>
            <w:tcW w:w="820" w:type="dxa"/>
            <w:vAlign w:val="bottom"/>
          </w:tcPr>
          <w:p>
            <w:pPr>
              <w:spacing w:after="0"/>
              <w:rPr>
                <w:sz w:val="21"/>
                <w:szCs w:val="21"/>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27.5</w:t>
            </w:r>
          </w:p>
        </w:tc>
        <w:tc>
          <w:tcPr>
            <w:tcW w:w="1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w:t>
            </w:r>
          </w:p>
        </w:tc>
      </w:tr>
      <w:tr>
        <w:trPr>
          <w:trHeight w:val="27"/>
        </w:trPr>
        <w:tc>
          <w:tcPr>
            <w:tcW w:w="7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28.3</w:t>
            </w:r>
          </w:p>
        </w:tc>
        <w:tc>
          <w:tcPr>
            <w:tcW w:w="1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19.0</w:t>
            </w:r>
          </w:p>
        </w:tc>
      </w:tr>
      <w:tr>
        <w:trPr>
          <w:trHeight w:val="27"/>
        </w:trPr>
        <w:tc>
          <w:tcPr>
            <w:tcW w:w="7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8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14.8</w:t>
            </w:r>
          </w:p>
        </w:tc>
      </w:tr>
      <w:tr>
        <w:trPr>
          <w:trHeight w:val="27"/>
        </w:trPr>
        <w:tc>
          <w:tcPr>
            <w:tcW w:w="7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22.4</w:t>
            </w:r>
          </w:p>
        </w:tc>
        <w:tc>
          <w:tcPr>
            <w:tcW w:w="180" w:type="dxa"/>
            <w:vAlign w:val="bottom"/>
          </w:tcPr>
          <w:p>
            <w:pPr>
              <w:spacing w:after="0"/>
              <w:rPr>
                <w:sz w:val="20"/>
                <w:szCs w:val="20"/>
                <w:color w:val="auto"/>
              </w:rPr>
            </w:pP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w:t>
            </w:r>
          </w:p>
        </w:tc>
      </w:tr>
      <w:tr>
        <w:trPr>
          <w:trHeight w:val="27"/>
        </w:trPr>
        <w:tc>
          <w:tcPr>
            <w:tcW w:w="7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 expense.</w:t>
      </w:r>
    </w:p>
    <w:p>
      <w:pPr>
        <w:spacing w:after="0" w:line="200" w:lineRule="exact"/>
        <w:rPr>
          <w:sz w:val="20"/>
          <w:szCs w:val="20"/>
          <w:color w:val="auto"/>
        </w:rPr>
      </w:pPr>
    </w:p>
    <w:p>
      <w:pPr>
        <w:spacing w:after="0" w:line="3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320" w:top="337" w:right="6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three months ended March 31, 2020 and 2019:</w:t>
      </w:r>
    </w:p>
    <w:p>
      <w:pPr>
        <w:spacing w:after="0" w:line="328"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22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5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246.0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Revenues for the three months ended March 31, 2020 were $246.0 million, up $6.4 million, or 2.7%, compared to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growth in Insurance of $2.4 million was primarily driven by expansion of business from our existing clients of $3.3 million. This was partially offset by $0.9 million mainly attributable to the depreciation of the Australian dollar, Indian rupee, U.K. pound sterling and South African ZAR against the U.S. dollar during the three months ended March 31, 2020 compared to the three months ended March 31, 2019. Insurance revenues were 34.0% and 33.9% of our total revenues in the three months ended March 31, 2020 and March 31, 2019, respectively.</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Healthcare of $4.8 million was primarily driven by expansion of business from our existing clients and new wins aggregating to $8.7 million, partially offset by our December 2019 wind-down of Health Integrated business revenues of $3.9 million during the three months ended March 31, 2019, compared to none in the three months ended March 31, 2020. Healthcare revenues were 11.0% and 9.3% of our total revenues in the three months ended March 31, 2020 and March 31, 2019, respectively.</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decline in Emerging Business of $6.3 million was primarily driven by termination of certain existing client contracts of $5.8 million, and $0.5 million attributable to the depreciation of the Indian rupee against the U.S. dollar during the three months ended March 31, 2020 compared to the three months ended March 31, 2019. Emerging Business revenues were 17.4% and 20.5% of our total revenues in the three months ended March 31, 2020 and March 31, 2019, respectively.</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growth in Analytics of $5.5 million was primarily driven by an increase in revenues from our recurring and project-based engagements from our existing and new clients of $5.8 million. This was partially offset by $0.3 million attributable to the depreciation of the U.K. pound sterling and Indian rupee against the U.S. dollar during the three months ended March 31, 2020 compared to the three months ended March 31, 2019. Analytics revenues were 37.6% and 36.3% of our total revenues in the three months ended March 31, 2020 and March 31, 2019,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37"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Cost of Revenues</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Gross Margin</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2"/>
                <w:szCs w:val="22"/>
                <w:color w:val="auto"/>
              </w:rPr>
            </w:pPr>
          </w:p>
        </w:tc>
        <w:tc>
          <w:tcPr>
            <w:tcW w:w="30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Three months ended March 31,</w:t>
            </w:r>
          </w:p>
        </w:tc>
        <w:tc>
          <w:tcPr>
            <w:tcW w:w="180" w:type="dxa"/>
            <w:vAlign w:val="bottom"/>
          </w:tcPr>
          <w:p>
            <w:pPr>
              <w:spacing w:after="0"/>
              <w:rPr>
                <w:sz w:val="22"/>
                <w:szCs w:val="2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Percentage</w:t>
            </w:r>
          </w:p>
        </w:tc>
        <w:tc>
          <w:tcPr>
            <w:tcW w:w="316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10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1820" w:type="dxa"/>
            <w:vAlign w:val="bottom"/>
          </w:tcPr>
          <w:p>
            <w:pPr>
              <w:spacing w:after="0"/>
              <w:rPr>
                <w:sz w:val="6"/>
                <w:szCs w:val="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8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6"/>
                <w:szCs w:val="6"/>
                <w:color w:val="auto"/>
              </w:rPr>
            </w:pPr>
          </w:p>
        </w:tc>
        <w:tc>
          <w:tcPr>
            <w:tcW w:w="148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16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Emerging Business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1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162.7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March 31, 2020, cost of revenues was $162.7 million compared to $157.3 million for the three months ended March 31, 2019, an increase of $5.4 million, or 3.4%. Our gross margin for the three months ended March 31, 2020 was 33.9% compared to 34.4% for the three months ended March 31, 2019, a decrease of 50 basis points (“bps”), primarily due to the impact of COVID-19 related expenses of 80 bps.</w:t>
      </w:r>
    </w:p>
    <w:p>
      <w:pPr>
        <w:spacing w:after="0" w:line="16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Insurance of $3.8 million was primarily due to an increase in employee-related costs of $3.0 million on account of higher headcount and wage inflation, higher infrastructure and travel costs of $1.1 million and higher technology and other operating costs of $0.3 million. This was partially offset by currency movements, net of hedging of $0.6 million. Gross margin in Insurance decreased by 240 bps during the three months ended March 31, 2020 compared to the three months ended March 31, 2019, primarily due to higher operating expenses.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increase in cost of revenues in Healthcare of $1.8 million was primarily due to an increase in employee-related costs of $2.1 million. This was partially offset by lower other operating cost of $0.2 million and currency movements, net of hedging of $0.1 million. Gross margin in Healthcare increased by 750 bps during the three months ended March 31, 2020, compared to the three months ended March 31, 2019, primarily due to lower margin in the Heath Integrated business during the three months ended March 31, 2019 and higher revenues during the three months ended March 31, 2020.</w:t>
      </w:r>
    </w:p>
    <w:p>
      <w:pPr>
        <w:spacing w:after="0" w:line="1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decrease in cost of revenues in Emerging Business of $1.8 million was primarily due to a decrease in employee-related costs of $1.3 million, lower infrastructure and technology cost of $0.5 million and currency movements, net of hedging of $0.2 million. This was partially offset by higher other operating cost of $0.2 million. Gross margin in Emerging Business decreased by 390 bps during the three months ended March 31, 2020, compared to the three months ended March 31, 2019, primarily due to lower revenues and higher operating expenses.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Analytics of $1.6 million was primarily due to an increase in employee-related costs of $4.0 million on account of higher headcount and wage inflation and higher infrastructure and travel costs $0.7 million. This was partially offset by lower other operating cost $2.6 million and currency movements, net of hedging of $0.5 million. Gross margin in Analytics increased by 200 bps during the three months ended March 31, 2020, compared to the three months ended March 31, 2019, primarily due to higher volumes in existing clients.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7"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500" w:type="dxa"/>
            <w:vAlign w:val="bottom"/>
            <w:gridSpan w:val="4"/>
          </w:tcPr>
          <w:p>
            <w:pPr>
              <w:ind w:left="560"/>
              <w:spacing w:after="0"/>
              <w:rPr>
                <w:sz w:val="20"/>
                <w:szCs w:val="20"/>
                <w:color w:val="auto"/>
              </w:rPr>
            </w:pPr>
            <w:r>
              <w:rPr>
                <w:rFonts w:ascii="Arial" w:cs="Arial" w:eastAsia="Arial" w:hAnsi="Arial"/>
                <w:sz w:val="14"/>
                <w:szCs w:val="14"/>
                <w:b w:val="1"/>
                <w:bCs w:val="1"/>
                <w:color w:val="auto"/>
                <w:w w:val="93"/>
              </w:rPr>
              <w:t>Three months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0"/>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5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46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420" w:type="dxa"/>
            <w:vAlign w:val="bottom"/>
          </w:tcPr>
          <w:p>
            <w:pPr>
              <w:spacing w:after="0"/>
              <w:rPr>
                <w:sz w:val="6"/>
                <w:szCs w:val="6"/>
                <w:color w:val="auto"/>
              </w:rPr>
            </w:pPr>
          </w:p>
        </w:tc>
        <w:tc>
          <w:tcPr>
            <w:tcW w:w="8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6"/>
              </w:rPr>
              <w:t>2020</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4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4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6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17.6%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7"/>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decrease in SG&amp;A expenses of $7.1 million was primarily due to a decrease in employee-related costs of $2.9 million, a decrease in stock-based compensation expense of $2.3 million mostly due to revision in estimates related to revenue linked performance based restricted stock units due to COVID-19, lower travel costs of $0.8 million, lower other operating costs $0.8 million and currency movements, net of hedging of $0.3 million.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5"/>
              </w:rPr>
              <w:t>Three months ended March 31,</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420" w:type="dxa"/>
            <w:vAlign w:val="bottom"/>
          </w:tcPr>
          <w:p>
            <w:pPr>
              <w:spacing w:after="0"/>
              <w:rPr>
                <w:sz w:val="6"/>
                <w:szCs w:val="6"/>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6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Pr>
          <w:p>
            <w:pPr>
              <w:spacing w:after="0"/>
              <w:rPr>
                <w:sz w:val="21"/>
                <w:szCs w:val="21"/>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decrease in intangibles amortization expense of $1.5 million was primarily due to lower weighted average remaining useful lives of intangible assets during the three months ended March 31, 2020 compared to the three months ended March 31, 2019. The increase in depreciation expense of $0.2 million was due to depreciation related to our new operating centers to support our business growth.</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and Restructuring Charges.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6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6"/>
              </w:rPr>
              <w:t>Three months ended March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3"/>
        </w:trPr>
        <w:tc>
          <w:tcPr>
            <w:tcW w:w="5100" w:type="dxa"/>
            <w:vAlign w:val="bottom"/>
          </w:tcPr>
          <w:p>
            <w:pPr>
              <w:spacing w:after="0"/>
              <w:rPr>
                <w:sz w:val="22"/>
                <w:szCs w:val="22"/>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Percentage change</w:t>
            </w:r>
          </w:p>
        </w:tc>
      </w:tr>
      <w:tr>
        <w:trPr>
          <w:trHeight w:val="250"/>
        </w:trPr>
        <w:tc>
          <w:tcPr>
            <w:tcW w:w="5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7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restructuring charges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7"/>
              </w:rPr>
              <w:t>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2019, we recognized an impairment charge of $1.2 million on our long-lived assets related to our Health Integrated business. See Note 8 to our unaudited consolidated financial statements for details.</w:t>
      </w:r>
    </w:p>
    <w:p>
      <w:pPr>
        <w:spacing w:after="0" w:line="170"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by $10.6 million, or 63.0%, from $16.9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$27.5 million for the three months ended March 31, 2020. As a percentage of revenues, income from operations increased from 7.0% for the three months ended March 31, 2019 to 11.2% for the three months ended March 31, 2020.</w:t>
      </w:r>
    </w:p>
    <w:p>
      <w:pPr>
        <w:spacing w:after="0" w:line="2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three months ended March 31, 2020. The average exchange rate of the U.S. dollar against the Indian rupee increased from 70.32 during the three months ended March 31, 2019 to 73.08 during the three months ended March 31, 2020. The average exchange rate of the U.K. pound sterling against the U.S. dollar decreased from 1.32 during the three months ended March 31, 2019 to 1.28 during the three months ended March 31, 2020. The average exchange rate of the U.S. dollar against the Philippine peso decreased from 52.11 during the three months ended March 31, 2019 to 50.83 during the three months ended March 31, 2020.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37"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net foreign exchange gain of $1.4 million for the three months ended March 31, 2020 compared to the net foreign exchange gain of $1.3 million for the three months ended March 31, 2019.</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decreased from $3.6 million for the three months ended March 31, 2019 to $3.1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primarily due lower effective interest rates under our Credit Facility during the three months ended March 31, 2020 compared to the three months ended March 31, 2019.</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600" w:type="dxa"/>
            <w:vAlign w:val="bottom"/>
          </w:tcPr>
          <w:p>
            <w:pPr>
              <w:spacing w:after="0"/>
              <w:rPr>
                <w:sz w:val="6"/>
                <w:szCs w:val="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spacing w:after="0"/>
              <w:rPr>
                <w:sz w:val="21"/>
                <w:szCs w:val="21"/>
                <w:color w:val="auto"/>
              </w:rPr>
            </w:pPr>
          </w:p>
        </w:tc>
        <w:tc>
          <w:tcPr>
            <w:tcW w:w="2320" w:type="dxa"/>
            <w:vAlign w:val="bottom"/>
            <w:tcBorders>
              <w:top w:val="single" w:sz="8" w:color="auto"/>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and mark-to-market of mutual funds</w:t>
            </w:r>
          </w:p>
        </w:tc>
        <w:tc>
          <w:tcPr>
            <w:tcW w:w="82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79"/>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820" w:type="dxa"/>
            <w:vAlign w:val="bottom"/>
            <w:tcBorders>
              <w:top w:val="single" w:sz="8" w:color="auto"/>
            </w:tcBorders>
          </w:tcPr>
          <w:p>
            <w:pPr>
              <w:jc w:val="right"/>
              <w:ind w:right="62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income, net decreased by $1.9 million, from $4.4 million for the three months ended March 31, 2019 to $2.5 million for the three months ended March 31, 2020, primarily due to lower return on mutual fund investments of $1.5 million and decrease in interest and dividend income of $0.4 million.</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We recorded income tax expense of $5.8 million and $4.2 million for the three months ended March 31, 2020 and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decreased from 22.1% during the three months ended March 31, 2019 to 20.7% during the three months ended March 31, 2020, primarily as a result of recording of higher excess tax benefits related to stock awards of $1.8 million pursuant to ASU No. 2016-09 during the three months ended March 31, 2020 compared to $1.0 million during the three months ended March 31, 2019.</w:t>
      </w:r>
    </w:p>
    <w:p>
      <w:pPr>
        <w:spacing w:after="0" w:line="18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$14.7 million for the three months ended March 31, 2019 to $22.4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primarily due to increase in income from operations of $10.6 million, lower interest expense of $0.5 million and higher foreign exchange gain, net of $0.1 million. This was partially offset by lower other income, net of $1.9 million and higher income tax expense of $1.6 million. As a percentage of revenues, net income increased from 6.1% for the three months ended March 31, 2019 to 9.1% for the three months ended March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3"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2019</w:t>
            </w:r>
          </w:p>
        </w:tc>
      </w:tr>
      <w:tr>
        <w:trPr>
          <w:trHeight w:val="196"/>
        </w:trPr>
        <w:tc>
          <w:tcPr>
            <w:tcW w:w="7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 cash, cash equivalents and restricted 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for)/provided by operating activities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by/(used for)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19.8</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Closing cash, cash equivalents and restricted cash</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233.5</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94.6</w:t>
            </w:r>
          </w:p>
        </w:tc>
      </w:tr>
      <w:tr>
        <w:trPr>
          <w:trHeight w:val="27"/>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As of March 31, 2020 and 2019, we had $367.4 million and $302.7 million, respectively, in cash, cash equivalents and short-term investments, of which $227.0 million, and $273.9 million, respectively, is located in foreign jurisdictions that upon distribution may be subject to withholding and other taxes and we do not currently intend to distribute such amounts. If, in the future, we change our intention regarding distributions, additional taxes may be required and would be recorded in the period the intention changes.</w:t>
      </w:r>
    </w:p>
    <w:p>
      <w:pPr>
        <w:spacing w:after="0" w:line="187"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used for operating activities were $13.6 million for the three months ended March 31, 2020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provided by operating activities of $8.3 million during the three months ended March 31, 2019. Generally, factors that affect our earnings-, for instance, pricing, volume of services, costs and productivity, affect our cash flows used or provided from operations in a similar manner. However, while management of working capital, including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37"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timing of collections and payments affects operating results only indirectly, the impact on the working capital requirements and cash flows provided by operating activities can be significant.</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flows used for operating activities for the three months ended March 31, 2020 was $13.6 million. This comprised of net income plus the net effect of non-cash items, such as depreciation and amortization, expense, stock-based compensation expense, amortization of operating lease right-of-use assets, unrealized gains on short-term investment, deferred income taxes, and others aggregating to $46.1 million. The primary working capital use of net cash of $59.7 million during the three months ended March 31, 2020 was driven by decrease in accrued employee costs and operating lease liabilities, increase in accounts receivables and current and non-current assets.</w:t>
      </w:r>
    </w:p>
    <w:p>
      <w:pPr>
        <w:spacing w:after="0" w:line="188"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provided by investing activities were $36.0 million for the three months ended March 31, 2020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used for investing activities of $37.2 million for the three months ended March 31, 2019. The increase in cash flows is mainly due to net higher redemption of investments of $49.0 million during the three months ended March 31, 2020 as compared to net purchase of investments of $26.3 million during the three months ended March 31, 2019. This was partially offset by higher capital expenditures of $1.4 million during the three months ended March 31, 2020 compared to the three months ended March 31, 2019 and additional investment in equity affiliate of $0.7 million during the three months ended March 31, 2020.</w:t>
      </w:r>
    </w:p>
    <w:p>
      <w:pPr>
        <w:spacing w:after="0" w:line="192"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provided by financing activities were $86.7 million during the three months ended March 31, 2020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provided by financing activities of $19.8 million during the three months ended March 31, 2019. The increase in cash flows provided from financing activities was primarily due to higher net borrowings of $99.8 million (net of repayment) under our Credit Facility (as described below in “Financing Arrangements”) during the three months ended March 31, 2020 as compared to net borrowings (net of repayment) of $35.4 million during the three months ended March 31, 2019 and lower purchases of treasury stock by $1.4 million under our share repurchase program during the three months ended March 31, 2020 as compared to the three months ended March 31, 2019.</w:t>
      </w:r>
    </w:p>
    <w:p>
      <w:pPr>
        <w:spacing w:after="0" w:line="178"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 incurred $12.3 million of capital expenditures in the three months ended March 31, 2020. We expect to incur capital expenditures of between $32.0 million and $38.0 million in 2020, primarily to meet our growth requirements, including additions to our facilities as well as investments in technology applications, product development, digital technology, advanced automation, robotics and infrastructure.</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respect to such assessment orders (see Note 24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quarter ended March 31, 2020, to enhance our liquidity position in response to COVID-19, management has taken certain precautionary measures, including: drawing $100.0 million from our line of credit under our existing Credit Agreement on March 12, 2020, the proceeds of which were available for working capital, general corporate or other purposes as needed, and which was repaid in full on April 20, 2020; and electing to temporarily suspend share repurchases under our 2019 Repurchase Program, and other cost reduction measures related to employee and vendor expenses and capital expenditure plans. The 2019 Repurchase Program remains authorized by the Board of Directors and management has the discretion to resume share repurchases in the future at any time, depending upon market conditions, our capital needs and other factors.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32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7"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and general corporate purposes, including permitted acquisitions. On July 2, 2018, we exercised our option under the Credit Agreement to increase the commitments by $100.0 million thereby utilizing the entire revolver under the Credit Facility of $300.0 million. The incremental commitments were made pursuant to (and constitute part of) the existing commitments and shall be subject to the terms and conditions applicable to the existing commitments as set forth in the Credit Agreement.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we were in compliance with all financial and non-financial covenants listed under the Credit Agreement.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2018, we entered into a second amendment (the “Amendment”) to our Credit Agreement, as amended, among the Company, as borrower, with certain lenders, and Citibank, N.A. as Administrative Agent to, among other things, permit the issuance by the Company of the Convertible Senior Notes described below, and settlement upon maturity or conversion thereof, in accordance with the Investment Agreement, the indenture dated as of October 4, 2018 and the other documents entered into in connection therewith.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17 to our unaudited consolidated financial statements herein for further details on our debt facilities.</w:t>
      </w:r>
    </w:p>
    <w:p>
      <w:pPr>
        <w:spacing w:after="0" w:line="225" w:lineRule="exact"/>
        <w:rPr>
          <w:sz w:val="20"/>
          <w:szCs w:val="20"/>
          <w:color w:val="auto"/>
        </w:rPr>
      </w:pPr>
    </w:p>
    <w:p>
      <w:pPr>
        <w:jc w:val="both"/>
        <w:ind w:firstLine="391"/>
        <w:spacing w:after="0" w:line="275" w:lineRule="auto"/>
        <w:rPr>
          <w:sz w:val="20"/>
          <w:szCs w:val="20"/>
          <w:color w:val="auto"/>
        </w:rPr>
      </w:pPr>
      <w:r>
        <w:rPr>
          <w:rFonts w:ascii="Arial" w:cs="Arial" w:eastAsia="Arial" w:hAnsi="Arial"/>
          <w:sz w:val="17"/>
          <w:szCs w:val="17"/>
          <w:color w:val="auto"/>
        </w:rPr>
        <w:t>As of March 31, 2020, we had outstanding indebtedness under the Credit Facility of $199.0 million, of which $100.0 million is expected to be repaid within the next twelve months and is included under “current portion of long-term borrowings” and of which $99.0 million is included under “long-term borrowings”, less current portion” in the unaudited consolidated balance sheets. As of December 31, 2019, we had outstanding indebtedness under the Credit Facility of $99.0 million, of which $40.0 million was included under "current portion of long-term borrowings" and the balance of $59.0 million was included under "long-term borrowings, net of current portion”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6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auto"/>
        </w:rPr>
        <w:t>On October 1, 2018, we entered into an investment agreement (the “Investment Agreement”) with Orogen Echo LLC, an affiliate of The Orogen Group LLC, relating to the issuance to Orogen Echo LLC of $150.0 million in an aggregate principal amount of 3.50% Convertible Senior Notes due October 1, 2024 (the "Notes"). The Notes were issued on October 4, 2018. The Notes bear interest at a rate of 3.50% per annum, payable semi-annually in arrears in cash on April 1 and October 1 of each year. During the three months ended March 31, 2020 and March 31, 2019, we recognized interest expense of $1.3 million and $1.3 million, respectively, on the Notes. The Notes are convertible at an initial conversion rate of 13.3333 shares of the common stock per one thousand dollar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Credit Facility.</w:t>
      </w:r>
    </w:p>
    <w:p>
      <w:pPr>
        <w:spacing w:after="0" w:line="28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per annum. The excess of the gross proceeds received over the estimated fair value of the liability component totaling $16.9 million,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7"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the ordinary course of business, we provide standby letters of credit to third parties primarily for facility leases. As of March 31, 2020 and December 31, 2019, we had outstanding letters of credit of $0.5 million each, respectively,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 balance sheet arrangements or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March 31, 2020:</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280"/>
              <w:spacing w:after="0"/>
              <w:rPr>
                <w:sz w:val="20"/>
                <w:szCs w:val="20"/>
                <w:color w:val="auto"/>
              </w:rPr>
            </w:pPr>
            <w:r>
              <w:rPr>
                <w:rFonts w:ascii="Arial" w:cs="Arial" w:eastAsia="Arial" w:hAnsi="Arial"/>
                <w:sz w:val="14"/>
                <w:szCs w:val="14"/>
                <w:b w:val="1"/>
                <w:bCs w:val="1"/>
                <w:color w:val="auto"/>
              </w:rPr>
              <w:t>Payment Due by Period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9"/>
        </w:trPr>
        <w:tc>
          <w:tcPr>
            <w:tcW w:w="4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52"/>
        </w:trPr>
        <w:tc>
          <w:tcPr>
            <w:tcW w:w="4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6"/>
        </w:trPr>
        <w:tc>
          <w:tcPr>
            <w:tcW w:w="4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70"/>
        </w:trPr>
        <w:tc>
          <w:tcPr>
            <w:tcW w:w="4240" w:type="dxa"/>
            <w:vAlign w:val="bottom"/>
          </w:tcPr>
          <w:p>
            <w:pPr>
              <w:ind w:left="2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146.5</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70"/>
        </w:trPr>
        <w:tc>
          <w:tcPr>
            <w:tcW w:w="424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349.7</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(c)</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64"/>
        </w:trPr>
        <w:tc>
          <w:tcPr>
            <w:tcW w:w="4240" w:type="dxa"/>
            <w:vAlign w:val="bottom"/>
          </w:tcPr>
          <w:p>
            <w:pPr>
              <w:ind w:left="20"/>
              <w:spacing w:after="0" w:line="263"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555.7</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05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94"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6"/>
          <w:szCs w:val="16"/>
          <w:i w:val="1"/>
          <w:iCs w:val="1"/>
          <w:color w:val="auto"/>
        </w:rPr>
        <w:t>Represents lease liabilities payable for the expected lease term.</w:t>
      </w:r>
    </w:p>
    <w:p>
      <w:pPr>
        <w:spacing w:after="0" w:line="9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86" w:lineRule="exact"/>
        <w:rPr>
          <w:rFonts w:ascii="Arial" w:cs="Arial" w:eastAsia="Arial" w:hAnsi="Arial"/>
          <w:sz w:val="16"/>
          <w:szCs w:val="16"/>
          <w:i w:val="1"/>
          <w:iCs w:val="1"/>
          <w:color w:val="auto"/>
        </w:rPr>
      </w:pPr>
    </w:p>
    <w:p>
      <w:pPr>
        <w:ind w:left="540" w:hanging="532"/>
        <w:spacing w:after="0"/>
        <w:tabs>
          <w:tab w:leader="none" w:pos="5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March 31, 2020.</w:t>
      </w:r>
    </w:p>
    <w:p>
      <w:pPr>
        <w:spacing w:after="0" w:line="86" w:lineRule="exact"/>
        <w:rPr>
          <w:rFonts w:ascii="Arial" w:cs="Arial" w:eastAsia="Arial" w:hAnsi="Arial"/>
          <w:sz w:val="16"/>
          <w:szCs w:val="16"/>
          <w:i w:val="1"/>
          <w:iCs w:val="1"/>
          <w:color w:val="auto"/>
        </w:rPr>
      </w:pPr>
    </w:p>
    <w:p>
      <w:pPr>
        <w:ind w:left="540" w:hanging="532"/>
        <w:spacing w:after="0"/>
        <w:tabs>
          <w:tab w:leader="none" w:pos="54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Excludes $1.0 million related to uncertain tax positions, since the extent of the amount and timing of payment is currently not reliably estimable or determinable.</w:t>
      </w:r>
    </w:p>
    <w:p>
      <w:pPr>
        <w:spacing w:after="0" w:line="32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Certain units of our Indian subsidiaries were established as 100% Export-Oriented units under the Software Technology Parks of India (“STPI”) or Special Economic Zone ("SEZ")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6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operations centers in the Philippines are registered with the Philippine Economic Zone Authority (“PEZA”).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the unaudited consolidated financial statements contained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37"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three months ended March 31, 2020,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2019.</w:t>
      </w:r>
    </w:p>
    <w:p>
      <w:pPr>
        <w:spacing w:after="0" w:line="200" w:lineRule="exact"/>
        <w:rPr>
          <w:sz w:val="20"/>
          <w:szCs w:val="20"/>
          <w:color w:val="auto"/>
        </w:rPr>
      </w:pPr>
    </w:p>
    <w:p>
      <w:pPr>
        <w:spacing w:after="0" w:line="3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3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2020. Based upon that evaluation, the CEO and CFO have concluded that our disclosure controls and procedures, as of March 31, 2020,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9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have a material adverse effect on our consolidated financial position, results of operations or cash flows. See Note 24 to our unaudited consolidated financial statements contained herein for details regarding our tax proceedings.</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disclosed below, as well as under the heading “Risk Factors” in our Annual Report on Form 10-K for the fiscal year ended December 31, 2019 a number of risks which may materially affect our business, financial condition or results of operations. You should carefully consider these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have been adversely affected, and could in the future be materially adversely affected, by the coronavirus pandemic.</w:t>
      </w:r>
    </w:p>
    <w:p>
      <w:pPr>
        <w:spacing w:after="0" w:line="14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recent outbreak of the Coronavirus Disease 2019 pandemic (“COVID-19”), which has been declared by the World Health Organization to be a “public health emergency of international concern,” has spread across the globe and is materially impacting worldwide economic activity and levels of business confidence. COVID-19 has affected us, our customers, employees, contractors, suppliers and business partners, who have been prevented from conducting business activities as usual, including due to shutdowns that have been requested or mandated by governmental authorities. The continued spread of COVID-19 and the measures taken by the governments of countries affected disrupted the continuity of providing services to our customers and adversely impacted our business, financial condition or results of operations, see Part 1, Item 2 “Management’s Discussion and Analysis of Financial Condition and Results of Operations” of this Quarterly Report on Form 10-Q.</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7"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global spread of COVID-19 has created significant volatility and uncertainty and economic disruption. The extent to which COVID-19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impact of the pandemic on economic activity and actions taken in response; the effect on our clients and client demand for our services and our solutions; our ability to sell and provide our services and solutions, including as a result of travel restrictions and people working from home; the ability of our clients to pay for our services and solutions; and any closures of our and our clients' offices and facilities. In the U.S., India, the Philippines, Europe and South Africa, we have large concentrations of employees performing critical operations. Governmental restrictions inhibiting our employees’ ability to access those facilities have disrupted our ability to provide our services and solutions and has resulted in, among other things, losses of revenue, increased costs to implement remote work solutions and possible terminations of client contracts. Clients may also slow down decision making for procuring new services from us, delay planned work, and consider modifying or seek to terminate existing agreements based on force majeure or other provisions. Remote work solutions are limited in their ability to replicate the operational oversight and physical security controls of our office environments and we may suffer operational and information security failures as a result of the changed controls. The extent to which the COVID-19 outbreak impacts our results will depend on future developments that are highly uncertain and cannot be predicted, including new information that may emerge concerning the severity of the virus and the actions to contain its impact. Any of these events could cause or contribute to risks and uncertainties enumerated in this Quarterly Report on Form 10-Q or our other filings with the SEC, and could materially adversely affect our business, financial condition, results of operations and/or stock price.</w:t>
      </w:r>
    </w:p>
    <w:p>
      <w:pPr>
        <w:spacing w:after="0" w:line="200" w:lineRule="exact"/>
        <w:rPr>
          <w:sz w:val="20"/>
          <w:szCs w:val="20"/>
          <w:color w:val="auto"/>
        </w:rPr>
      </w:pPr>
    </w:p>
    <w:p>
      <w:pPr>
        <w:spacing w:after="0" w:line="3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37"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March 31, 2020, purchases of common stock were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Period</w:t>
      </w: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Jan 1, 2020 through Jan 31, 2020</w:t>
      </w:r>
      <w:r>
        <w:rPr>
          <w:rFonts w:ascii="Arial" w:cs="Arial" w:eastAsia="Arial" w:hAnsi="Arial"/>
          <w:sz w:val="22"/>
          <w:szCs w:val="22"/>
          <w:color w:val="auto"/>
          <w:vertAlign w:val="superscript"/>
        </w:rPr>
        <w:t>(1)</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Feb 1, 2020 through Feb 29, 2020</w:t>
      </w:r>
      <w:r>
        <w:rPr>
          <w:rFonts w:ascii="Arial" w:cs="Arial" w:eastAsia="Arial" w:hAnsi="Arial"/>
          <w:sz w:val="21"/>
          <w:szCs w:val="21"/>
          <w:color w:val="auto"/>
          <w:vertAlign w:val="superscript"/>
        </w:rPr>
        <w:t>(1)</w:t>
      </w:r>
    </w:p>
    <w:p>
      <w:pPr>
        <w:spacing w:after="0" w:line="3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Mar 1, 2020 through Mar 31, 2020</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Total Number of</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Shares Purchased as</w:t>
            </w: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108"/>
        </w:trPr>
        <w:tc>
          <w:tcPr>
            <w:tcW w:w="1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Paid per</w:t>
            </w:r>
          </w:p>
        </w:tc>
        <w:tc>
          <w:tcPr>
            <w:tcW w:w="19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Part of Publicly</w:t>
            </w:r>
          </w:p>
        </w:tc>
        <w:tc>
          <w:tcPr>
            <w:tcW w:w="1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May Yet Be Purchased</w:t>
            </w:r>
          </w:p>
        </w:tc>
        <w:tc>
          <w:tcPr>
            <w:tcW w:w="0" w:type="dxa"/>
            <w:vAlign w:val="bottom"/>
          </w:tcPr>
          <w:p>
            <w:pPr>
              <w:spacing w:after="0"/>
              <w:rPr>
                <w:sz w:val="1"/>
                <w:szCs w:val="1"/>
                <w:color w:val="auto"/>
              </w:rPr>
            </w:pPr>
          </w:p>
        </w:tc>
      </w:tr>
      <w:tr>
        <w:trPr>
          <w:trHeight w:val="108"/>
        </w:trPr>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320"/>
              <w:spacing w:after="0" w:line="216" w:lineRule="exact"/>
              <w:rPr>
                <w:sz w:val="20"/>
                <w:szCs w:val="20"/>
                <w:color w:val="auto"/>
              </w:rPr>
            </w:pPr>
            <w:r>
              <w:rPr>
                <w:rFonts w:ascii="Arial" w:cs="Arial" w:eastAsia="Arial" w:hAnsi="Arial"/>
                <w:sz w:val="18"/>
                <w:szCs w:val="18"/>
                <w:b w:val="1"/>
                <w:bCs w:val="1"/>
                <w:color w:val="auto"/>
                <w:w w:val="81"/>
              </w:rPr>
              <w:t>share</w:t>
            </w:r>
            <w:r>
              <w:rPr>
                <w:rFonts w:ascii="Arial" w:cs="Arial" w:eastAsia="Arial" w:hAnsi="Arial"/>
                <w:sz w:val="25"/>
                <w:szCs w:val="25"/>
                <w:b w:val="1"/>
                <w:bCs w:val="1"/>
                <w:color w:val="auto"/>
                <w:w w:val="81"/>
                <w:vertAlign w:val="superscript"/>
              </w:rPr>
              <w:t>(1)</w:t>
            </w:r>
          </w:p>
        </w:tc>
        <w:tc>
          <w:tcPr>
            <w:tcW w:w="19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0"/>
                <w:szCs w:val="10"/>
                <w:color w:val="auto"/>
              </w:rPr>
            </w:pPr>
          </w:p>
        </w:tc>
        <w:tc>
          <w:tcPr>
            <w:tcW w:w="16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90"/>
        </w:trPr>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Pr>
          <w:p>
            <w:pPr>
              <w:jc w:val="right"/>
              <w:ind w:right="30"/>
              <w:spacing w:after="0"/>
              <w:rPr>
                <w:sz w:val="20"/>
                <w:szCs w:val="20"/>
                <w:color w:val="auto"/>
              </w:rPr>
            </w:pPr>
            <w:r>
              <w:rPr>
                <w:rFonts w:ascii="Arial" w:cs="Arial" w:eastAsia="Arial" w:hAnsi="Arial"/>
                <w:sz w:val="18"/>
                <w:szCs w:val="18"/>
                <w:color w:val="auto"/>
              </w:rPr>
              <w:t>83,430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72.68</w:t>
            </w:r>
          </w:p>
        </w:tc>
        <w:tc>
          <w:tcPr>
            <w:tcW w:w="12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70,210</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194,909,939</w:t>
            </w:r>
          </w:p>
        </w:tc>
        <w:tc>
          <w:tcPr>
            <w:tcW w:w="0" w:type="dxa"/>
            <w:vAlign w:val="bottom"/>
          </w:tcPr>
          <w:p>
            <w:pPr>
              <w:spacing w:after="0"/>
              <w:rPr>
                <w:sz w:val="1"/>
                <w:szCs w:val="1"/>
                <w:color w:val="auto"/>
              </w:rPr>
            </w:pPr>
          </w:p>
        </w:tc>
      </w:tr>
      <w:tr>
        <w:trPr>
          <w:trHeight w:val="270"/>
        </w:trPr>
        <w:tc>
          <w:tcPr>
            <w:tcW w:w="1520" w:type="dxa"/>
            <w:vAlign w:val="bottom"/>
          </w:tcPr>
          <w:p>
            <w:pPr>
              <w:jc w:val="right"/>
              <w:ind w:right="30"/>
              <w:spacing w:after="0"/>
              <w:rPr>
                <w:sz w:val="20"/>
                <w:szCs w:val="20"/>
                <w:color w:val="auto"/>
              </w:rPr>
            </w:pPr>
            <w:r>
              <w:rPr>
                <w:rFonts w:ascii="Arial" w:cs="Arial" w:eastAsia="Arial" w:hAnsi="Arial"/>
                <w:sz w:val="18"/>
                <w:szCs w:val="18"/>
                <w:color w:val="auto"/>
              </w:rPr>
              <w:t>78,336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75.94</w:t>
            </w:r>
          </w:p>
        </w:tc>
        <w:tc>
          <w:tcPr>
            <w:tcW w:w="12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64,955</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190,000,065</w:t>
            </w:r>
          </w:p>
        </w:tc>
        <w:tc>
          <w:tcPr>
            <w:tcW w:w="0" w:type="dxa"/>
            <w:vAlign w:val="bottom"/>
          </w:tcPr>
          <w:p>
            <w:pPr>
              <w:spacing w:after="0"/>
              <w:rPr>
                <w:sz w:val="1"/>
                <w:szCs w:val="1"/>
                <w:color w:val="auto"/>
              </w:rPr>
            </w:pPr>
          </w:p>
        </w:tc>
      </w:tr>
      <w:tr>
        <w:trPr>
          <w:trHeight w:val="270"/>
        </w:trPr>
        <w:tc>
          <w:tcPr>
            <w:tcW w:w="1520" w:type="dxa"/>
            <w:vAlign w:val="bottom"/>
          </w:tcPr>
          <w:p>
            <w:pPr>
              <w:jc w:val="right"/>
              <w:ind w:right="30"/>
              <w:spacing w:after="0"/>
              <w:rPr>
                <w:sz w:val="20"/>
                <w:szCs w:val="20"/>
                <w:color w:val="auto"/>
              </w:rPr>
            </w:pPr>
            <w:r>
              <w:rPr>
                <w:rFonts w:ascii="Arial" w:cs="Arial" w:eastAsia="Arial" w:hAnsi="Arial"/>
                <w:sz w:val="18"/>
                <w:szCs w:val="18"/>
                <w:color w:val="auto"/>
              </w:rPr>
              <w:t>40,600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48.85</w:t>
            </w:r>
          </w:p>
        </w:tc>
        <w:tc>
          <w:tcPr>
            <w:tcW w:w="12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40,600</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188,016,828</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Pr>
          <w:p>
            <w:pPr>
              <w:jc w:val="right"/>
              <w:ind w:right="30"/>
              <w:spacing w:after="0"/>
              <w:rPr>
                <w:sz w:val="20"/>
                <w:szCs w:val="20"/>
                <w:color w:val="auto"/>
              </w:rPr>
            </w:pPr>
            <w:r>
              <w:rPr>
                <w:rFonts w:ascii="Arial" w:cs="Arial" w:eastAsia="Arial" w:hAnsi="Arial"/>
                <w:sz w:val="18"/>
                <w:szCs w:val="18"/>
                <w:color w:val="auto"/>
              </w:rPr>
              <w:t>202,366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175,765</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-376555</wp:posOffset>
            </wp:positionV>
            <wp:extent cx="67976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7675" cy="17145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-728345</wp:posOffset>
            </wp:positionV>
            <wp:extent cx="679767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7675" cy="17970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3540" w:space="720"/>
            <w:col w:w="6980"/>
          </w:cols>
          <w:pgMar w:left="320" w:top="337" w:right="339" w:bottom="1440" w:gutter="0" w:footer="0" w:header="0"/>
          <w:type w:val="continuous"/>
        </w:sectPr>
      </w:pPr>
    </w:p>
    <w:p>
      <w:pPr>
        <w:ind w:left="420"/>
        <w:spacing w:after="0"/>
        <w:rPr>
          <w:sz w:val="20"/>
          <w:szCs w:val="20"/>
          <w:color w:val="auto"/>
        </w:rPr>
      </w:pPr>
      <w:r>
        <w:rPr>
          <w:rFonts w:ascii="Arial" w:cs="Arial" w:eastAsia="Arial" w:hAnsi="Arial"/>
          <w:sz w:val="18"/>
          <w:szCs w:val="18"/>
          <w:i w:val="1"/>
          <w:iCs w:val="1"/>
          <w:color w:val="auto"/>
        </w:rPr>
        <w:t>(1) Average of high and low price of common stock on the trading day prior to the vesting date of the shares of restricted stock.</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December 16, 2019, our Board of Directors authorized a $200.0 million common stock repurchase program beginning January 1, 2020 through December 31, 2022 (the “2019 Repurchase Program”). The shares may be purchased by us from time to time from the open market and through private transactions, or otherwise, as determined by us as market conditions warrant.</w:t>
      </w:r>
    </w:p>
    <w:p>
      <w:pPr>
        <w:spacing w:after="0" w:line="1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the quarter ended March 31, 2020, to enhance our liquidity position in response to COVID-19, management elected to temporarily suspend share repurchases under the 2019 Repurchase Program. The 2019 Repurchase Program remains authorized by the Board of Directors and management has the discretion to resume share repurchases in the future at any time, depending upon market conditions, our capital needs and other factors.</w:t>
      </w: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37" w:right="3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tcBorders>
              <w:bottom w:val="single" w:sz="8" w:color="0000FF"/>
            </w:tcBorders>
            <w:gridSpan w:val="12"/>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Amended and Restated Certificate of Incorporation of the Company, as in effect on the date hereof (incorporated by reference to Exhibit 3.1</w:t>
              </w:r>
            </w:hyperlink>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of the Company’s Current Report on Form 8-K (File No. 1-33089) filed on October 25, 2006).</w:t>
              </w:r>
            </w:hyperlink>
          </w:p>
        </w:tc>
      </w:tr>
      <w:tr>
        <w:trPr>
          <w:trHeight w:val="20"/>
        </w:trPr>
        <w:tc>
          <w:tcPr>
            <w:tcW w:w="100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10120" w:type="dxa"/>
            <w:vAlign w:val="bottom"/>
            <w:gridSpan w:val="13"/>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Certificate of Amendment to Amended and Restated Certificate of Incorporation of the Company (incorporated by reference to Annex A to</w:t>
              </w:r>
            </w:hyperlink>
          </w:p>
        </w:tc>
      </w:tr>
      <w:tr>
        <w:trPr>
          <w:trHeight w:val="196"/>
        </w:trPr>
        <w:tc>
          <w:tcPr>
            <w:tcW w:w="100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the Company’s Definitive Proxy Statement on Schedule 14A (File No. 1-33089) filed on April 26, 2019).</w:t>
              </w:r>
            </w:hyperlink>
          </w:p>
        </w:tc>
        <w:tc>
          <w:tcPr>
            <w:tcW w:w="2440" w:type="dxa"/>
            <w:vAlign w:val="bottom"/>
            <w:tcBorders>
              <w:top w:val="single" w:sz="8" w:color="0000FF"/>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3.3</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Fifth Amended and Restated By-laws of ExlService Holdings, Inc. (incorporated by reference to Exhibit 3.2 of the Company’s Current</w:t>
              </w:r>
            </w:hyperlink>
          </w:p>
        </w:tc>
        <w:tc>
          <w:tcPr>
            <w:tcW w:w="4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Report on Form 8-K (File No. 1-33089) filed on June 19, 2019)</w:t>
              </w:r>
            </w:hyperlink>
          </w:p>
        </w:tc>
        <w:tc>
          <w:tcPr>
            <w:tcW w:w="5520" w:type="dxa"/>
            <w:vAlign w:val="bottom"/>
            <w:gridSpan w:val="9"/>
          </w:tcPr>
          <w:p>
            <w:pPr>
              <w:spacing w:after="0"/>
              <w:rPr>
                <w:sz w:val="17"/>
                <w:szCs w:val="17"/>
                <w:color w:val="auto"/>
              </w:rPr>
            </w:pPr>
          </w:p>
        </w:tc>
      </w:tr>
      <w:tr>
        <w:trPr>
          <w:trHeight w:val="385"/>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Certification of the Chief Executive Officer of ExlService Holdings, pursuant to Rule 13a-14(a) of the Exchange Act, as adopted pursuant to</w:t>
              </w:r>
            </w:hyperlink>
          </w:p>
        </w:tc>
      </w:tr>
      <w:tr>
        <w:trPr>
          <w:trHeight w:val="196"/>
        </w:trPr>
        <w:tc>
          <w:tcPr>
            <w:tcW w:w="100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tcBorders>
              <w:bottom w:val="single" w:sz="8" w:color="0000FF"/>
            </w:tcBorders>
            <w:gridSpan w:val="11"/>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4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37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the Chief Executive Officer pursuant to Rule 13a-14(b) of the Exchange Act and 18 U.S.C. Section 1350, as adopted</w:t>
              </w:r>
            </w:hyperlink>
          </w:p>
        </w:tc>
        <w:tc>
          <w:tcPr>
            <w:tcW w:w="5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3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pursuant to Section 906 of the Sarbanes-Oxley Act of 2002.</w:t>
              </w:r>
            </w:hyperlink>
          </w:p>
        </w:tc>
        <w:tc>
          <w:tcPr>
            <w:tcW w:w="5780" w:type="dxa"/>
            <w:vAlign w:val="bottom"/>
            <w:gridSpan w:val="10"/>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10120" w:type="dxa"/>
            <w:vAlign w:val="bottom"/>
            <w:gridSpan w:val="13"/>
          </w:tcPr>
          <w:p>
            <w:pPr>
              <w:spacing w:after="0"/>
              <w:rPr>
                <w:rFonts w:ascii="Arial" w:cs="Arial" w:eastAsia="Arial" w:hAnsi="Arial"/>
                <w:sz w:val="18"/>
                <w:szCs w:val="18"/>
                <w:color w:val="0000FF"/>
                <w:w w:val="97"/>
              </w:rPr>
            </w:pPr>
            <w:hyperlink w:anchor="page58">
              <w:r>
                <w:rPr>
                  <w:rFonts w:ascii="Arial" w:cs="Arial" w:eastAsia="Arial" w:hAnsi="Arial"/>
                  <w:sz w:val="18"/>
                  <w:szCs w:val="18"/>
                  <w:color w:val="0000FF"/>
                  <w:w w:val="97"/>
                </w:rPr>
                <w:t>Certification of the Chief Financial Officer pursuant to Rule 13a-14(b) of the Exchange Act and 18 U.S.C. Section 1350, as adopted</w:t>
              </w:r>
            </w:hyperlink>
          </w:p>
        </w:tc>
      </w:tr>
      <w:tr>
        <w:trPr>
          <w:trHeight w:val="196"/>
        </w:trPr>
        <w:tc>
          <w:tcPr>
            <w:tcW w:w="100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pursuant to Section 906 of the Sarbanes-Oxley Act of 2002.</w:t>
              </w:r>
            </w:hyperlink>
          </w:p>
        </w:tc>
        <w:tc>
          <w:tcPr>
            <w:tcW w:w="5180" w:type="dxa"/>
            <w:vAlign w:val="bottom"/>
            <w:tcBorders>
              <w:top w:val="single" w:sz="8" w:color="0000FF"/>
            </w:tcBorders>
            <w:gridSpan w:val="5"/>
          </w:tcPr>
          <w:p>
            <w:pPr>
              <w:spacing w:after="0"/>
              <w:rPr>
                <w:sz w:val="17"/>
                <w:szCs w:val="17"/>
                <w:color w:val="auto"/>
              </w:rPr>
            </w:pPr>
          </w:p>
        </w:tc>
        <w:tc>
          <w:tcPr>
            <w:tcW w:w="620" w:type="dxa"/>
            <w:vAlign w:val="bottom"/>
            <w:gridSpan w:val="6"/>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Scheme</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3"/>
          </w:tcPr>
          <w:p>
            <w:pPr>
              <w:spacing w:after="0"/>
              <w:rPr>
                <w:sz w:val="20"/>
                <w:szCs w:val="20"/>
                <w:color w:val="auto"/>
              </w:rPr>
            </w:pPr>
            <w:r>
              <w:rPr>
                <w:rFonts w:ascii="Arial" w:cs="Arial" w:eastAsia="Arial" w:hAnsi="Arial"/>
                <w:sz w:val="18"/>
                <w:szCs w:val="18"/>
                <w:color w:val="auto"/>
              </w:rPr>
              <w:t>XBRL Extension Presentation Linkbase</w:t>
            </w:r>
          </w:p>
        </w:tc>
      </w:tr>
    </w:tbl>
    <w:p>
      <w:pPr>
        <w:spacing w:after="0" w:line="161" w:lineRule="exact"/>
        <w:rPr>
          <w:sz w:val="20"/>
          <w:szCs w:val="20"/>
          <w:color w:val="auto"/>
        </w:rPr>
      </w:pPr>
    </w:p>
    <w:p>
      <w:pPr>
        <w:ind w:left="1040" w:hanging="100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5740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color w:val="auto"/>
              </w:rPr>
              <w:t>Date: May 7, 2020</w:t>
            </w:r>
          </w:p>
        </w:tc>
        <w:tc>
          <w:tcPr>
            <w:tcW w:w="8040" w:type="dxa"/>
            <w:vAlign w:val="bottom"/>
            <w:gridSpan w:val="2"/>
          </w:tcPr>
          <w:p>
            <w:pPr>
              <w:ind w:left="180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140" w:type="dxa"/>
            <w:vAlign w:val="bottom"/>
          </w:tcPr>
          <w:p>
            <w:pPr>
              <w:spacing w:after="0"/>
              <w:rPr>
                <w:sz w:val="24"/>
                <w:szCs w:val="24"/>
                <w:color w:val="auto"/>
              </w:rPr>
            </w:pPr>
          </w:p>
        </w:tc>
        <w:tc>
          <w:tcPr>
            <w:tcW w:w="8040" w:type="dxa"/>
            <w:vAlign w:val="bottom"/>
            <w:gridSpan w:val="2"/>
          </w:tcPr>
          <w:p>
            <w:pPr>
              <w:ind w:left="180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xml:space="preserve">/ </w:t>
            </w:r>
            <w:r>
              <w:rPr>
                <w:rFonts w:ascii="Arial" w:cs="Arial" w:eastAsia="Arial" w:hAnsi="Arial"/>
                <w:sz w:val="14"/>
                <w:szCs w:val="14"/>
                <w:color w:val="auto"/>
              </w:rPr>
              <w:t>MAURIZIO NICOLELLI</w:t>
            </w:r>
          </w:p>
        </w:tc>
      </w:tr>
      <w:tr>
        <w:trPr>
          <w:trHeight w:val="27"/>
        </w:trPr>
        <w:tc>
          <w:tcPr>
            <w:tcW w:w="3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r>
      <w:tr>
        <w:trPr>
          <w:trHeight w:val="146"/>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7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MAURIZIO NICOLELLI</w:t>
            </w:r>
          </w:p>
        </w:tc>
      </w:tr>
      <w:tr>
        <w:trPr>
          <w:trHeight w:val="148"/>
        </w:trPr>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7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60"/>
        </w:trPr>
        <w:tc>
          <w:tcPr>
            <w:tcW w:w="3140" w:type="dxa"/>
            <w:vAlign w:val="bottom"/>
          </w:tcPr>
          <w:p>
            <w:pPr>
              <w:spacing w:after="0"/>
              <w:rPr>
                <w:sz w:val="24"/>
                <w:szCs w:val="24"/>
                <w:color w:val="auto"/>
              </w:rPr>
            </w:pPr>
          </w:p>
        </w:tc>
        <w:tc>
          <w:tcPr>
            <w:tcW w:w="8040" w:type="dxa"/>
            <w:vAlign w:val="bottom"/>
            <w:gridSpan w:val="2"/>
          </w:tcPr>
          <w:p>
            <w:pPr>
              <w:ind w:left="236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20"/>
          </w:cols>
          <w:pgMar w:left="320" w:top="337"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240"/>
          </w:cols>
          <w:pgMar w:left="320" w:top="55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Maurizio Nicolelli, certify that:</w:t>
      </w:r>
    </w:p>
    <w:p>
      <w:pPr>
        <w:spacing w:after="0" w:line="347"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53" w:right="339"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2020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928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55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March 31, 2020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928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Maurizio Nicolelli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1" Type="http://schemas.openxmlformats.org/officeDocument/2006/relationships/hyperlink" Target="http://www.sec.gov/Archives/edgar/data/1297989/000119312506214684/dex31.htm" TargetMode="External"/><Relationship Id="rId52" Type="http://schemas.openxmlformats.org/officeDocument/2006/relationships/hyperlink" Target="http://www.sec.gov/Archives/edgar/data/1297989/000104746919002609/a2238453zdef14a.htm" TargetMode="External"/><Relationship Id="rId53" Type="http://schemas.openxmlformats.org/officeDocument/2006/relationships/hyperlink" Target="http://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2020-05-07T16:01:23Z</dcterms:created>
  <dcterms:modified xsi:type="dcterms:W3CDTF">2020-05-07T16:01:23Z</dcterms:modified>
</cp:coreProperties>
</file>