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70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7009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Bloom William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07/12/2010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71"/>
        <w:spacing w:after="0"/>
        <w:rPr>
          <w:sz w:val="20"/>
          <w:szCs w:val="20"/>
          <w:color w:val="auto"/>
        </w:rPr>
      </w:pPr>
      <w:r>
        <w:rPr>
          <w:rFonts w:ascii="Arial" w:cs="Arial" w:eastAsia="Arial" w:hAnsi="Arial"/>
          <w:sz w:val="17"/>
          <w:szCs w:val="17"/>
          <w:color w:val="0000FF"/>
        </w:rPr>
        <w:t>Man. Dir.-Head of Gl. Cl. Svcs</w:t>
      </w:r>
    </w:p>
    <w:p>
      <w:pPr>
        <w:spacing w:after="0" w:line="324"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spacing w:after="0"/>
              <w:rPr>
                <w:sz w:val="12"/>
                <w:szCs w:val="12"/>
                <w:color w:val="auto"/>
              </w:rPr>
            </w:pPr>
          </w:p>
        </w:tc>
        <w:tc>
          <w:tcPr>
            <w:tcW w:w="70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250,000</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Options</w:t>
            </w:r>
          </w:p>
        </w:tc>
        <w:tc>
          <w:tcPr>
            <w:tcW w:w="800" w:type="dxa"/>
            <w:vAlign w:val="bottom"/>
          </w:tcPr>
          <w:p>
            <w:pPr>
              <w:ind w:left="2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17.755</w:t>
            </w:r>
          </w:p>
        </w:tc>
        <w:tc>
          <w:tcPr>
            <w:tcW w:w="1120" w:type="dxa"/>
            <w:vAlign w:val="bottom"/>
          </w:tcPr>
          <w:p>
            <w:pPr>
              <w:jc w:val="right"/>
              <w:ind w:right="199"/>
              <w:spacing w:after="0" w:line="146" w:lineRule="exact"/>
              <w:rPr>
                <w:sz w:val="20"/>
                <w:szCs w:val="20"/>
                <w:color w:val="auto"/>
              </w:rPr>
            </w:pPr>
            <w:r>
              <w:rPr>
                <w:rFonts w:ascii="Arial" w:cs="Arial" w:eastAsia="Arial" w:hAnsi="Arial"/>
                <w:sz w:val="13"/>
                <w:szCs w:val="13"/>
                <w:color w:val="0000FF"/>
              </w:rPr>
              <w:t>07/12/2010</w:t>
            </w:r>
          </w:p>
        </w:tc>
        <w:tc>
          <w:tcPr>
            <w:tcW w:w="1100" w:type="dxa"/>
            <w:vAlign w:val="bottom"/>
          </w:tcPr>
          <w:p>
            <w:pPr>
              <w:spacing w:after="0"/>
              <w:rPr>
                <w:sz w:val="12"/>
                <w:szCs w:val="12"/>
                <w:color w:val="auto"/>
              </w:rPr>
            </w:pPr>
          </w:p>
        </w:tc>
        <w:tc>
          <w:tcPr>
            <w:tcW w:w="820" w:type="dxa"/>
            <w:vAlign w:val="bottom"/>
          </w:tcPr>
          <w:p>
            <w:pPr>
              <w:ind w:left="180"/>
              <w:spacing w:after="0" w:line="146" w:lineRule="exact"/>
              <w:rPr>
                <w:sz w:val="20"/>
                <w:szCs w:val="20"/>
                <w:color w:val="auto"/>
              </w:rPr>
            </w:pPr>
            <w:r>
              <w:rPr>
                <w:rFonts w:ascii="Arial" w:cs="Arial" w:eastAsia="Arial" w:hAnsi="Arial"/>
                <w:sz w:val="13"/>
                <w:szCs w:val="13"/>
                <w:color w:val="0000FF"/>
              </w:rPr>
              <w:t>A</w:t>
            </w:r>
          </w:p>
        </w:tc>
        <w:tc>
          <w:tcPr>
            <w:tcW w:w="660" w:type="dxa"/>
            <w:vAlign w:val="bottom"/>
          </w:tcPr>
          <w:p>
            <w:pPr>
              <w:ind w:left="100"/>
              <w:spacing w:after="0" w:line="146" w:lineRule="exact"/>
              <w:rPr>
                <w:sz w:val="20"/>
                <w:szCs w:val="20"/>
                <w:color w:val="auto"/>
              </w:rPr>
            </w:pPr>
            <w:r>
              <w:rPr>
                <w:rFonts w:ascii="Arial" w:cs="Arial" w:eastAsia="Arial" w:hAnsi="Arial"/>
                <w:sz w:val="13"/>
                <w:szCs w:val="13"/>
                <w:color w:val="0000FF"/>
              </w:rPr>
              <w:t>250,000</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ind w:left="80"/>
              <w:spacing w:after="0" w:line="146" w:lineRule="exact"/>
              <w:rPr>
                <w:sz w:val="20"/>
                <w:szCs w:val="20"/>
                <w:color w:val="auto"/>
              </w:rPr>
            </w:pPr>
            <w:r>
              <w:rPr>
                <w:rFonts w:ascii="Arial" w:cs="Arial" w:eastAsia="Arial" w:hAnsi="Arial"/>
                <w:sz w:val="13"/>
                <w:szCs w:val="13"/>
                <w:color w:val="0000FF"/>
                <w:w w:val="98"/>
              </w:rPr>
              <w:t>07/12/2020</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par value</w:t>
            </w:r>
          </w:p>
        </w:tc>
        <w:tc>
          <w:tcPr>
            <w:tcW w:w="640" w:type="dxa"/>
            <w:vAlign w:val="bottom"/>
            <w:vMerge w:val="continue"/>
          </w:tcPr>
          <w:p>
            <w:pPr>
              <w:spacing w:after="0"/>
              <w:rPr>
                <w:sz w:val="12"/>
                <w:szCs w:val="12"/>
                <w:color w:val="auto"/>
              </w:rPr>
            </w:pPr>
          </w:p>
        </w:tc>
        <w:tc>
          <w:tcPr>
            <w:tcW w:w="700" w:type="dxa"/>
            <w:vAlign w:val="bottom"/>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80"/>
              <w:spacing w:after="0" w:line="146" w:lineRule="exact"/>
              <w:rPr>
                <w:sz w:val="20"/>
                <w:szCs w:val="20"/>
                <w:color w:val="auto"/>
              </w:rPr>
            </w:pPr>
            <w:r>
              <w:rPr>
                <w:rFonts w:ascii="Arial" w:cs="Arial" w:eastAsia="Arial" w:hAnsi="Arial"/>
                <w:sz w:val="13"/>
                <w:szCs w:val="13"/>
                <w:color w:val="0000FF"/>
              </w:rPr>
              <w:t>250,000</w:t>
            </w:r>
          </w:p>
        </w:tc>
        <w:tc>
          <w:tcPr>
            <w:tcW w:w="7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$0.001</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 percent of the options will vest and become exercisable on July 12, 2011; an additional 20 percent of the options will vest and become exercisable on July 12, 2012, an additional 30 percent of the options will vest and become exercisable on July 12, 2013; and the remaining 40 percent of options will vest and become exercisable on July 12, 2014. Vesting will be accelerated upon certain terminations of employment and upon a change in control (as defined in the ExlService Holdings, Inc. 2006 Omnibus Award Plan).</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1"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Lazbart Oseni,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07/12/2010</w:t>
            </w:r>
          </w:p>
        </w:tc>
        <w:tc>
          <w:tcPr>
            <w:tcW w:w="0" w:type="dxa"/>
            <w:vAlign w:val="bottom"/>
          </w:tcPr>
          <w:p>
            <w:pPr>
              <w:spacing w:after="0"/>
              <w:rPr>
                <w:sz w:val="1"/>
                <w:szCs w:val="1"/>
                <w:color w:val="auto"/>
              </w:rPr>
            </w:pPr>
          </w:p>
        </w:tc>
      </w:tr>
      <w:tr>
        <w:trPr>
          <w:trHeight w:val="86"/>
        </w:trPr>
        <w:tc>
          <w:tcPr>
            <w:tcW w:w="300" w:type="dxa"/>
            <w:vAlign w:val="bottom"/>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2019-12-16T13:05:19Z</dcterms:created>
  <dcterms:modified xsi:type="dcterms:W3CDTF">2019-12-16T13:05:19Z</dcterms:modified>
</cp:coreProperties>
</file>