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2"/>
          <w:szCs w:val="22"/>
          <w:color w:val="auto"/>
        </w:rPr>
        <w:t>SEC Form 4</w:t>
      </w:r>
    </w:p>
    <w:p>
      <w:pPr>
        <w:spacing w:after="0" w:line="34"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0" w:lineRule="exact"/>
        <w:rPr>
          <w:sz w:val="24"/>
          <w:szCs w:val="24"/>
          <w:color w:val="auto"/>
        </w:rPr>
      </w:pPr>
    </w:p>
    <w:p>
      <w:pPr>
        <w:ind w:left="380"/>
        <w:spacing w:after="0" w:line="24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-248920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580" w:type="dxa"/>
            <w:vAlign w:val="bottom"/>
            <w:vMerge w:val="restart"/>
          </w:tcPr>
          <w:p>
            <w:pPr>
              <w:jc w:val="center"/>
              <w:ind w:right="152"/>
              <w:spacing w:after="0" w:line="150"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2"/>
                <w:szCs w:val="2"/>
                <w:color w:val="auto"/>
              </w:rPr>
            </w:pPr>
          </w:p>
        </w:tc>
        <w:tc>
          <w:tcPr>
            <w:tcW w:w="13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3"/>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4"/>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65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6"/>
        </w:trPr>
        <w:tc>
          <w:tcPr>
            <w:tcW w:w="6580" w:type="dxa"/>
            <w:vAlign w:val="bottom"/>
          </w:tcPr>
          <w:p>
            <w:pPr>
              <w:spacing w:after="0"/>
              <w:rPr>
                <w:sz w:val="5"/>
                <w:szCs w:val="5"/>
                <w:color w:val="auto"/>
              </w:rPr>
            </w:pPr>
          </w:p>
        </w:tc>
        <w:tc>
          <w:tcPr>
            <w:tcW w:w="40" w:type="dxa"/>
            <w:vAlign w:val="bottom"/>
          </w:tcPr>
          <w:p>
            <w:pPr>
              <w:spacing w:after="0"/>
              <w:rPr>
                <w:sz w:val="5"/>
                <w:szCs w:val="5"/>
                <w:color w:val="auto"/>
              </w:rPr>
            </w:pPr>
          </w:p>
        </w:tc>
        <w:tc>
          <w:tcPr>
            <w:tcW w:w="21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22225</wp:posOffset>
            </wp:positionV>
            <wp:extent cx="7322820" cy="57283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728335"/>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380" w:space="240"/>
            <w:col w:w="8900"/>
          </w:cols>
          <w:pgMar w:left="240" w:top="220"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2"/>
          <w:szCs w:val="22"/>
          <w:u w:val="single" w:color="auto"/>
          <w:color w:val="0000EE"/>
        </w:rPr>
      </w:pPr>
      <w:hyperlink r:id="rId12">
        <w:r>
          <w:rPr>
            <w:rFonts w:ascii="Times New Roman" w:cs="Times New Roman" w:eastAsia="Times New Roman" w:hAnsi="Times New Roman"/>
            <w:sz w:val="22"/>
            <w:szCs w:val="22"/>
            <w:u w:val="single" w:color="auto"/>
            <w:color w:val="0000EE"/>
          </w:rPr>
          <w:t>STAGLIN GAREN K</w:t>
        </w:r>
      </w:hyperlink>
    </w:p>
    <w:p>
      <w:pPr>
        <w:spacing w:after="0" w:line="301"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3" w:lineRule="exact"/>
        <w:rPr>
          <w:sz w:val="24"/>
          <w:szCs w:val="24"/>
          <w:color w:val="auto"/>
        </w:rPr>
      </w:pPr>
    </w:p>
    <w:p>
      <w:pPr>
        <w:jc w:val="center"/>
        <w:ind w:right="277"/>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ExlService Holdings,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EXLS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86"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3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0000FF"/>
        </w:rPr>
        <w:t>05/28/2015</w:t>
      </w:r>
    </w:p>
    <w:p>
      <w:pPr>
        <w:spacing w:after="0" w:line="20" w:lineRule="exact"/>
        <w:rPr>
          <w:sz w:val="24"/>
          <w:szCs w:val="24"/>
          <w:color w:val="auto"/>
        </w:rPr>
      </w:pPr>
      <w:r>
        <w:rPr>
          <w:sz w:val="24"/>
          <w:szCs w:val="24"/>
          <w:color w:val="auto"/>
        </w:rPr>
        <w:br w:type="column"/>
      </w:r>
    </w:p>
    <w:p>
      <w:pPr>
        <w:ind w:left="3" w:right="620" w:hanging="3"/>
        <w:spacing w:after="0" w:line="250"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Times New Roman" w:cs="Times New Roman" w:eastAsia="Times New Roman" w:hAnsi="Times New Roman"/>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88" w:lineRule="exact"/>
        <w:rPr>
          <w:sz w:val="24"/>
          <w:szCs w:val="24"/>
          <w:color w:val="auto"/>
        </w:rPr>
      </w:pPr>
    </w:p>
    <w:p>
      <w:pPr>
        <w:jc w:val="right"/>
        <w:ind w:right="4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spacing w:after="0" w:line="4" w:lineRule="exact"/>
        <w:rPr>
          <w:sz w:val="24"/>
          <w:szCs w:val="24"/>
          <w:color w:val="auto"/>
        </w:rPr>
      </w:pP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3" w:lineRule="exact"/>
        <w:rPr>
          <w:sz w:val="24"/>
          <w:szCs w:val="24"/>
          <w:color w:val="auto"/>
        </w:rPr>
      </w:pPr>
    </w:p>
    <w:p>
      <w:pPr>
        <w:sectPr>
          <w:pgSz w:w="11900" w:h="16838" w:orient="portrait"/>
          <w:cols w:equalWidth="0" w:num="3">
            <w:col w:w="3360" w:space="720"/>
            <w:col w:w="3257" w:space="720"/>
            <w:col w:w="3463"/>
          </w:cols>
          <w:pgMar w:left="240" w:top="220" w:right="139" w:bottom="1440" w:gutter="0" w:footer="0" w:header="0"/>
          <w:type w:val="continuous"/>
        </w:sectPr>
      </w:pPr>
    </w:p>
    <w:p>
      <w:pPr>
        <w:spacing w:after="0" w:line="243" w:lineRule="exact"/>
        <w:rPr>
          <w:sz w:val="24"/>
          <w:szCs w:val="24"/>
          <w:color w:val="auto"/>
        </w:rPr>
      </w:pPr>
    </w:p>
    <w:tbl>
      <w:tblPr>
        <w:tblLayout w:type="fixed"/>
        <w:tblInd w:w="80" w:type="dxa"/>
        <w:tblCellMar>
          <w:top w:w="0" w:type="dxa"/>
          <w:left w:w="0" w:type="dxa"/>
          <w:bottom w:w="0" w:type="dxa"/>
          <w:right w:w="0" w:type="dxa"/>
        </w:tblCellMar>
      </w:tblPr>
      <w:tr>
        <w:trPr>
          <w:trHeight w:val="180"/>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240"/>
        </w:trPr>
        <w:tc>
          <w:tcPr>
            <w:tcW w:w="4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8"/>
                <w:szCs w:val="18"/>
                <w:color w:val="0000FF"/>
              </w:rPr>
              <w:t>NEW YORK</w:t>
            </w:r>
          </w:p>
        </w:tc>
        <w:tc>
          <w:tcPr>
            <w:tcW w:w="1000" w:type="dxa"/>
            <w:vAlign w:val="bottom"/>
          </w:tcPr>
          <w:p>
            <w:pPr>
              <w:ind w:left="160"/>
              <w:spacing w:after="0"/>
              <w:rPr>
                <w:sz w:val="20"/>
                <w:szCs w:val="20"/>
                <w:color w:val="auto"/>
              </w:rPr>
            </w:pPr>
            <w:r>
              <w:rPr>
                <w:rFonts w:ascii="Times New Roman" w:cs="Times New Roman" w:eastAsia="Times New Roman" w:hAnsi="Times New Roman"/>
                <w:sz w:val="18"/>
                <w:szCs w:val="18"/>
                <w:color w:val="0000FF"/>
              </w:rPr>
              <w:t>NY</w:t>
            </w:r>
          </w:p>
        </w:tc>
        <w:tc>
          <w:tcPr>
            <w:tcW w:w="1680" w:type="dxa"/>
            <w:vAlign w:val="bottom"/>
          </w:tcPr>
          <w:p>
            <w:pPr>
              <w:ind w:left="420"/>
              <w:spacing w:after="0"/>
              <w:rPr>
                <w:sz w:val="20"/>
                <w:szCs w:val="20"/>
                <w:color w:val="auto"/>
              </w:rPr>
            </w:pPr>
            <w:r>
              <w:rPr>
                <w:rFonts w:ascii="Times New Roman" w:cs="Times New Roman" w:eastAsia="Times New Roman" w:hAnsi="Times New Roman"/>
                <w:sz w:val="18"/>
                <w:szCs w:val="18"/>
                <w:color w:val="0000FF"/>
              </w:rPr>
              <w:t>10017</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2"/>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4" w:lineRule="exact"/>
        <w:rPr>
          <w:sz w:val="24"/>
          <w:szCs w:val="24"/>
          <w:color w:val="auto"/>
        </w:rPr>
      </w:pPr>
    </w:p>
    <w:p>
      <w:pPr>
        <w:ind w:left="3980"/>
        <w:spacing w:after="0"/>
        <w:rPr>
          <w:sz w:val="20"/>
          <w:szCs w:val="20"/>
          <w:color w:val="auto"/>
        </w:rPr>
      </w:pPr>
      <w:r>
        <w:rPr>
          <w:rFonts w:ascii="Arial" w:cs="Arial" w:eastAsia="Arial" w:hAnsi="Arial"/>
          <w:sz w:val="14"/>
          <w:szCs w:val="14"/>
          <w:color w:val="auto"/>
        </w:rPr>
        <w:t>Line)</w:t>
      </w:r>
    </w:p>
    <w:p>
      <w:pPr>
        <w:ind w:left="4180"/>
        <w:spacing w:after="0" w:line="225" w:lineRule="auto"/>
        <w:tabs>
          <w:tab w:leader="none" w:pos="4520" w:val="left"/>
        </w:tabs>
        <w:rPr>
          <w:sz w:val="20"/>
          <w:szCs w:val="20"/>
          <w:color w:val="auto"/>
        </w:rPr>
      </w:pPr>
      <w:r>
        <w:rPr>
          <w:rFonts w:ascii="Times New Roman" w:cs="Times New Roman" w:eastAsia="Times New Roman" w:hAnsi="Times New Roman"/>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88"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spacing w:after="0" w:line="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Person</w:t>
      </w:r>
    </w:p>
    <w:p>
      <w:pPr>
        <w:spacing w:after="0" w:line="386" w:lineRule="exact"/>
        <w:rPr>
          <w:sz w:val="24"/>
          <w:szCs w:val="24"/>
          <w:color w:val="auto"/>
        </w:rPr>
      </w:pPr>
    </w:p>
    <w:p>
      <w:pPr>
        <w:sectPr>
          <w:pgSz w:w="11900" w:h="16838" w:orient="portrait"/>
          <w:cols w:equalWidth="0" w:num="2">
            <w:col w:w="3920" w:space="160"/>
            <w:col w:w="7440"/>
          </w:cols>
          <w:pgMar w:left="240" w:top="220"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2"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2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4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4"/>
                <w:szCs w:val="14"/>
                <w:color w:val="auto"/>
              </w:rPr>
            </w:pP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ind w:left="460"/>
              <w:spacing w:after="0" w:line="131"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080" w:type="dxa"/>
            <w:vAlign w:val="bottom"/>
            <w:gridSpan w:val="4"/>
          </w:tcPr>
          <w:p>
            <w:pPr>
              <w:ind w:left="4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60" w:type="dxa"/>
            <w:vAlign w:val="bottom"/>
          </w:tcPr>
          <w:p>
            <w:pPr>
              <w:spacing w:after="0"/>
              <w:rPr>
                <w:sz w:val="11"/>
                <w:szCs w:val="11"/>
                <w:color w:val="auto"/>
              </w:rPr>
            </w:pPr>
          </w:p>
        </w:tc>
        <w:tc>
          <w:tcPr>
            <w:tcW w:w="122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540" w:type="dxa"/>
            <w:vAlign w:val="bottom"/>
            <w:gridSpan w:val="2"/>
          </w:tcPr>
          <w:p>
            <w:pPr>
              <w:ind w:left="460"/>
              <w:spacing w:after="0" w:line="135"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5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 or</w:t>
            </w:r>
          </w:p>
        </w:tc>
        <w:tc>
          <w:tcPr>
            <w:tcW w:w="68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80" w:type="dxa"/>
            <w:vAlign w:val="bottom"/>
            <w:vMerge w:val="continue"/>
          </w:tcPr>
          <w:p>
            <w:pPr>
              <w:spacing w:after="0"/>
              <w:rPr>
                <w:sz w:val="11"/>
                <w:szCs w:val="11"/>
                <w:color w:val="auto"/>
              </w:rPr>
            </w:pPr>
          </w:p>
        </w:tc>
        <w:tc>
          <w:tcPr>
            <w:tcW w:w="7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20" w:type="dxa"/>
            <w:vAlign w:val="bottom"/>
            <w:tcBorders>
              <w:bottom w:val="single" w:sz="8" w:color="2C2C2C"/>
            </w:tcBorders>
            <w:gridSpan w:val="3"/>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72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0000FF"/>
                <w:w w:val="97"/>
              </w:rPr>
              <w:t>Common Stock, par value $0.001 per</w:t>
            </w:r>
          </w:p>
        </w:tc>
        <w:tc>
          <w:tcPr>
            <w:tcW w:w="1540" w:type="dxa"/>
            <w:vAlign w:val="bottom"/>
            <w:gridSpan w:val="2"/>
            <w:vMerge w:val="restart"/>
          </w:tcPr>
          <w:p>
            <w:pPr>
              <w:ind w:left="560"/>
              <w:spacing w:after="0"/>
              <w:rPr>
                <w:sz w:val="20"/>
                <w:szCs w:val="20"/>
                <w:color w:val="auto"/>
              </w:rPr>
            </w:pPr>
            <w:r>
              <w:rPr>
                <w:rFonts w:ascii="Times New Roman" w:cs="Times New Roman" w:eastAsia="Times New Roman" w:hAnsi="Times New Roman"/>
                <w:sz w:val="18"/>
                <w:szCs w:val="18"/>
                <w:color w:val="0000FF"/>
              </w:rPr>
              <w:t>05/28/2015</w:t>
            </w:r>
          </w:p>
        </w:tc>
        <w:tc>
          <w:tcPr>
            <w:tcW w:w="4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vMerge w:val="restart"/>
          </w:tcPr>
          <w:p>
            <w:pPr>
              <w:ind w:left="100"/>
              <w:spacing w:after="0"/>
              <w:rPr>
                <w:sz w:val="20"/>
                <w:szCs w:val="20"/>
                <w:color w:val="auto"/>
              </w:rPr>
            </w:pPr>
            <w:r>
              <w:rPr>
                <w:rFonts w:ascii="Times New Roman" w:cs="Times New Roman" w:eastAsia="Times New Roman" w:hAnsi="Times New Roman"/>
                <w:sz w:val="27"/>
                <w:szCs w:val="27"/>
                <w:color w:val="0000FF"/>
                <w:vertAlign w:val="subscript"/>
              </w:rPr>
              <w:t>M</w:t>
            </w:r>
            <w:r>
              <w:rPr>
                <w:rFonts w:ascii="Times New Roman" w:cs="Times New Roman" w:eastAsia="Times New Roman" w:hAnsi="Times New Roman"/>
                <w:sz w:val="11"/>
                <w:szCs w:val="11"/>
                <w:color w:val="008000"/>
              </w:rPr>
              <w:t>(1)</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0000FF"/>
                <w:w w:val="93"/>
              </w:rPr>
              <w:t>5,000</w:t>
            </w:r>
          </w:p>
        </w:tc>
        <w:tc>
          <w:tcPr>
            <w:tcW w:w="58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0000FF"/>
              </w:rPr>
              <w:t>A</w:t>
            </w:r>
          </w:p>
        </w:tc>
        <w:tc>
          <w:tcPr>
            <w:tcW w:w="720" w:type="dxa"/>
            <w:vAlign w:val="bottom"/>
            <w:gridSpan w:val="2"/>
            <w:vMerge w:val="restart"/>
          </w:tcPr>
          <w:p>
            <w:pPr>
              <w:jc w:val="center"/>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color w:val="0000FF"/>
              </w:rPr>
              <w:t>11.875</w:t>
            </w:r>
          </w:p>
        </w:tc>
        <w:tc>
          <w:tcPr>
            <w:tcW w:w="160" w:type="dxa"/>
            <w:vAlign w:val="bottom"/>
          </w:tcPr>
          <w:p>
            <w:pPr>
              <w:spacing w:after="0"/>
              <w:rPr>
                <w:sz w:val="22"/>
                <w:szCs w:val="22"/>
                <w:color w:val="auto"/>
              </w:rPr>
            </w:pPr>
          </w:p>
        </w:tc>
        <w:tc>
          <w:tcPr>
            <w:tcW w:w="1220" w:type="dxa"/>
            <w:vAlign w:val="bottom"/>
            <w:gridSpan w:val="2"/>
            <w:vMerge w:val="restart"/>
          </w:tcPr>
          <w:p>
            <w:pPr>
              <w:jc w:val="right"/>
              <w:ind w:right="319"/>
              <w:spacing w:after="0"/>
              <w:rPr>
                <w:sz w:val="20"/>
                <w:szCs w:val="20"/>
                <w:color w:val="auto"/>
              </w:rPr>
            </w:pPr>
            <w:r>
              <w:rPr>
                <w:rFonts w:ascii="Times New Roman" w:cs="Times New Roman" w:eastAsia="Times New Roman" w:hAnsi="Times New Roman"/>
                <w:sz w:val="18"/>
                <w:szCs w:val="18"/>
                <w:color w:val="0000FF"/>
              </w:rPr>
              <w:t>10,000</w:t>
            </w:r>
          </w:p>
        </w:tc>
        <w:tc>
          <w:tcPr>
            <w:tcW w:w="280" w:type="dxa"/>
            <w:vAlign w:val="bottom"/>
          </w:tcPr>
          <w:p>
            <w:pPr>
              <w:spacing w:after="0"/>
              <w:rPr>
                <w:sz w:val="22"/>
                <w:szCs w:val="22"/>
                <w:color w:val="auto"/>
              </w:rPr>
            </w:pPr>
          </w:p>
        </w:tc>
        <w:tc>
          <w:tcPr>
            <w:tcW w:w="7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0000FF"/>
              </w:rPr>
              <w:t>share</w:t>
            </w:r>
          </w:p>
        </w:tc>
        <w:tc>
          <w:tcPr>
            <w:tcW w:w="8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540" w:type="dxa"/>
            <w:vAlign w:val="bottom"/>
            <w:gridSpan w:val="2"/>
            <w:vMerge w:val="continue"/>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580" w:type="dxa"/>
            <w:vAlign w:val="bottom"/>
            <w:vMerge w:val="continue"/>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1220" w:type="dxa"/>
            <w:vAlign w:val="bottom"/>
            <w:gridSpan w:val="2"/>
            <w:vMerge w:val="continue"/>
          </w:tcPr>
          <w:p>
            <w:pPr>
              <w:spacing w:after="0"/>
              <w:rPr>
                <w:sz w:val="10"/>
                <w:szCs w:val="10"/>
                <w:color w:val="auto"/>
              </w:rPr>
            </w:pPr>
          </w:p>
        </w:tc>
        <w:tc>
          <w:tcPr>
            <w:tcW w:w="28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58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720" w:type="dxa"/>
            <w:vAlign w:val="bottom"/>
            <w:tcBorders>
              <w:bottom w:val="single" w:sz="8" w:color="2C2C2C"/>
            </w:tcBorders>
            <w:gridSpan w:val="3"/>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72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0000FF"/>
                <w:w w:val="97"/>
              </w:rPr>
              <w:t>Common Stock, par value $0.001 per</w:t>
            </w:r>
          </w:p>
        </w:tc>
        <w:tc>
          <w:tcPr>
            <w:tcW w:w="1540" w:type="dxa"/>
            <w:vAlign w:val="bottom"/>
            <w:gridSpan w:val="2"/>
            <w:vMerge w:val="restart"/>
          </w:tcPr>
          <w:p>
            <w:pPr>
              <w:ind w:left="560"/>
              <w:spacing w:after="0"/>
              <w:rPr>
                <w:sz w:val="20"/>
                <w:szCs w:val="20"/>
                <w:color w:val="auto"/>
              </w:rPr>
            </w:pPr>
            <w:r>
              <w:rPr>
                <w:rFonts w:ascii="Times New Roman" w:cs="Times New Roman" w:eastAsia="Times New Roman" w:hAnsi="Times New Roman"/>
                <w:sz w:val="18"/>
                <w:szCs w:val="18"/>
                <w:color w:val="0000FF"/>
              </w:rPr>
              <w:t>05/28/2015</w:t>
            </w:r>
          </w:p>
        </w:tc>
        <w:tc>
          <w:tcPr>
            <w:tcW w:w="4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vMerge w:val="restart"/>
          </w:tcPr>
          <w:p>
            <w:pPr>
              <w:ind w:left="120"/>
              <w:spacing w:after="0"/>
              <w:rPr>
                <w:sz w:val="20"/>
                <w:szCs w:val="20"/>
                <w:color w:val="auto"/>
              </w:rPr>
            </w:pPr>
            <w:r>
              <w:rPr>
                <w:rFonts w:ascii="Times New Roman" w:cs="Times New Roman" w:eastAsia="Times New Roman" w:hAnsi="Times New Roman"/>
                <w:sz w:val="27"/>
                <w:szCs w:val="27"/>
                <w:color w:val="0000FF"/>
                <w:vertAlign w:val="subscript"/>
              </w:rPr>
              <w:t>S</w:t>
            </w:r>
            <w:r>
              <w:rPr>
                <w:rFonts w:ascii="Times New Roman" w:cs="Times New Roman" w:eastAsia="Times New Roman" w:hAnsi="Times New Roman"/>
                <w:sz w:val="11"/>
                <w:szCs w:val="11"/>
                <w:color w:val="008000"/>
              </w:rPr>
              <w:t>(2)</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0000FF"/>
                <w:w w:val="93"/>
              </w:rPr>
              <w:t>5,000</w:t>
            </w:r>
          </w:p>
        </w:tc>
        <w:tc>
          <w:tcPr>
            <w:tcW w:w="58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0000FF"/>
              </w:rPr>
              <w:t>D</w:t>
            </w:r>
          </w:p>
        </w:tc>
        <w:tc>
          <w:tcPr>
            <w:tcW w:w="880" w:type="dxa"/>
            <w:vAlign w:val="bottom"/>
            <w:gridSpan w:val="3"/>
            <w:vMerge w:val="restart"/>
          </w:tcPr>
          <w:p>
            <w:pPr>
              <w:jc w:val="center"/>
              <w:spacing w:after="0"/>
              <w:rPr>
                <w:sz w:val="20"/>
                <w:szCs w:val="20"/>
                <w:color w:val="auto"/>
              </w:rPr>
            </w:pPr>
            <w:r>
              <w:rPr>
                <w:rFonts w:ascii="Arial" w:cs="Arial" w:eastAsia="Arial" w:hAnsi="Arial"/>
                <w:sz w:val="18"/>
                <w:szCs w:val="18"/>
                <w:color w:val="auto"/>
                <w:w w:val="93"/>
              </w:rPr>
              <w:t>$</w:t>
            </w:r>
            <w:r>
              <w:rPr>
                <w:rFonts w:ascii="Times New Roman" w:cs="Times New Roman" w:eastAsia="Times New Roman" w:hAnsi="Times New Roman"/>
                <w:sz w:val="18"/>
                <w:szCs w:val="18"/>
                <w:color w:val="0000FF"/>
                <w:w w:val="93"/>
              </w:rPr>
              <w:t>35.3984</w:t>
            </w:r>
            <w:r>
              <w:rPr>
                <w:rFonts w:ascii="Times New Roman" w:cs="Times New Roman" w:eastAsia="Times New Roman" w:hAnsi="Times New Roman"/>
                <w:sz w:val="22"/>
                <w:szCs w:val="22"/>
                <w:color w:val="008000"/>
                <w:w w:val="93"/>
                <w:vertAlign w:val="superscript"/>
              </w:rPr>
              <w:t>(3)</w:t>
            </w:r>
          </w:p>
        </w:tc>
        <w:tc>
          <w:tcPr>
            <w:tcW w:w="1220" w:type="dxa"/>
            <w:vAlign w:val="bottom"/>
            <w:gridSpan w:val="2"/>
            <w:vMerge w:val="restart"/>
          </w:tcPr>
          <w:p>
            <w:pPr>
              <w:jc w:val="right"/>
              <w:ind w:right="359"/>
              <w:spacing w:after="0"/>
              <w:rPr>
                <w:sz w:val="20"/>
                <w:szCs w:val="20"/>
                <w:color w:val="auto"/>
              </w:rPr>
            </w:pPr>
            <w:r>
              <w:rPr>
                <w:rFonts w:ascii="Times New Roman" w:cs="Times New Roman" w:eastAsia="Times New Roman" w:hAnsi="Times New Roman"/>
                <w:sz w:val="18"/>
                <w:szCs w:val="18"/>
                <w:color w:val="0000FF"/>
              </w:rPr>
              <w:t>5,000</w:t>
            </w:r>
          </w:p>
        </w:tc>
        <w:tc>
          <w:tcPr>
            <w:tcW w:w="280" w:type="dxa"/>
            <w:vAlign w:val="bottom"/>
          </w:tcPr>
          <w:p>
            <w:pPr>
              <w:spacing w:after="0"/>
              <w:rPr>
                <w:sz w:val="22"/>
                <w:szCs w:val="22"/>
                <w:color w:val="auto"/>
              </w:rPr>
            </w:pPr>
          </w:p>
        </w:tc>
        <w:tc>
          <w:tcPr>
            <w:tcW w:w="7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0000FF"/>
              </w:rPr>
              <w:t>share</w:t>
            </w:r>
          </w:p>
        </w:tc>
        <w:tc>
          <w:tcPr>
            <w:tcW w:w="8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540" w:type="dxa"/>
            <w:vAlign w:val="bottom"/>
            <w:gridSpan w:val="2"/>
            <w:vMerge w:val="continue"/>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580" w:type="dxa"/>
            <w:vAlign w:val="bottom"/>
            <w:vMerge w:val="continue"/>
          </w:tcPr>
          <w:p>
            <w:pPr>
              <w:spacing w:after="0"/>
              <w:rPr>
                <w:sz w:val="15"/>
                <w:szCs w:val="15"/>
                <w:color w:val="auto"/>
              </w:rPr>
            </w:pPr>
          </w:p>
        </w:tc>
        <w:tc>
          <w:tcPr>
            <w:tcW w:w="880" w:type="dxa"/>
            <w:vAlign w:val="bottom"/>
            <w:gridSpan w:val="3"/>
            <w:vMerge w:val="continue"/>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780" w:type="dxa"/>
            <w:vAlign w:val="bottom"/>
          </w:tcPr>
          <w:p>
            <w:pPr>
              <w:spacing w:after="0"/>
              <w:rPr>
                <w:sz w:val="4"/>
                <w:szCs w:val="4"/>
                <w:color w:val="auto"/>
              </w:rPr>
            </w:pPr>
          </w:p>
        </w:tc>
        <w:tc>
          <w:tcPr>
            <w:tcW w:w="580" w:type="dxa"/>
            <w:vAlign w:val="bottom"/>
          </w:tcPr>
          <w:p>
            <w:pPr>
              <w:spacing w:after="0"/>
              <w:rPr>
                <w:sz w:val="4"/>
                <w:szCs w:val="4"/>
                <w:color w:val="auto"/>
              </w:rPr>
            </w:pPr>
          </w:p>
        </w:tc>
        <w:tc>
          <w:tcPr>
            <w:tcW w:w="68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6720" w:type="dxa"/>
            <w:vAlign w:val="bottom"/>
            <w:tcBorders>
              <w:bottom w:val="single" w:sz="8" w:color="2C2C2C"/>
            </w:tcBorders>
            <w:gridSpan w:val="9"/>
          </w:tcPr>
          <w:p>
            <w:pPr>
              <w:spacing w:after="0"/>
              <w:rPr>
                <w:sz w:val="8"/>
                <w:szCs w:val="8"/>
                <w:color w:val="auto"/>
              </w:rPr>
            </w:pPr>
          </w:p>
        </w:tc>
        <w:tc>
          <w:tcPr>
            <w:tcW w:w="720" w:type="dxa"/>
            <w:vAlign w:val="bottom"/>
            <w:tcBorders>
              <w:bottom w:val="single" w:sz="8" w:color="2C2C2C"/>
            </w:tcBorders>
            <w:gridSpan w:val="3"/>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440" w:type="dxa"/>
            <w:vAlign w:val="bottom"/>
            <w:tcBorders>
              <w:top w:val="single" w:sz="8" w:color="2C2C2C"/>
            </w:tcBorders>
            <w:gridSpan w:val="12"/>
          </w:tcPr>
          <w:p>
            <w:pPr>
              <w:ind w:left="1040"/>
              <w:spacing w:after="0"/>
              <w:rPr>
                <w:sz w:val="20"/>
                <w:szCs w:val="20"/>
                <w:color w:val="auto"/>
              </w:rPr>
            </w:pPr>
            <w:r>
              <w:rPr>
                <w:rFonts w:ascii="Arial" w:cs="Arial" w:eastAsia="Arial" w:hAnsi="Arial"/>
                <w:sz w:val="18"/>
                <w:szCs w:val="18"/>
                <w:b w:val="1"/>
                <w:bCs w:val="1"/>
                <w:color w:val="auto"/>
                <w:w w:val="98"/>
              </w:rPr>
              <w:t>Table II - Derivative Securities Acquired, Disposed of, or Beneficially Owned</w:t>
            </w:r>
          </w:p>
        </w:tc>
        <w:tc>
          <w:tcPr>
            <w:tcW w:w="7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5580" w:type="dxa"/>
            <w:vAlign w:val="bottom"/>
            <w:gridSpan w:val="9"/>
          </w:tcPr>
          <w:p>
            <w:pPr>
              <w:ind w:left="60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12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2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8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3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3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80" w:type="dxa"/>
            <w:vAlign w:val="bottom"/>
          </w:tcPr>
          <w:p>
            <w:pPr>
              <w:spacing w:after="0"/>
              <w:rPr>
                <w:sz w:val="11"/>
                <w:szCs w:val="11"/>
                <w:color w:val="auto"/>
              </w:rPr>
            </w:pPr>
          </w:p>
        </w:tc>
        <w:tc>
          <w:tcPr>
            <w:tcW w:w="11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20" w:type="dxa"/>
            <w:vAlign w:val="bottom"/>
            <w:gridSpan w:val="2"/>
          </w:tcPr>
          <w:p>
            <w:pPr>
              <w:ind w:left="14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Date</w:t>
            </w:r>
          </w:p>
        </w:tc>
        <w:tc>
          <w:tcPr>
            <w:tcW w:w="780" w:type="dxa"/>
            <w:vAlign w:val="bottom"/>
            <w:vMerge w:val="restart"/>
          </w:tcPr>
          <w:p>
            <w:pPr>
              <w:jc w:val="center"/>
              <w:spacing w:after="0"/>
              <w:rPr>
                <w:sz w:val="20"/>
                <w:szCs w:val="20"/>
                <w:color w:val="auto"/>
              </w:rPr>
            </w:pPr>
            <w:r>
              <w:rPr>
                <w:rFonts w:ascii="Arial" w:cs="Arial" w:eastAsia="Arial" w:hAnsi="Arial"/>
                <w:sz w:val="12"/>
                <w:szCs w:val="12"/>
                <w:b w:val="1"/>
                <w:bCs w:val="1"/>
                <w:color w:val="auto"/>
              </w:rPr>
              <w:t>Expiration</w:t>
            </w:r>
          </w:p>
        </w:tc>
        <w:tc>
          <w:tcPr>
            <w:tcW w:w="580" w:type="dxa"/>
            <w:vAlign w:val="bottom"/>
          </w:tcPr>
          <w:p>
            <w:pPr>
              <w:spacing w:after="0"/>
              <w:rPr>
                <w:sz w:val="11"/>
                <w:szCs w:val="11"/>
                <w:color w:val="auto"/>
              </w:rPr>
            </w:pPr>
          </w:p>
        </w:tc>
        <w:tc>
          <w:tcPr>
            <w:tcW w:w="7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  (D)</w:t>
            </w:r>
          </w:p>
        </w:tc>
        <w:tc>
          <w:tcPr>
            <w:tcW w:w="82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5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80" w:type="dxa"/>
            <w:vAlign w:val="bottom"/>
            <w:vMerge w:val="continue"/>
          </w:tcPr>
          <w:p>
            <w:pPr>
              <w:spacing w:after="0"/>
              <w:rPr>
                <w:sz w:val="14"/>
                <w:szCs w:val="14"/>
                <w:color w:val="auto"/>
              </w:rPr>
            </w:pPr>
          </w:p>
        </w:tc>
        <w:tc>
          <w:tcPr>
            <w:tcW w:w="720" w:type="dxa"/>
            <w:vAlign w:val="bottom"/>
            <w:gridSpan w:val="2"/>
          </w:tcPr>
          <w:p>
            <w:pPr>
              <w:ind w:left="14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Employee</w:t>
            </w:r>
          </w:p>
        </w:tc>
        <w:tc>
          <w:tcPr>
            <w:tcW w:w="8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80" w:type="dxa"/>
            <w:vAlign w:val="bottom"/>
          </w:tcPr>
          <w:p>
            <w:pPr>
              <w:ind w:left="80"/>
              <w:spacing w:after="0"/>
              <w:rPr>
                <w:sz w:val="20"/>
                <w:szCs w:val="20"/>
                <w:color w:val="auto"/>
              </w:rPr>
            </w:pPr>
            <w:r>
              <w:rPr>
                <w:rFonts w:ascii="Times New Roman" w:cs="Times New Roman" w:eastAsia="Times New Roman" w:hAnsi="Times New Roman"/>
                <w:sz w:val="14"/>
                <w:szCs w:val="14"/>
                <w:color w:val="0000FF"/>
                <w:w w:val="91"/>
              </w:rPr>
              <w:t>Common</w:t>
            </w: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0000FF"/>
              </w:rPr>
              <w:t>Stock</w:t>
            </w:r>
          </w:p>
        </w:tc>
        <w:tc>
          <w:tcPr>
            <w:tcW w:w="8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40" w:type="dxa"/>
            <w:vAlign w:val="bottom"/>
            <w:vMerge w:val="restart"/>
          </w:tcPr>
          <w:p>
            <w:pPr>
              <w:ind w:left="80"/>
              <w:spacing w:after="0" w:line="297" w:lineRule="exact"/>
              <w:rPr>
                <w:sz w:val="20"/>
                <w:szCs w:val="20"/>
                <w:color w:val="auto"/>
              </w:rPr>
            </w:pPr>
            <w:r>
              <w:rPr>
                <w:rFonts w:ascii="Times New Roman" w:cs="Times New Roman" w:eastAsia="Times New Roman" w:hAnsi="Times New Roman"/>
                <w:sz w:val="27"/>
                <w:szCs w:val="27"/>
                <w:color w:val="0000FF"/>
                <w:vertAlign w:val="subscript"/>
              </w:rPr>
              <w:t>M</w:t>
            </w:r>
            <w:r>
              <w:rPr>
                <w:rFonts w:ascii="Times New Roman" w:cs="Times New Roman" w:eastAsia="Times New Roman" w:hAnsi="Times New Roman"/>
                <w:sz w:val="11"/>
                <w:szCs w:val="11"/>
                <w:color w:val="008000"/>
              </w:rPr>
              <w:t>(1)</w:t>
            </w:r>
          </w:p>
        </w:tc>
        <w:tc>
          <w:tcPr>
            <w:tcW w:w="4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20" w:type="dxa"/>
            <w:vAlign w:val="bottom"/>
            <w:vMerge w:val="restart"/>
          </w:tcPr>
          <w:p>
            <w:pPr>
              <w:ind w:left="360"/>
              <w:spacing w:after="0"/>
              <w:rPr>
                <w:sz w:val="20"/>
                <w:szCs w:val="20"/>
                <w:color w:val="auto"/>
              </w:rPr>
            </w:pPr>
            <w:r>
              <w:rPr>
                <w:rFonts w:ascii="Times New Roman" w:cs="Times New Roman" w:eastAsia="Times New Roman" w:hAnsi="Times New Roman"/>
                <w:sz w:val="11"/>
                <w:szCs w:val="11"/>
                <w:color w:val="008000"/>
              </w:rPr>
              <w:t>(4)</w:t>
            </w:r>
          </w:p>
        </w:tc>
        <w:tc>
          <w:tcPr>
            <w:tcW w:w="780" w:type="dxa"/>
            <w:vAlign w:val="bottom"/>
          </w:tcPr>
          <w:p>
            <w:pPr>
              <w:spacing w:after="0"/>
              <w:rPr>
                <w:sz w:val="12"/>
                <w:szCs w:val="12"/>
                <w:color w:val="auto"/>
              </w:rPr>
            </w:pPr>
          </w:p>
        </w:tc>
        <w:tc>
          <w:tcPr>
            <w:tcW w:w="58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0000FF"/>
              </w:rPr>
              <w:t>Stock,</w:t>
            </w:r>
          </w:p>
        </w:tc>
        <w:tc>
          <w:tcPr>
            <w:tcW w:w="68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0000FF"/>
              </w:rPr>
              <w:t>5,000</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0000FF"/>
              </w:rPr>
              <w:t>Options</w:t>
            </w:r>
          </w:p>
        </w:tc>
        <w:tc>
          <w:tcPr>
            <w:tcW w:w="820" w:type="dxa"/>
            <w:vAlign w:val="bottom"/>
          </w:tcPr>
          <w:p>
            <w:pPr>
              <w:ind w:left="200"/>
              <w:spacing w:after="0" w:line="14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11.875</w:t>
            </w:r>
          </w:p>
        </w:tc>
        <w:tc>
          <w:tcPr>
            <w:tcW w:w="118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0000FF"/>
              </w:rPr>
              <w:t>05/28/2015</w:t>
            </w:r>
          </w:p>
        </w:tc>
        <w:tc>
          <w:tcPr>
            <w:tcW w:w="1100" w:type="dxa"/>
            <w:vAlign w:val="bottom"/>
          </w:tcPr>
          <w:p>
            <w:pPr>
              <w:spacing w:after="0"/>
              <w:rPr>
                <w:sz w:val="12"/>
                <w:szCs w:val="12"/>
                <w:color w:val="auto"/>
              </w:rPr>
            </w:pPr>
          </w:p>
        </w:tc>
        <w:tc>
          <w:tcPr>
            <w:tcW w:w="44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tcPr>
          <w:p>
            <w:pPr>
              <w:ind w:left="360"/>
              <w:spacing w:after="0" w:line="149" w:lineRule="exact"/>
              <w:rPr>
                <w:sz w:val="20"/>
                <w:szCs w:val="20"/>
                <w:color w:val="auto"/>
              </w:rPr>
            </w:pPr>
            <w:r>
              <w:rPr>
                <w:rFonts w:ascii="Times New Roman" w:cs="Times New Roman" w:eastAsia="Times New Roman" w:hAnsi="Times New Roman"/>
                <w:sz w:val="14"/>
                <w:szCs w:val="14"/>
                <w:color w:val="0000FF"/>
              </w:rPr>
              <w:t>5,000</w:t>
            </w:r>
          </w:p>
        </w:tc>
        <w:tc>
          <w:tcPr>
            <w:tcW w:w="820" w:type="dxa"/>
            <w:vAlign w:val="bottom"/>
            <w:vMerge w:val="continue"/>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0000FF"/>
                <w:w w:val="93"/>
              </w:rPr>
              <w:t>06/23/2015</w:t>
            </w:r>
          </w:p>
        </w:tc>
        <w:tc>
          <w:tcPr>
            <w:tcW w:w="58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0000FF"/>
                <w:w w:val="92"/>
              </w:rPr>
              <w:t>par value</w:t>
            </w:r>
          </w:p>
        </w:tc>
        <w:tc>
          <w:tcPr>
            <w:tcW w:w="6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ind w:left="100"/>
              <w:spacing w:after="0" w:line="14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700" w:type="dxa"/>
            <w:vAlign w:val="bottom"/>
          </w:tcPr>
          <w:p>
            <w:pPr>
              <w:ind w:left="460"/>
              <w:spacing w:after="0" w:line="149" w:lineRule="exact"/>
              <w:rPr>
                <w:sz w:val="20"/>
                <w:szCs w:val="20"/>
                <w:color w:val="auto"/>
              </w:rPr>
            </w:pPr>
            <w:r>
              <w:rPr>
                <w:rFonts w:ascii="Times New Roman" w:cs="Times New Roman" w:eastAsia="Times New Roman" w:hAnsi="Times New Roman"/>
                <w:sz w:val="14"/>
                <w:szCs w:val="14"/>
                <w:color w:val="0000FF"/>
              </w:rPr>
              <w:t>0</w:t>
            </w:r>
          </w:p>
        </w:tc>
        <w:tc>
          <w:tcPr>
            <w:tcW w:w="280" w:type="dxa"/>
            <w:vAlign w:val="bottom"/>
          </w:tcPr>
          <w:p>
            <w:pPr>
              <w:spacing w:after="0"/>
              <w:rPr>
                <w:sz w:val="12"/>
                <w:szCs w:val="12"/>
                <w:color w:val="auto"/>
              </w:rPr>
            </w:pPr>
          </w:p>
        </w:tc>
        <w:tc>
          <w:tcPr>
            <w:tcW w:w="700" w:type="dxa"/>
            <w:vAlign w:val="bottom"/>
          </w:tcPr>
          <w:p>
            <w:pPr>
              <w:ind w:left="340"/>
              <w:spacing w:after="0" w:line="149" w:lineRule="exact"/>
              <w:rPr>
                <w:sz w:val="20"/>
                <w:szCs w:val="20"/>
                <w:color w:val="auto"/>
              </w:rPr>
            </w:pPr>
            <w:r>
              <w:rPr>
                <w:rFonts w:ascii="Times New Roman" w:cs="Times New Roman" w:eastAsia="Times New Roman" w:hAnsi="Times New Roman"/>
                <w:sz w:val="14"/>
                <w:szCs w:val="14"/>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0000FF"/>
              </w:rPr>
              <w:t>(right to</w:t>
            </w:r>
          </w:p>
        </w:tc>
        <w:tc>
          <w:tcPr>
            <w:tcW w:w="8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8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0000FF"/>
              </w:rPr>
              <w:t>$0.001</w:t>
            </w: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buy)</w:t>
            </w:r>
          </w:p>
        </w:tc>
        <w:tc>
          <w:tcPr>
            <w:tcW w:w="8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80" w:type="dxa"/>
            <w:vAlign w:val="bottom"/>
          </w:tcPr>
          <w:p>
            <w:pPr>
              <w:ind w:left="80"/>
              <w:spacing w:after="0"/>
              <w:rPr>
                <w:sz w:val="20"/>
                <w:szCs w:val="20"/>
                <w:color w:val="auto"/>
              </w:rPr>
            </w:pPr>
            <w:r>
              <w:rPr>
                <w:rFonts w:ascii="Times New Roman" w:cs="Times New Roman" w:eastAsia="Times New Roman" w:hAnsi="Times New Roman"/>
                <w:sz w:val="14"/>
                <w:szCs w:val="14"/>
                <w:color w:val="0000FF"/>
                <w:w w:val="94"/>
              </w:rPr>
              <w:t>per share</w:t>
            </w: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On May 28, 2015 the reporting person exercised previously issued options to purchase an aggregate of 5,000 shares of common stock of ExlService Holdings, Inc.</w:t>
      </w:r>
    </w:p>
    <w:p>
      <w:pPr>
        <w:spacing w:after="0" w:line="41" w:lineRule="exact"/>
        <w:rPr>
          <w:rFonts w:ascii="Times New Roman" w:cs="Times New Roman" w:eastAsia="Times New Roman" w:hAnsi="Times New Roman"/>
          <w:sz w:val="14"/>
          <w:szCs w:val="14"/>
          <w:color w:val="008000"/>
        </w:rPr>
      </w:pPr>
    </w:p>
    <w:p>
      <w:pPr>
        <w:ind w:left="180" w:hanging="131"/>
        <w:spacing w:after="0"/>
        <w:tabs>
          <w:tab w:leader="none" w:pos="180" w:val="left"/>
        </w:tabs>
        <w:numPr>
          <w:ilvl w:val="0"/>
          <w:numId w:val="2"/>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This sale was made pursuant to a 10b5-1 plan previously entered into by the reporting person.</w:t>
      </w:r>
    </w:p>
    <w:p>
      <w:pPr>
        <w:spacing w:after="0" w:line="41" w:lineRule="exact"/>
        <w:rPr>
          <w:rFonts w:ascii="Times New Roman" w:cs="Times New Roman" w:eastAsia="Times New Roman" w:hAnsi="Times New Roman"/>
          <w:sz w:val="14"/>
          <w:szCs w:val="14"/>
          <w:color w:val="008000"/>
        </w:rPr>
      </w:pPr>
    </w:p>
    <w:p>
      <w:pPr>
        <w:ind w:left="40" w:right="180" w:firstLine="9"/>
        <w:spacing w:after="0" w:line="305" w:lineRule="auto"/>
        <w:tabs>
          <w:tab w:leader="none" w:pos="175"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This transaction was executed in multiple trades at prices ranging from $35.11 to $35.62 per share. The price reported above reflects the weighted average purchase price on the date indicated. The reporting person hereby undertakes to provide upon request to the SEC staff, the issuer or a security holder of the issuer full information regarding the number of shares and prices at which the transactions were effected.</w:t>
      </w:r>
    </w:p>
    <w:p>
      <w:pPr>
        <w:ind w:left="180" w:hanging="131"/>
        <w:spacing w:after="0"/>
        <w:tabs>
          <w:tab w:leader="none" w:pos="180" w:val="left"/>
        </w:tabs>
        <w:numPr>
          <w:ilvl w:val="0"/>
          <w:numId w:val="2"/>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5,000 of these options were fully vested and exercisable.</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4"/>
          <w:szCs w:val="14"/>
          <w:color w:val="008000"/>
        </w:rPr>
        <w:t>Mr. Oseni is the Company's Head of Administration and Accounts.</w:t>
      </w:r>
    </w:p>
    <w:p>
      <w:pPr>
        <w:ind w:left="6860"/>
        <w:spacing w:after="0" w:line="180" w:lineRule="auto"/>
        <w:rPr>
          <w:sz w:val="20"/>
          <w:szCs w:val="20"/>
          <w:color w:val="auto"/>
        </w:rPr>
      </w:pPr>
      <w:r>
        <w:rPr>
          <w:rFonts w:ascii="Times New Roman" w:cs="Times New Roman" w:eastAsia="Times New Roman" w:hAnsi="Times New Roman"/>
          <w:sz w:val="18"/>
          <w:szCs w:val="18"/>
          <w:color w:val="0000FF"/>
        </w:rPr>
        <w:t xml:space="preserve">/s/ Lazbart Oseni, Attorney-in-  </w:t>
      </w:r>
      <w:r>
        <w:rPr>
          <w:rFonts w:ascii="Times New Roman" w:cs="Times New Roman" w:eastAsia="Times New Roman" w:hAnsi="Times New Roman"/>
          <w:sz w:val="35"/>
          <w:szCs w:val="35"/>
          <w:color w:val="0000FF"/>
          <w:vertAlign w:val="subscript"/>
        </w:rPr>
        <w:t>06/01/2015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Times New Roman" w:cs="Times New Roman" w:eastAsia="Times New Roman" w:hAnsi="Times New Roman"/>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1"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0"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71494"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2019-12-08T11:08:06Z</dcterms:created>
  <dcterms:modified xsi:type="dcterms:W3CDTF">2019-12-08T11:08:06Z</dcterms:modified>
</cp:coreProperties>
</file>