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2017</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7"/>
              </w:rPr>
              <w:t>DELAWARE</w:t>
            </w:r>
          </w:p>
        </w:tc>
        <w:tc>
          <w:tcPr>
            <w:tcW w:w="510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8"/>
              </w:rPr>
              <w:t>280 PARK AVENUE, 38 TH FLOOR,</w:t>
            </w:r>
          </w:p>
        </w:tc>
        <w:tc>
          <w:tcPr>
            <w:tcW w:w="5100" w:type="dxa"/>
            <w:vAlign w:val="bottom"/>
          </w:tcPr>
          <w:p>
            <w:pPr>
              <w:spacing w:after="0"/>
              <w:rPr>
                <w:sz w:val="24"/>
                <w:szCs w:val="24"/>
                <w:color w:val="auto"/>
              </w:rPr>
            </w:pPr>
          </w:p>
        </w:tc>
      </w:t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NEW YORK, NEW YORK</w:t>
            </w:r>
          </w:p>
        </w:tc>
        <w:tc>
          <w:tcPr>
            <w:tcW w:w="5100" w:type="dxa"/>
            <w:vAlign w:val="bottom"/>
          </w:tcPr>
          <w:p>
            <w:pPr>
              <w:jc w:val="right"/>
              <w:ind w:right="284"/>
              <w:spacing w:after="0"/>
              <w:rPr>
                <w:sz w:val="20"/>
                <w:szCs w:val="20"/>
                <w:color w:val="auto"/>
              </w:rPr>
            </w:pPr>
            <w:r>
              <w:rPr>
                <w:rFonts w:ascii="Arial" w:cs="Arial" w:eastAsia="Arial" w:hAnsi="Arial"/>
                <w:sz w:val="16"/>
                <w:szCs w:val="16"/>
                <w:b w:val="1"/>
                <w:bCs w:val="1"/>
                <w:color w:val="auto"/>
              </w:rPr>
              <w:t>10017</w:t>
            </w:r>
          </w:p>
        </w:tc>
      </w:tr>
      <w:tr>
        <w:trPr>
          <w:trHeight w:val="224"/>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2640" w:type="dxa"/>
            <w:vAlign w:val="bottom"/>
          </w:tcPr>
          <w:p>
            <w:pPr>
              <w:spacing w:after="0"/>
              <w:rPr>
                <w:sz w:val="22"/>
                <w:szCs w:val="22"/>
                <w:color w:val="auto"/>
              </w:rPr>
            </w:pPr>
          </w:p>
        </w:tc>
        <w:tc>
          <w:tcPr>
            <w:tcW w:w="5100" w:type="dxa"/>
            <w:vAlign w:val="bottom"/>
          </w:tcPr>
          <w:p>
            <w:pPr>
              <w:jc w:val="right"/>
              <w:ind w:right="2884"/>
              <w:spacing w:after="0"/>
              <w:rPr>
                <w:sz w:val="20"/>
                <w:szCs w:val="20"/>
                <w:color w:val="auto"/>
              </w:rPr>
            </w:pPr>
            <w:r>
              <w:rPr>
                <w:rFonts w:ascii="Arial" w:cs="Arial" w:eastAsia="Arial" w:hAnsi="Arial"/>
                <w:sz w:val="16"/>
                <w:szCs w:val="16"/>
                <w:b w:val="1"/>
                <w:bCs w:val="1"/>
                <w:color w:val="auto"/>
              </w:rPr>
              <w:t>(212) 277-7100</w:t>
            </w:r>
          </w:p>
        </w:tc>
      </w:tr>
      <w:tr>
        <w:trPr>
          <w:trHeight w:val="190"/>
        </w:trPr>
        <w:tc>
          <w:tcPr>
            <w:tcW w:w="264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34"/>
        </w:trPr>
        <w:tc>
          <w:tcPr>
            <w:tcW w:w="774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________________________________________________________</w:t>
            </w:r>
          </w:p>
        </w:tc>
      </w:tr>
    </w:tbl>
    <w:p>
      <w:pPr>
        <w:spacing w:after="0" w:line="44" w:lineRule="exact"/>
        <w:rPr>
          <w:sz w:val="24"/>
          <w:szCs w:val="24"/>
          <w:color w:val="auto"/>
        </w:rPr>
      </w:pPr>
    </w:p>
    <w:p>
      <w:pPr>
        <w:jc w:val="both"/>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4980" w:type="dxa"/>
            <w:vAlign w:val="bottom"/>
          </w:tcPr>
          <w:p>
            <w:pPr>
              <w:ind w:left="56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73" w:lineRule="exact"/>
        <w:rPr>
          <w:sz w:val="24"/>
          <w:szCs w:val="24"/>
          <w:color w:val="auto"/>
        </w:rPr>
      </w:pPr>
    </w:p>
    <w:p>
      <w:pPr>
        <w:jc w:val="both"/>
        <w:ind w:right="42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right="250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25, 2017, there were 33,742,121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ITEM</w:t>
            </w:r>
          </w:p>
        </w:tc>
        <w:tc>
          <w:tcPr>
            <w:tcW w:w="2060" w:type="dxa"/>
            <w:vAlign w:val="bottom"/>
            <w:gridSpan w:val="10"/>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Financial Information</w:t>
              </w:r>
            </w:hyperlink>
          </w:p>
        </w:tc>
        <w:tc>
          <w:tcPr>
            <w:tcW w:w="7140" w:type="dxa"/>
            <w:vAlign w:val="bottom"/>
            <w:gridSpan w:val="11"/>
            <w:vMerge w:val="restart"/>
          </w:tcPr>
          <w:p>
            <w:pPr>
              <w:spacing w:after="0"/>
              <w:rPr>
                <w:sz w:val="19"/>
                <w:szCs w:val="19"/>
                <w:color w:val="auto"/>
              </w:rPr>
            </w:pPr>
          </w:p>
        </w:tc>
        <w:tc>
          <w:tcPr>
            <w:tcW w:w="660" w:type="dxa"/>
            <w:vAlign w:val="bottom"/>
            <w:vMerge w:val="restart"/>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10"/>
            <w:vMerge w:val="continue"/>
          </w:tcPr>
          <w:p>
            <w:pPr>
              <w:spacing w:after="0"/>
              <w:rPr>
                <w:sz w:val="21"/>
                <w:szCs w:val="21"/>
                <w:color w:val="auto"/>
              </w:rPr>
            </w:pPr>
          </w:p>
        </w:tc>
        <w:tc>
          <w:tcPr>
            <w:tcW w:w="7140" w:type="dxa"/>
            <w:vAlign w:val="bottom"/>
            <w:gridSpan w:val="11"/>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2017 (Unaudited) and December 31, 2016</w:t>
              </w:r>
            </w:hyperlink>
          </w:p>
        </w:tc>
        <w:tc>
          <w:tcPr>
            <w:tcW w:w="6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(Unaudited) for the Three months and Six months ended June 30, 2017 and 2016</w:t>
              </w:r>
            </w:hyperlink>
          </w:p>
        </w:tc>
        <w:tc>
          <w:tcPr>
            <w:tcW w:w="520" w:type="dxa"/>
            <w:vAlign w:val="bottom"/>
            <w:gridSpan w:val="2"/>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Income (Unaudited) for the Three months and Six months ended June 30, 2017</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2016</w:t>
              </w:r>
            </w:hyperlink>
          </w:p>
        </w:tc>
        <w:tc>
          <w:tcPr>
            <w:tcW w:w="8220" w:type="dxa"/>
            <w:vAlign w:val="bottom"/>
            <w:tcBorders>
              <w:top w:val="single" w:sz="8" w:color="0000EE"/>
            </w:tcBorders>
            <w:gridSpan w:val="16"/>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ind w:left="20"/>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 for the Six months ended June 30, 2017 and 2016</w:t>
              </w:r>
            </w:hyperlink>
          </w:p>
        </w:tc>
        <w:tc>
          <w:tcPr>
            <w:tcW w:w="1560" w:type="dxa"/>
            <w:vAlign w:val="bottom"/>
            <w:gridSpan w:val="3"/>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660" w:type="dxa"/>
            <w:vAlign w:val="bottom"/>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420" w:type="dxa"/>
            <w:vAlign w:val="bottom"/>
            <w:gridSpan w:val="13"/>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Part II. Other Information</w:t>
              </w:r>
            </w:hyperlink>
          </w:p>
        </w:tc>
        <w:tc>
          <w:tcPr>
            <w:tcW w:w="7340" w:type="dxa"/>
            <w:vAlign w:val="bottom"/>
            <w:gridSpan w:val="12"/>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7880" w:type="dxa"/>
            <w:vAlign w:val="bottom"/>
            <w:gridSpan w:val="1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660" w:type="dxa"/>
            <w:vAlign w:val="bottom"/>
          </w:tcPr>
          <w:p>
            <w:pPr>
              <w:ind w:left="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7440" w:type="dxa"/>
            <w:vAlign w:val="bottom"/>
            <w:gridSpan w:val="1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7900" w:type="dxa"/>
            <w:vAlign w:val="bottom"/>
            <w:gridSpan w:val="1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3"/>
          </w:tcPr>
          <w:p>
            <w:pPr>
              <w:ind w:left="4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213,155</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147,915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13,491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123,798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113,067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7,855</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7,337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18,784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398,600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378,824</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63,978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46,973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53,770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188,154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186,770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32,075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747,431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11,661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14,189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16,615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50,832</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40,845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43,264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116,033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124,231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167,509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174,350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21)</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36,252,428 shares issued and 33,691,731 shares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380"/>
              <w:spacing w:after="0"/>
              <w:rPr>
                <w:sz w:val="20"/>
                <w:szCs w:val="20"/>
                <w:color w:val="auto"/>
              </w:rPr>
            </w:pPr>
            <w:r>
              <w:rPr>
                <w:rFonts w:ascii="Arial" w:cs="Arial" w:eastAsia="Arial" w:hAnsi="Arial"/>
                <w:sz w:val="16"/>
                <w:szCs w:val="16"/>
                <w:color w:val="auto"/>
                <w:w w:val="91"/>
              </w:rPr>
              <w:t>outstanding as of June 30, 2017 and 35,699,819 shares issued and 33,628,109 shares outstanding as of December</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6"/>
                <w:szCs w:val="16"/>
                <w:color w:val="auto"/>
              </w:rPr>
              <w:t>31, 2016</w:t>
            </w:r>
          </w:p>
        </w:tc>
        <w:tc>
          <w:tcPr>
            <w:tcW w:w="28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303,486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284,646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415,342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382,722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(75,057)</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663,413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592,347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Less: 2,560,697 shares as of June 30, 2017 and 2,071,710 shares as of December 31, 2016, held in treasury, at cost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(60,362)</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579,719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531,985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579,922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532,178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747,431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00"/>
          </w:cols>
          <w:pgMar w:left="240" w:top="337" w:right="259" w:bottom="678"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37" w:right="259" w:bottom="678"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189,057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337,514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125,449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245,568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220,405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117,109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41,766</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12,798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26,252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47,479</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42,216</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94,491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84,421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43,098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 per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33,819,320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33,621,444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33,833,153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33,500,736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34,993,226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34,510,400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35,051,767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34,431,028</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337"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0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58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30,195</w:t>
            </w: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5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Unrealized (loss)/gain on effective cash flow hedges, net of taxes $1,085,</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($376), $3,036 and $27,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7"/>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Retirement benefits, net of taxes nil, $15, nil and $20,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Reclassification adjustments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5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Realized gain on cash flow hedges, net of taxes ($156), ($156), ($347) and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580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($181), respectively</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70"/>
        </w:trPr>
        <w:tc>
          <w:tcPr>
            <w:tcW w:w="58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w w:val="98"/>
              </w:rPr>
              <w:t>Retirement benefits, net of taxes $40, $1, $47 and $2, respectively</w:t>
            </w:r>
            <w:r>
              <w:rPr>
                <w:rFonts w:ascii="Arial" w:cs="Arial" w:eastAsia="Arial" w:hAnsi="Arial"/>
                <w:sz w:val="25"/>
                <w:szCs w:val="25"/>
                <w:color w:val="auto"/>
                <w:w w:val="98"/>
                <w:vertAlign w:val="superscript"/>
              </w:rPr>
              <w:t>(2)</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r>
      <w:tr>
        <w:trPr>
          <w:trHeight w:val="264"/>
        </w:trPr>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21,940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56,772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26,475</w:t>
            </w:r>
          </w:p>
        </w:tc>
      </w:tr>
      <w:tr>
        <w:trPr>
          <w:trHeight w:val="27"/>
        </w:trPr>
        <w:tc>
          <w:tcPr>
            <w:tcW w:w="5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40" w:right="20" w:hanging="532"/>
        <w:spacing w:after="0" w:line="25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foreign exchange gain in the unaudited consolidated statements of income. See Note 13 to the unaudited consolidated financial statements.</w:t>
      </w:r>
    </w:p>
    <w:p>
      <w:pPr>
        <w:spacing w:after="0" w:line="1" w:lineRule="exact"/>
        <w:rPr>
          <w:rFonts w:ascii="Arial" w:cs="Arial" w:eastAsia="Arial" w:hAnsi="Arial"/>
          <w:sz w:val="16"/>
          <w:szCs w:val="16"/>
          <w:i w:val="1"/>
          <w:iCs w:val="1"/>
          <w:color w:val="auto"/>
        </w:rPr>
      </w:pPr>
    </w:p>
    <w:p>
      <w:pPr>
        <w:ind w:left="540" w:hanging="532"/>
        <w:spacing w:after="0" w:line="257"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unaudited consolidated statements of income. See Note 16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37,166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30,195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19,063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16,403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gain on short term investments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earn-out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foreign exchange loss/(gain)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Others, net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4,996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employee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4,413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income tax,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26,915</w:t>
            </w:r>
          </w:p>
        </w:tc>
      </w:tr>
      <w:tr>
        <w:trPr>
          <w:trHeight w:val="264"/>
        </w:trPr>
        <w:tc>
          <w:tcPr>
            <w:tcW w:w="79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(14,872)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(132,275)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redemption of investments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39,475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41,179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(105,968)</w:t>
            </w:r>
          </w:p>
        </w:tc>
      </w:tr>
      <w:tr>
        <w:trPr>
          <w:trHeight w:val="264"/>
        </w:trPr>
        <w:tc>
          <w:tcPr>
            <w:tcW w:w="79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Principal payments on capital lease obligations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Acquisition of treasury stock</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(9,704)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37" w:right="239" w:bottom="1440" w:gutter="0" w:footer="0" w:header="0"/>
        </w:sectPr>
      </w:pPr>
    </w:p>
    <w:p>
      <w:pPr>
        <w:ind w:left="40"/>
        <w:spacing w:after="0"/>
        <w:rPr>
          <w:sz w:val="20"/>
          <w:szCs w:val="20"/>
          <w:color w:val="auto"/>
        </w:rPr>
      </w:pPr>
      <w:r>
        <w:rPr>
          <w:rFonts w:ascii="Arial" w:cs="Arial" w:eastAsia="Arial" w:hAnsi="Arial"/>
          <w:sz w:val="17"/>
          <w:szCs w:val="17"/>
          <w:color w:val="auto"/>
        </w:rPr>
        <w:t>Net decrease in cash and cash equivalents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(123,741)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(112,210)</w:t>
            </w:r>
          </w:p>
        </w:tc>
      </w:tr>
      <w:tr>
        <w:trPr>
          <w:trHeight w:val="270"/>
        </w:trPr>
        <w:tc>
          <w:tcPr>
            <w:tcW w:w="5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213,155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205,323</w:t>
            </w:r>
          </w:p>
        </w:tc>
      </w:tr>
      <w:tr>
        <w:trPr>
          <w:trHeight w:val="27"/>
        </w:trPr>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89,414</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93,113</w:t>
            </w:r>
          </w:p>
        </w:tc>
      </w:tr>
      <w:tr>
        <w:trPr>
          <w:trHeight w:val="27"/>
        </w:trPr>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ectPr>
          <w:pgSz w:w="11900" w:h="16838" w:orient="portrait"/>
          <w:cols w:equalWidth="0" w:num="1">
            <w:col w:w="11420"/>
          </w:cols>
          <w:pgMar w:left="240" w:top="337"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operates in the Business Process Management (“BPM”) industry providing operations management services and analytics services that help businesses enhance growth and profitability. Using its proprietary platforms, methodologies and tools, the Company looks deeper to help its clients improve global operations, enhance data-driven insights, increase customer satisfaction, and manage risk and compliance. The Company’s clients are located principally in the U.S. and the U.K.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2016.</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 in the operations for all the periods presented were insignificant and are included under general and administrative expenses in the unaudited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recoverability of service tax receivables,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estimates to complete fixed price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Share-Based Compensation</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The Company adopted this ASU effective January 1, 2017. The following summarizes the effects of the adoption on the Company's unaudited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Upon adoption of this standard, all excess tax benefits and tax deficiencies are recognized as income tax expense or benefit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statement. The tax effects of exercised or vested awards are treated as discrete items in the reporting period in which they occur. The Company also recognizes excess tax benefits regardless of whether the benefit reduces taxes payable in the current period. As a result, the Company recognized discrete adjustments to income tax expense for the three months ended June 30, 2017 in the amount of $1,624 and for the six months ended June 30, 2017 in the amount of $3,681 related to excess tax benefits. No adjustment is recorded for any windfall benefits previously recorded in APIC.</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Prior to adoption, share-based compensation expense was recognized on a straight line basis, net of estimated forfeitures, such that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was recognized only for share-based awards that are expected to vest. A forfeiture rate was estimated annually and revised, if necessary, in subsequent periods if actual forfeitures differed from initial estimates. Upon adoption, the Company will no longer apply a forfeiture rate and instead will account for forfeitures as they occur. The Company has applied the modified retrospective adoption approach as of January 1, 2017 and has recognized a cumulative-effect adjustment to reduce additional paid-in-capital of $5,999 and retained earnings of $4,546 (net of deferred tax effect of $1,453).</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Statements of Cash Flows </w:t>
      </w:r>
      <w:r>
        <w:rPr>
          <w:rFonts w:ascii="Arial" w:cs="Arial" w:eastAsia="Arial" w:hAnsi="Arial"/>
          <w:sz w:val="17"/>
          <w:szCs w:val="17"/>
          <w:color w:val="auto"/>
        </w:rPr>
        <w:t>- The Company historically accounted for excess tax benefits on the Statement of Cash Flows as a financing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Upon adoption of this standard, excess tax benefits are classified along with other income tax cash flows as an operating activity. The Company has elected to adopt this portion of the standard on a prospective basis beginning in 2017 and accordingly prior periods have not been adjusted.</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 The Company uses the treasury stock method to compute diluted earnings per share, unless the effect would be anti-dilutive.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excluded the excess tax benefits from the assumed proceeds available to repurchase shares in the computation of diluted earnings per share.</w:t>
      </w:r>
    </w:p>
    <w:p>
      <w:pPr>
        <w:spacing w:after="0" w:line="23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Upon adoption, no other aspects of ASU 2016-09 had an effect on the Company's unaudited consolidated financial statements or related footnote disclosures.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Recent Accounting Pronouncements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2018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evaluating the impact of the new standard. The ultimate impact on revenue resulting from the application of the new standard will be subject to assessments that are dependent on many variables, including, but not limited to, the terms of the contractual arrangements and the mix of business. Upon adoption, we expect there to be a change in the manner that variable consideration in certain revenue arrangements is recognized from the current practice of recognizing such revenue as the services are performed and the variable consideration is earned to estimating the achievability of the variable conditions when we begin delivering services and recognizing that amount over the contractual period. The Company also expects a change in the manner that it recognizes certain incremental and fulfillment costs from expensing them as incurred to deferring and recognizing them over the contractual period.</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continues to evaluate the available transition methods and its contractual arrangements. The Company's considerations include, but are not limited to, the comparability of its financial statements and the comparability within its industry from application of the new standard to its contractual arrangements. The Company plans to select a transition method by the second half of 2017. The Company has established an implementation team to implement the standard update related to the recognition of revenue from contracts with customers and continues to evaluate the changes to accounting system and processes, and additional disclosure requirements that may be necessary.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the FASB issued ASU 2016-08, Revenue from Contracts with Customers (Topic 606): Principal versus Agent Considerations (Reporting Revenue Gross versus Net). ASU 2016-08 clarifies the implementation guidance on principal versus agent considerations. The guidance includes indicators to assist an entity in determining whether it controls a specified good or service before it is transferred to the customers. The amendments are effective for all entities for fiscal years, and interim periods within those fiscal years, beginning after December 15, 2017. The Company is currently evaluating the impact that the adoption of this guidance will have on its consolidated financial statements.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2016, the FASB issued ASU 2016-02, Leases (Topic 842). ASU 2016-02 requires the identification of arrangements that should be accounted for as leases by lessees. In general, for lease arrangements exceeding a twelve month term, these arrangements must now be recognized as assets and liabilities on the balance sheet of the lessee. Under ASU 2016-02, a right-of-use asset and lease obligation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In addition, ASU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2016, FASB issued ASU 2016-13, Financial Instruments - Credit Losses, which require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adoption of ASU 2016-13 is not expected to have a material effect on the Company's consolidated financial statements.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2016, FASB issued ASU 2016-15, Classification of Certain Cash Receipts and Cash Payments. The amendments apply to all entities that are required to present a Statement of Cash Flows under Topic 230. The amendments are an improvement to GAAP because they provide guidance for each of eight issues identified therein,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does not expect the adoption of this ASU to have a material effect on its financial position or results of operations.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November 2016, FASB issued ASU 2016-18, Statement of Cash Flows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Early adoption is permitted with an adjustment reflected as of the beginning of the fiscal year in which the amendment is adoption. The Company does not expect the adoption of this ASU to have a material effect on its financial position or results of operations.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the FASB issued ASU 2017-04, Simplifying the Test for Goodwill Impairment (Topic 350), which eliminates Step 2 from the goodwill impairment test. A goodwill impairment will now be the amount by which a reporting unit's carrying value exceeds its fair value, however, the loss recognized should not exceed the total amount of goodwill allocated to that reporting unit. ASU 2017-04 is effective for annual and interim periods in fiscal years beginning after December 15, 2019. Early adoption is permitted for interim or annual goodwill impairment tests performed after January 1, 2017 and should be applied prospectively. The Company is currently evaluating the impact that the adoption of this standard will have on its consolidated financial statements.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2017, FASB issued ASU 2017-07, Improving the Presentation of Net Periodic Pension Cost and Net Periodic Post-retirement Benefit Cost. The ASU amends ASC 715, Compensation — Retirement Benefits, to require employers that present a measure of operating income in their statement of income to include only the service cost component of net periodic pension cost and net periodic post-retirement benefit cost in operating expenses (together with other employee compensation costs).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Early adoption is permitted as of the beginning of an annual period. The Company is currently evaluating the impact that the adoption of this guidance will have on its consolidated financial statements.</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2017, FASB issued ASU 2017-09, Compensation - Stock Compensation (Topic 718): Scope of Modification Accounting. This ASU provides guidance on the types of changes to the terms or conditions of share-based payment awards to which an entity would be required to apply modification accounting. Modification accounting is required only if the fair value, the vesting conditions, or the classification of the award changes as a result of the change in terms or conditions. The amendments in this ASU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amendments in this ASU should be applied prospectively to an award modified on or after the adoption date. The Company is currently evaluating the impact that the adoption of this guidance will have on its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which the Company organizes into industry-focused operating segments (Insurance, Healthcare, Travel, Transportation and Logistics, Banking and Financial Services, and Utilities) and one “capability” operating segment (Finance and Accounting) that provides services to clients in industry-focused segments as well as clients across other industries. In each of these six operating segments, the Company provides operations management services, which typically involve transfer to the Company of select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the Analytics operating segment, which provides services that focus on driving improved business outcomes for clients by generating data-driven insights across all parts of their business.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prior periods the Company presented two reportable segments: Operations Management (which included its Insurance, Healthcare, Travel, Transportation and Logistics, Finance and Accounting, Banking and Financial services, Utilities and Consulting operating segments) and Analytics. Effective for the quarter and year ended December 31, 2016, the Company presents information for the following reportable segments:</w:t>
      </w:r>
    </w:p>
    <w:p>
      <w:pPr>
        <w:spacing w:after="0" w:line="166" w:lineRule="exact"/>
        <w:rPr>
          <w:sz w:val="20"/>
          <w:szCs w:val="20"/>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and Accounting (“F&amp;A”),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remaining operating segments, which includes the banking and financial services, utilities and consulting operating segments have been included in a category called “All Other”. Segment information for all prior periods presented herein has been changed to conform to the current presentation. This change in segment presentation does not affect the Company's unaudited consolidated statements of income and comprehensive income, balance sheets or statements of cash flows.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three months ended June 30, 2017 and 2016,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184150</wp:posOffset>
            </wp:positionV>
            <wp:extent cx="5428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Three months ended June 30, 2017</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189,057</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Cost of revenues (exclusive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40,976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34,098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125,449</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17,279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63,608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47,479</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gain, interest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 and other income, net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20,378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June 30, 2016</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Insurance</w:t>
            </w:r>
          </w:p>
        </w:tc>
        <w:tc>
          <w:tcPr>
            <w:tcW w:w="1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170,478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revenues (exclusive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10,801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112,026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 w:type="dxa"/>
            <w:vAlign w:val="bottom"/>
          </w:tcPr>
          <w:p>
            <w:pPr>
              <w:spacing w:after="0"/>
              <w:rPr>
                <w:sz w:val="19"/>
                <w:szCs w:val="19"/>
                <w:color w:val="auto"/>
              </w:rPr>
            </w:pPr>
          </w:p>
        </w:tc>
        <w:tc>
          <w:tcPr>
            <w:tcW w:w="28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42,216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interest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and other income, net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jc w:val="right"/>
              <w:ind w:right="674"/>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six months ended June 30, 2017 and 2016,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184150</wp:posOffset>
            </wp:positionV>
            <wp:extent cx="5205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341"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2"/>
          </w:tcPr>
          <w:p>
            <w:pPr>
              <w:ind w:left="460"/>
              <w:spacing w:after="0"/>
              <w:rPr>
                <w:sz w:val="20"/>
                <w:szCs w:val="20"/>
                <w:color w:val="auto"/>
              </w:rPr>
            </w:pPr>
            <w:r>
              <w:rPr>
                <w:rFonts w:ascii="Arial" w:cs="Arial" w:eastAsia="Arial" w:hAnsi="Arial"/>
                <w:sz w:val="14"/>
                <w:szCs w:val="14"/>
                <w:b w:val="1"/>
                <w:bCs w:val="1"/>
                <w:color w:val="auto"/>
              </w:rPr>
              <w:t>Six months ended June 30, 2017</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b w:val="1"/>
                <w:bCs w:val="1"/>
                <w:color w:val="auto"/>
              </w:rPr>
              <w:t>TT&amp;L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12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114,176</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37,855</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34,878</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372,090</w:t>
            </w: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Cost of revenues (exclusive of</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25,853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66,136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245,568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34,871</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14,181</w:t>
            </w:r>
          </w:p>
        </w:tc>
        <w:tc>
          <w:tcPr>
            <w:tcW w:w="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16,199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34,430</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126,522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94,491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 interest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 and other income, net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12"/>
          </w:tcPr>
          <w:p>
            <w:pPr>
              <w:ind w:left="440"/>
              <w:spacing w:after="0"/>
              <w:rPr>
                <w:sz w:val="20"/>
                <w:szCs w:val="20"/>
                <w:color w:val="auto"/>
              </w:rPr>
            </w:pPr>
            <w:r>
              <w:rPr>
                <w:rFonts w:ascii="Arial" w:cs="Arial" w:eastAsia="Arial" w:hAnsi="Arial"/>
                <w:sz w:val="14"/>
                <w:szCs w:val="14"/>
                <w:b w:val="1"/>
                <w:bCs w:val="1"/>
                <w:color w:val="auto"/>
              </w:rPr>
              <w:t>Six months ended June 30, 2016</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Healthcare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rPr>
              <w:t>TT&amp;L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98,895</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Cost of revenues (exclusive of</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70,719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21,264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23,373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33,181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220,405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28,176</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12,277</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84,421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interest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and other income, net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of the Company by service type, were as follows:</w:t>
      </w:r>
    </w:p>
    <w:p>
      <w:pPr>
        <w:spacing w:after="0" w:line="338"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2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43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270"/>
        </w:trPr>
        <w:tc>
          <w:tcPr>
            <w:tcW w:w="4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BPM and related services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137,498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130,869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258,939</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28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51,559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39,609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100,566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78,575</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189,057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170,478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337,514</w:t>
            </w: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13"/>
        <w:spacing w:after="0" w:line="308" w:lineRule="auto"/>
        <w:tabs>
          <w:tab w:leader="none" w:pos="690" w:val="left"/>
        </w:tabs>
        <w:numPr>
          <w:ilvl w:val="0"/>
          <w:numId w:val="5"/>
        </w:numPr>
        <w:rPr>
          <w:rFonts w:ascii="Arial" w:cs="Arial" w:eastAsia="Arial" w:hAnsi="Arial"/>
          <w:sz w:val="17"/>
          <w:szCs w:val="17"/>
          <w:color w:val="auto"/>
        </w:rPr>
      </w:pPr>
      <w:r>
        <w:rPr>
          <w:rFonts w:ascii="Arial" w:cs="Arial" w:eastAsia="Arial" w:hAnsi="Arial"/>
          <w:sz w:val="17"/>
          <w:szCs w:val="17"/>
          <w:color w:val="auto"/>
        </w:rPr>
        <w:t>BPM and related services include revenues of the Company's five industry-focused operating segments, one capability operating segment and consulting operating segment, which provides services related to operations management services. See reportable segment disclosure above.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18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3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153,894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136,151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304,175</w:t>
            </w:r>
          </w:p>
        </w:tc>
        <w:tc>
          <w:tcPr>
            <w:tcW w:w="1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270,225</w:t>
            </w: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55,033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56,291</w:t>
            </w: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10,998</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67,915</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67,289</w:t>
            </w: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372,090</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337,514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by geographic area, were as follows: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400" w:type="dxa"/>
            <w:vAlign w:val="bottom"/>
            <w:tcBorders>
              <w:bottom w:val="single" w:sz="8" w:color="auto"/>
            </w:tcBorders>
          </w:tcPr>
          <w:p>
            <w:pPr>
              <w:spacing w:after="0"/>
              <w:rPr>
                <w:sz w:val="16"/>
                <w:szCs w:val="16"/>
                <w:color w:val="auto"/>
              </w:rPr>
            </w:pPr>
          </w:p>
        </w:tc>
      </w:tr>
      <w:tr>
        <w:trPr>
          <w:trHeight w:val="264"/>
        </w:trPr>
        <w:tc>
          <w:tcPr>
            <w:tcW w:w="6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India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38,576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23,362</w:t>
            </w:r>
          </w:p>
        </w:tc>
      </w:tr>
      <w:tr>
        <w:trPr>
          <w:trHeight w:val="27"/>
        </w:trPr>
        <w:tc>
          <w:tcPr>
            <w:tcW w:w="6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11,900</w:t>
            </w:r>
          </w:p>
        </w:tc>
      </w:tr>
      <w:tr>
        <w:trPr>
          <w:trHeight w:val="27"/>
        </w:trPr>
        <w:tc>
          <w:tcPr>
            <w:tcW w:w="6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37"/>
        </w:trPr>
        <w:tc>
          <w:tcPr>
            <w:tcW w:w="64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63,978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49,029</w:t>
            </w:r>
          </w:p>
        </w:tc>
      </w:tr>
      <w:tr>
        <w:trPr>
          <w:trHeight w:val="27"/>
        </w:trPr>
        <w:tc>
          <w:tcPr>
            <w:tcW w:w="6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32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20,378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16,375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37,166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30,195</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w w:val="97"/>
              </w:rPr>
              <w:t>33,819,320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33,621,444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w w:val="97"/>
              </w:rPr>
              <w:t>33,833,153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95"/>
              </w:rPr>
              <w:t>33,500,736</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1,173,906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888,956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1,218,614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930,292</w:t>
            </w: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7"/>
              </w:rPr>
              <w:t>34,993,226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5"/>
              </w:rPr>
              <w:t>34,510,400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7"/>
              </w:rPr>
              <w:t>35,051,767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5"/>
              </w:rPr>
              <w:t>34,431,028</w:t>
            </w:r>
          </w:p>
        </w:tc>
      </w:tr>
      <w:tr>
        <w:trPr>
          <w:trHeight w:val="67"/>
        </w:trPr>
        <w:tc>
          <w:tcPr>
            <w:tcW w:w="56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680" w:type="dxa"/>
            <w:vAlign w:val="bottom"/>
          </w:tcPr>
          <w:p>
            <w:pPr>
              <w:ind w:left="7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0.90</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0.88</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w w:val="98"/>
              </w:rPr>
              <w:t>Weighted average common shares considered anti-dilutive in computing</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59,455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227,941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130,103</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Income,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7"/>
          </w:tcPr>
          <w:p>
            <w:pPr>
              <w:jc w:val="right"/>
              <w:ind w:right="31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4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3,630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2,639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9,306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gridSpan w:val="3"/>
          </w:tcPr>
          <w:p>
            <w:pPr>
              <w:ind w:left="440"/>
              <w:spacing w:after="0"/>
              <w:rPr>
                <w:sz w:val="20"/>
                <w:szCs w:val="20"/>
                <w:color w:val="auto"/>
              </w:rPr>
            </w:pPr>
            <w:r>
              <w:rPr>
                <w:rFonts w:ascii="Arial" w:cs="Arial" w:eastAsia="Arial" w:hAnsi="Arial"/>
                <w:sz w:val="18"/>
                <w:szCs w:val="18"/>
                <w:color w:val="auto"/>
              </w:rPr>
              <w:t>Property, Plant and Equipment consist of the following:</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w w:val="91"/>
              </w:rPr>
              <w:t>Estimated useful lives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2"/>
              </w:rPr>
              <w:t>(Years)</w:t>
            </w: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gridSpan w:val="6"/>
          </w:tcPr>
          <w:p>
            <w:pPr>
              <w:ind w:left="4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Network equipment and computers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center"/>
              <w:ind w:left="171"/>
              <w:spacing w:after="0"/>
              <w:rPr>
                <w:sz w:val="20"/>
                <w:szCs w:val="20"/>
                <w:color w:val="auto"/>
              </w:rPr>
            </w:pPr>
            <w:r>
              <w:rPr>
                <w:rFonts w:ascii="Arial" w:cs="Arial" w:eastAsia="Arial" w:hAnsi="Arial"/>
                <w:sz w:val="18"/>
                <w:szCs w:val="18"/>
                <w:color w:val="auto"/>
                <w:w w:val="92"/>
              </w:rPr>
              <w:t>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73,158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65,381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2"/>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44,617</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center"/>
              <w:ind w:left="171"/>
              <w:spacing w:after="0"/>
              <w:rPr>
                <w:sz w:val="20"/>
                <w:szCs w:val="20"/>
                <w:color w:val="auto"/>
              </w:rPr>
            </w:pPr>
            <w:r>
              <w:rPr>
                <w:rFonts w:ascii="Arial" w:cs="Arial" w:eastAsia="Arial" w:hAnsi="Arial"/>
                <w:sz w:val="18"/>
                <w:szCs w:val="18"/>
                <w:color w:val="auto"/>
                <w:w w:val="92"/>
              </w:rPr>
              <w:t>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36,176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31,192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71"/>
              <w:spacing w:after="0"/>
              <w:rPr>
                <w:sz w:val="20"/>
                <w:szCs w:val="20"/>
                <w:color w:val="auto"/>
              </w:rPr>
            </w:pPr>
            <w:r>
              <w:rPr>
                <w:rFonts w:ascii="Arial" w:cs="Arial" w:eastAsia="Arial" w:hAnsi="Arial"/>
                <w:sz w:val="18"/>
                <w:szCs w:val="18"/>
                <w:color w:val="auto"/>
                <w:w w:val="92"/>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15,426</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Motor vehicles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center"/>
              <w:ind w:left="171"/>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center"/>
              <w:ind w:left="71"/>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work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194,962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164,097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(131,519)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63,443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48,529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Motor vehicles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63,978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49,029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Depreciation and amortization expense excluding amortization of acquisition-related intangibles for the three months ended June 30, 2017 and 2016 was $6,130, and $5,552, respectively and for the six months ended June 30, 2017 and 2016 was $12,058 and $10,970 respectively. Internally generated software development costs, both as of June 30, 2017 and December 31, 2016, were $2,242 and is included under Software. Accumulated amortization expense for these capitalized software development costs as of June 30, 2017 and December 31, 2016 were $635 and $336,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plant and equipment and cost of property, plant and equipment and internally generated software costs not yet ready to be placed in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details of the Company’s goodwill balance as of June 30,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TT&amp;L</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January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35,824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171,535</w:t>
            </w:r>
          </w:p>
        </w:tc>
      </w:tr>
      <w:tr>
        <w:trPr>
          <w:trHeight w:val="243"/>
        </w:trPr>
        <w:tc>
          <w:tcPr>
            <w:tcW w:w="260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16,108</w:t>
            </w: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color w:val="auto"/>
                <w:w w:val="93"/>
              </w:rPr>
              <w:t>Balance as at December 31,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38,110</w:t>
            </w:r>
          </w:p>
        </w:tc>
        <w:tc>
          <w:tcPr>
            <w:tcW w:w="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63,538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186,770</w:t>
            </w: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600" w:type="dxa"/>
            <w:vAlign w:val="bottom"/>
          </w:tcPr>
          <w:p>
            <w:pPr>
              <w:ind w:left="380"/>
              <w:spacing w:after="0"/>
              <w:rPr>
                <w:sz w:val="20"/>
                <w:szCs w:val="20"/>
                <w:color w:val="auto"/>
              </w:rPr>
            </w:pPr>
            <w:r>
              <w:rPr>
                <w:rFonts w:ascii="Arial" w:cs="Arial" w:eastAsia="Arial" w:hAnsi="Arial"/>
                <w:sz w:val="18"/>
                <w:szCs w:val="18"/>
                <w:color w:val="auto"/>
              </w:rPr>
              <w:t>Currency translation</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60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1,384</w:t>
            </w:r>
          </w:p>
        </w:tc>
      </w:tr>
      <w:tr>
        <w:trPr>
          <w:trHeight w:val="27"/>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38,240</w:t>
            </w:r>
          </w:p>
        </w:tc>
        <w:tc>
          <w:tcPr>
            <w:tcW w:w="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188,154</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 June 30, 2017</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52"/>
        </w:trPr>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7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58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Carrying Amount</w:t>
            </w:r>
          </w:p>
        </w:tc>
        <w:tc>
          <w:tcPr>
            <w:tcW w:w="280" w:type="dxa"/>
            <w:vAlign w:val="bottom"/>
          </w:tcPr>
          <w:p>
            <w:pPr>
              <w:spacing w:after="0"/>
              <w:rPr>
                <w:sz w:val="16"/>
                <w:szCs w:val="16"/>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580" w:type="dxa"/>
            <w:vAlign w:val="bottom"/>
          </w:tcPr>
          <w:p>
            <w:pPr>
              <w:jc w:val="right"/>
              <w:ind w:right="614"/>
              <w:spacing w:after="0"/>
              <w:rPr>
                <w:sz w:val="20"/>
                <w:szCs w:val="20"/>
                <w:color w:val="auto"/>
              </w:rPr>
            </w:pPr>
            <w:r>
              <w:rPr>
                <w:rFonts w:ascii="Arial" w:cs="Arial" w:eastAsia="Arial" w:hAnsi="Arial"/>
                <w:sz w:val="14"/>
                <w:szCs w:val="14"/>
                <w:b w:val="1"/>
                <w:bCs w:val="1"/>
                <w:color w:val="auto"/>
              </w:rPr>
              <w:t>Amount</w:t>
            </w:r>
          </w:p>
        </w:tc>
      </w:tr>
      <w:tr>
        <w:trPr>
          <w:trHeight w:val="25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75,324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(38,316)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37,008</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6,662</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46,073</w:t>
            </w: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7"/>
        </w:trPr>
        <w:tc>
          <w:tcPr>
            <w:tcW w:w="4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5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100,765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46,973</w:t>
            </w: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right"/>
              <w:ind w:right="11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7"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52"/>
        </w:trPr>
        <w:tc>
          <w:tcPr>
            <w:tcW w:w="4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88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60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Carrying Amount</w:t>
            </w:r>
          </w:p>
        </w:tc>
        <w:tc>
          <w:tcPr>
            <w:tcW w:w="200" w:type="dxa"/>
            <w:vAlign w:val="bottom"/>
          </w:tcPr>
          <w:p>
            <w:pPr>
              <w:spacing w:after="0"/>
              <w:rPr>
                <w:sz w:val="16"/>
                <w:szCs w:val="16"/>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600" w:type="dxa"/>
            <w:vAlign w:val="bottom"/>
          </w:tcPr>
          <w:p>
            <w:pPr>
              <w:jc w:val="right"/>
              <w:ind w:right="634"/>
              <w:spacing w:after="0"/>
              <w:rPr>
                <w:sz w:val="20"/>
                <w:szCs w:val="20"/>
                <w:color w:val="auto"/>
              </w:rPr>
            </w:pPr>
            <w:r>
              <w:rPr>
                <w:rFonts w:ascii="Arial" w:cs="Arial" w:eastAsia="Arial" w:hAnsi="Arial"/>
                <w:sz w:val="14"/>
                <w:szCs w:val="14"/>
                <w:b w:val="1"/>
                <w:bCs w:val="1"/>
                <w:color w:val="auto"/>
              </w:rPr>
              <w:t>Amount</w:t>
            </w:r>
          </w:p>
        </w:tc>
      </w:tr>
      <w:tr>
        <w:trPr>
          <w:trHeight w:val="250"/>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75,181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(32,968)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42,213</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7,718</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26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2,038</w:t>
            </w:r>
          </w:p>
        </w:tc>
      </w:tr>
      <w:tr>
        <w:trPr>
          <w:trHeight w:val="27"/>
        </w:trPr>
        <w:tc>
          <w:tcPr>
            <w:tcW w:w="4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52,870</w:t>
            </w:r>
          </w:p>
        </w:tc>
      </w:tr>
      <w:tr>
        <w:trPr>
          <w:trHeight w:val="224"/>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7"/>
        </w:trPr>
        <w:tc>
          <w:tcPr>
            <w:tcW w:w="4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r>
      <w:tr>
        <w:trPr>
          <w:trHeight w:val="257"/>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100,387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53,770</w:t>
            </w: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Amortization expense for the three months ended June 30, 2017 and 2016 was $3,507 and $2,718, respectively, and for the six months ended June 30, 2017 and 2016 was $7,005 and $5,433, respectively. The remaining weighted average life of intangible assets was 5.5 years for customer relationships, 1.9 years for leasehold benefits, 4.5 years for developed technology, 2.0 years for non-compete agreements and 5.3 years for trade names and trademarks excluding indefinite life trade names and trademarks.</w:t>
      </w:r>
    </w:p>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Estimated amortization of intangible assets during the next twelve months ending June 30,</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13,113</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12,050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46,073</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current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consists of the following:</w:t>
      </w:r>
    </w:p>
    <w:p>
      <w:pPr>
        <w:spacing w:after="0" w:line="338"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5"/>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Advances to suppliers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Others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7"/>
        </w:trPr>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June 30, 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30,560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Client liability account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7000" w:type="dxa"/>
            <w:vAlign w:val="bottom"/>
            <w:gridSpan w:val="2"/>
          </w:tcPr>
          <w:p>
            <w:pPr>
              <w:ind w:left="20"/>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40,845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43,264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Non-current liabilities</w:t>
            </w: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3"/>
          </w:tcPr>
          <w:p>
            <w:pPr>
              <w:ind w:left="440"/>
              <w:spacing w:after="0"/>
              <w:rPr>
                <w:sz w:val="20"/>
                <w:szCs w:val="20"/>
                <w:color w:val="auto"/>
              </w:rPr>
            </w:pPr>
            <w:r>
              <w:rPr>
                <w:rFonts w:ascii="Arial" w:cs="Arial" w:eastAsia="Arial" w:hAnsi="Arial"/>
                <w:sz w:val="18"/>
                <w:szCs w:val="18"/>
                <w:color w:val="auto"/>
              </w:rPr>
              <w:t>Non-current liabilities consists of the following:</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72"/>
              </w:rPr>
              <w:t>As of</w:t>
            </w:r>
          </w:p>
        </w:tc>
        <w:tc>
          <w:tcPr>
            <w:tcW w:w="1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9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2016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3,640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1,977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16,166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w:t>
      </w:r>
      <w:r>
        <w:rPr>
          <w:rFonts w:ascii="Arial" w:cs="Arial" w:eastAsia="Arial" w:hAnsi="Arial"/>
          <w:sz w:val="16"/>
          <w:szCs w:val="16"/>
          <w:color w:val="auto"/>
        </w:rPr>
        <w:t>“Derivatives and Hedging” (“ASC No. 815”)</w:t>
      </w:r>
      <w:r>
        <w:rPr>
          <w:rFonts w:ascii="Arial" w:cs="Arial" w:eastAsia="Arial" w:hAnsi="Arial"/>
          <w:sz w:val="18"/>
          <w:szCs w:val="18"/>
          <w:color w:val="auto"/>
        </w:rPr>
        <w:t>. Changes in the fair values of contracts that are deemed effective are recorded as a component of accumulated other comprehensive loss until the settlement of those contracts. The balances as of June 30, 2017 and December 31, 2016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currency translation adjustments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(77,299)</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Unrealized gain on cash flow hedges, net of taxes of $3,896 and $1,207</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2,740</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 net of taxes of ($295) and ($342)</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(75,057)</w:t>
            </w:r>
          </w:p>
        </w:tc>
      </w:tr>
      <w:tr>
        <w:trPr>
          <w:trHeight w:val="27"/>
        </w:trPr>
        <w:tc>
          <w:tcPr>
            <w:tcW w:w="6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sets forth the Company’s assets and liabilities that were accounted for at fair value as of June 30, 2017 and December 31, 2016. The table excludes accounts receivable, accounts payable and accrued expenses for which fair values approximate their carrying amounts.</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2017</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132,725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132,725</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15,731</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132,725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15,731</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148,456</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21"/>
                <w:szCs w:val="21"/>
                <w:color w:val="auto"/>
              </w:rPr>
            </w:pP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Level 2</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4"/>
                <w:szCs w:val="14"/>
                <w:b w:val="1"/>
                <w:bCs w:val="1"/>
                <w:color w:val="auto"/>
              </w:rPr>
              <w:t>Level 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Represents short-term investments carried on fair value option under ASC 825 "Financial Instruments" as of June 30, 2017.</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for derivative financial instruments are based on independent sources including highly rated financial institutions and are classified as Level 2. See Note 13 to our unaudited consolidated financial statements contained herein for further details on Derivatives and Hedge Accounting.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 and Hedge Accounting</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foreign exchange forward contracts that are designated effective and that qualify as cash flow hedges under ASC 815. The Company had outstanding cash flow hedges totaling $308,046 as of June 30, 2017 and $218,545 as of December 31, 2016. The fair value of these cash flow hedges is included in the other comprehensive loss on the Company's unaudited consolidated balance sheet.</w:t>
      </w:r>
    </w:p>
    <w:p>
      <w:pPr>
        <w:spacing w:after="0" w:line="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Euro, South African ZAR and other local currencies in which it operates. Outstanding foreign currency forward contracts amounted to $86,766 and GBP 17,125 as of June 30, 2017 and amounted to $64,497 and GBP 17,974 as of December 31, 2016.</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$7,293 of net derivative gains included in accumulated other comprehensive loss (“AOCL”) could be reclassified into earnings within the next twelve months based on exchange rates prevailing as of June 30, 2017. At June 30, 2017, the maximum outstanding term of the cash flow hedges was 45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gain/(loss). For hedging positions that are discontinued because the forecasted transaction is not expected to occur by the end of the originally specified period, any related derivative amounts recorded in equity are reclassified to earnings. There were no such significant amounts of gains or losses that were reclassified from AOCL into earnings during the three months ended June 30, 2017 and 2016.</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5"/>
              </w:rPr>
              <w:t>As of</w:t>
            </w:r>
          </w:p>
        </w:tc>
        <w:tc>
          <w:tcPr>
            <w:tcW w:w="1920" w:type="dxa"/>
            <w:vAlign w:val="bottom"/>
            <w:tcBorders>
              <w:bottom w:val="single" w:sz="8" w:color="auto"/>
            </w:tcBorders>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8,608</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3,211</w:t>
            </w:r>
          </w:p>
        </w:tc>
      </w:tr>
      <w:tr>
        <w:trPr>
          <w:trHeight w:val="27"/>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6,905</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2,994</w:t>
            </w:r>
          </w:p>
        </w:tc>
      </w:tr>
      <w:tr>
        <w:trPr>
          <w:trHeight w:val="27"/>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1,315</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1,430</w:t>
            </w:r>
          </w:p>
        </w:tc>
      </w:tr>
      <w:tr>
        <w:trPr>
          <w:trHeight w:val="27"/>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1,421</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828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00" w:lineRule="exact"/>
        <w:rPr>
          <w:sz w:val="20"/>
          <w:szCs w:val="20"/>
          <w:color w:val="auto"/>
        </w:rPr>
      </w:pPr>
    </w:p>
    <w:p>
      <w:pPr>
        <w:spacing w:after="0" w:line="24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33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03" w:lineRule="exact"/>
        <w:rPr>
          <w:sz w:val="20"/>
          <w:szCs w:val="20"/>
          <w:color w:val="auto"/>
        </w:rPr>
      </w:pPr>
    </w:p>
    <w:p>
      <w:pPr>
        <w:ind w:left="7440"/>
        <w:spacing w:after="0"/>
        <w:tabs>
          <w:tab w:leader="none" w:pos="9620" w:val="left"/>
        </w:tabs>
        <w:rPr>
          <w:sz w:val="20"/>
          <w:szCs w:val="20"/>
          <w:color w:val="auto"/>
        </w:rPr>
      </w:pPr>
      <w:r>
        <w:rPr>
          <w:rFonts w:ascii="Arial" w:cs="Arial" w:eastAsia="Arial" w:hAnsi="Arial"/>
          <w:sz w:val="14"/>
          <w:szCs w:val="14"/>
          <w:b w:val="1"/>
          <w:bCs w:val="1"/>
          <w:color w:val="auto"/>
        </w:rPr>
        <w:t>June 30,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5200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current assets:</w:t>
      </w:r>
    </w:p>
    <w:p>
      <w:pPr>
        <w:spacing w:after="0" w:line="81" w:lineRule="exact"/>
        <w:rPr>
          <w:sz w:val="20"/>
          <w:szCs w:val="20"/>
          <w:color w:val="auto"/>
        </w:rPr>
      </w:pPr>
    </w:p>
    <w:p>
      <w:pPr>
        <w:ind w:left="560"/>
        <w:spacing w:after="0"/>
        <w:tabs>
          <w:tab w:leader="none" w:pos="6740" w:val="left"/>
          <w:tab w:leader="none" w:pos="8580" w:val="left"/>
          <w:tab w:leader="none" w:pos="9100" w:val="left"/>
          <w:tab w:leader="none" w:pos="1096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218</w:t>
        <w:tab/>
        <w:t>$</w:t>
      </w:r>
      <w:r>
        <w:rPr>
          <w:sz w:val="20"/>
          <w:szCs w:val="20"/>
          <w:color w:val="auto"/>
        </w:rPr>
        <w:tab/>
      </w:r>
      <w:r>
        <w:rPr>
          <w:rFonts w:ascii="Arial" w:cs="Arial" w:eastAsia="Arial" w:hAnsi="Arial"/>
          <w:sz w:val="15"/>
          <w:szCs w:val="15"/>
          <w:color w:val="auto"/>
        </w:rPr>
        <w:t>113</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and six months ended June 30, 2017 and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1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59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 relationship</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Gain/(loss) recognized in AOCL on derivative - Effective portion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(1,884)</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9,493</w:t>
            </w:r>
          </w:p>
        </w:tc>
        <w:tc>
          <w:tcPr>
            <w:tcW w:w="1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553</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Gain/(loss) reclassified from AOCL to foreign exchange gain/(loss) -</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portion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1,134</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w w:val="96"/>
              </w:rPr>
              <w:t>Gain/(loss) recognized in foreign exchange gain/(loss) - Ineffective portion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5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Gain/(loss) recognized in foreign exchange gain/(loss)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2,773</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2,728</w:t>
            </w:r>
          </w:p>
        </w:tc>
      </w:tr>
      <w:tr>
        <w:trPr>
          <w:trHeight w:val="27"/>
        </w:trPr>
        <w:tc>
          <w:tcPr>
            <w:tcW w:w="5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Borrowings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a revolving credit facility (the “Credit Facility”), including a letter of credit sub-facility, in the amount of $100,000. The Credit Facility has a maturity date of October 24, 2019 and is voluntarily pre-payable from time to time without premium or penalty.</w:t>
      </w:r>
    </w:p>
    <w:p>
      <w:pPr>
        <w:spacing w:after="0" w:line="1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Borrowings under the Credit Facility may be used for working capital, general corporate purposes and for acquisitions. The amount outstanding as of June 30, 2017 is $45,000, of which $10,000 is expected to be repaid within the next twelve months and is included under “short-term borrowings” in the unaudited consolidated balance sheets. The Credit Facility carried an effective interest rate of 2.7% per annum and 2.0% per annum, during the three months ended June 30, 2017 and 2016, respectively, and for the six months ended June 30, 2017 and 2016 was 2.6% per annum and 2.1% per annum, respectively.</w:t>
      </w:r>
    </w:p>
    <w:p>
      <w:pPr>
        <w:spacing w:after="0" w:line="1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financing, the Company incurred certain debt issuance costs, which are deferred and amortized as an adjustment to interest expense over the term of the Credit Facility. The unamortized debt issuance costs as of June 30, 2017 and December 31, 2016 was $224 and $272, respectively, and is included under "other current assets" and "other assets" in the unaudited consolidated balance sheets.</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Credit Facility is guaranteed by the Company's domestic subsidiaries and material foreign subsidiaries and is secured by all or substantially all of the assets of the Company and its material domestic subsidiaries. The Credit Agreement contains certain covenants including a restriction on our indebtedness, and a covenant to not permit the interest coverage ratio (the ratio of EBIT to cash interest expense) or the leverage ratio (total funded indebtedness to EBITDA), for the four consecutive quarter period ending on the last day of each fiscal quarter, to be less than 3.5 to 1.0 or 2.5 to 1.0, respectively. As of June 30, 2017, the Company was in compliance with the financial covenants listed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June 30, 2017 and 2016, the Company acquired 2,219 and 1,479 shares of common stock, respectively, from employees in connection with withholding tax payments related to the vesting of restricted stock for a total consideration of $103 and $76, respectively. The weighted average purchase price per share of $46.51 and $51.39,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six months ended June 30, 2017 and 2016, the Company acquired 65,003 and 16,027 shares of common stock, respectively, from employees in connection with withholding tax payments related to the vesting of restricted stock for a total consideration of $3,016 and $728, respectively. The weighted average purchase price per share of $46.40 and $45.44,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$20,000.</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amount of $100,000. The approval increases the 2017 authorization from $20,000 to $40,000 and authorizes stock repurchases of up to $40,000 in each of 2018 and 2019.</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six months ended June 30, 2017, the Company purchased 230,022 and 423,984 shares of its common stock, respectively, for an aggregate purchase price of approximately $11,316 and $20,316, respectively, including commissions, representing an average purchase price per share of $49.20 and $47.92, respectively, under the 2014 and 2017 Repurchase Program.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six months ended June 30, 2016, the Company purchased 56,172 and 194,810 shares of its common stock, respectively, for an aggregate purchase price of approximately $2,773 and $8,975, respectively, including commissions, representing an average purchase price per share of $49.37 and $46.07, respectively, under the 2014 Repurchase Program.</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gratuity cost includes the following components: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2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00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299</w:t>
            </w:r>
          </w:p>
        </w:tc>
      </w:tr>
      <w:tr>
        <w:trPr>
          <w:trHeight w:val="27"/>
        </w:trPr>
        <w:tc>
          <w:tcPr>
            <w:tcW w:w="5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51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gratuity cost</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1,228</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8.0% on these Gratuity Plans for the period ended June 30, 2017.</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2017</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r>
      <w:tr>
        <w:trPr>
          <w:trHeight w:val="243"/>
        </w:trPr>
        <w:tc>
          <w:tcPr>
            <w:tcW w:w="7640" w:type="dxa"/>
            <w:vAlign w:val="bottom"/>
          </w:tcPr>
          <w:p>
            <w:pPr>
              <w:ind w:left="100"/>
              <w:spacing w:after="0"/>
              <w:rPr>
                <w:sz w:val="20"/>
                <w:szCs w:val="20"/>
                <w:color w:val="auto"/>
              </w:rPr>
            </w:pPr>
            <w:r>
              <w:rPr>
                <w:rFonts w:ascii="Arial" w:cs="Arial" w:eastAsia="Arial" w:hAnsi="Arial"/>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Employer contribution</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r>
      <w:tr>
        <w:trPr>
          <w:trHeight w:val="243"/>
        </w:trPr>
        <w:tc>
          <w:tcPr>
            <w:tcW w:w="764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exchange rate changes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Plan assets at June 30, 2017</w:t>
            </w:r>
          </w:p>
        </w:tc>
        <w:tc>
          <w:tcPr>
            <w:tcW w:w="7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7,239</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several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Contributions to the 401(k) plans amounting to $496 and $475 were made during the three months ended June 30, 2017 and 2016, respectively, and $1,564 and $1,391 during the six months ended June 30, 2017 and 2016,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June 30, 2017 and 2016, the Company contributed $1,792 and $1,566, respectively, and during the six months ended June 30, 2017 and 2016, the Company contributed $3,505 and $3,048, respectively, for various defined contribution plans on behalf of its employees in India, the Philippines, Bulgaria, Romania, the Czech Republic, South Africa, Colombia, and Singapore.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under various lease arrangements provided by financial institutions. Future minimum lease payments under these capital leases as of June 30, 2017 are as follows:</w:t>
      </w:r>
    </w:p>
    <w:p>
      <w:pPr>
        <w:spacing w:after="0" w:line="224"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During the next twelve months ending June 30,</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June 30, 2017 are set forth below:</w:t>
      </w:r>
    </w:p>
    <w:p>
      <w:pPr>
        <w:spacing w:after="0" w:line="333"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During the next twelve months ending June 30,</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9,301</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3,403</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recognizes rent on such leases on a straight-line basis over the non-cancelable lease period determined under ASC topic 840, “Leases”. Rent expense under both cancelable and non-cancelable operating leases was $6,139 and $5,278 for the three months ended June 30, 2017 and 2016, respectively and $11,806 and $10,426, respectively for the six months ended June 30, 2017 and 2016. Deferred rent as of June 30, 2017 and December 31, 2016 was $8,785 and $7,915, respectively, and is included under “Accrued expenses and other current liabilities” and “Non-current liabilities” in the unaudited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recorded income tax expense of $823 and $7,008 for the three months ended June 30, 2017 and 2016, respectively. The effective tax rate decreased from 30.0% during the three months ended June 30, 2016 to 3.9% as a result of (i) excess tax benefit related to stock awards of $1,624 recognized on adoption of ASU No. 2016-09 during the three months ended June 30, 2017, (ii) conclusion of an uncertain tax position of $3,153 (including interest of $1,433), (iii) the impact of reversal of earn-out liability of $3,810 in other income during the three months ended June 30, 2016 related to the Company's acquisition of RPM Direct LLC and RPM Data Solutions LLC (collectively, "RPM") in 2015, and (iv) higher earnings from foreign subsidiaries and lower domestic profit in the U.S.</w:t>
      </w:r>
    </w:p>
    <w:p>
      <w:pPr>
        <w:spacing w:after="0" w:line="8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recorded income tax expense of $4,383 and $12,903 for the six months ended June 30, 2017 and 2016, respectively. The effective tax rate decreased from 29.9% during the six months ended June 30, 2016 to 10.5% as a result of (i) excess tax benefit related to stock awards of $3,681 recognized on adoption of ASU No. 2016-09 during the six months ended June 30, 2017, (ii) conclusion of an uncertain tax position of $3,153 (including interest of $1,433), (iii) the impact of reversal of earn-out liability of $4,060 in other income during the six months ended June 30, 2016 related to the Company's RPM acquisition in 2015, and (iv) higher earnings from foreign subsidiaries and lower domestic profit in the U.S.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2017 through June 30,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3,087</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Effect of exchange rate changes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9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tax benefits as of June 30, 2017 of $1,452, if recognized, would impact the effective tax rate.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June 30, 2017 and 2016, the Company has recognized interest of nil and $49, respectively, which are included in the income tax expense in the unaudited consolidated statements of income. As of June 30, 2017 and December 31, 2016, the Company has accrued interest and penalties of $240 and $1,553, relating to unrecognized tax benefits.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42"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00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4"/>
        </w:trPr>
        <w:tc>
          <w:tcPr>
            <w:tcW w:w="5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2,053</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4,940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4,336</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3,784</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3,870</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11,063</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10,259</w:t>
            </w: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2017, the Company had 1,464,838 shares available for grant under the 2015 Amendment and Restatement of the 2006 Omnibus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811,902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2017</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674,982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26,060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June 30, 2017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674,982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26,060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unrecognized compensation cost for outstanding options as of June 30, 2017 is nil. The Company did not grant any options during the three and six months ended June 30, 2017 and 2016. The total grant date fair value of options vested during the three and six months ended June 30, 2017 was nil and $706,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246,940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1,256,288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387,977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218,246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1,178,318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As of June 30, 2017 and December 31, 2016 restricted stock units vested for which the underlying common stock is yet to be issued are 146,112 and 135,054, respectively.</w:t>
      </w:r>
    </w:p>
    <w:p>
      <w:pPr>
        <w:spacing w:after="0" w:line="239" w:lineRule="exact"/>
        <w:rPr>
          <w:rFonts w:ascii="Arial" w:cs="Arial" w:eastAsia="Arial" w:hAnsi="Arial"/>
          <w:sz w:val="14"/>
          <w:szCs w:val="14"/>
          <w:i w:val="1"/>
          <w:iCs w:val="1"/>
          <w:color w:val="auto"/>
        </w:rPr>
      </w:pPr>
    </w:p>
    <w:p>
      <w:pPr>
        <w:ind w:left="440"/>
        <w:spacing w:after="0"/>
        <w:rPr>
          <w:rFonts w:ascii="Arial" w:cs="Arial" w:eastAsia="Arial" w:hAnsi="Arial"/>
          <w:sz w:val="14"/>
          <w:szCs w:val="14"/>
          <w:i w:val="1"/>
          <w:iCs w:val="1"/>
          <w:color w:val="auto"/>
        </w:rPr>
      </w:pPr>
      <w:r>
        <w:rPr>
          <w:rFonts w:ascii="Arial" w:cs="Arial" w:eastAsia="Arial" w:hAnsi="Arial"/>
          <w:sz w:val="17"/>
          <w:szCs w:val="17"/>
          <w:color w:val="auto"/>
        </w:rPr>
        <w:t>As of June 30, 2017, unrecognized compensation cost of $45,029 is expected to be expensed over a weighted average period of 2.85 years.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Weighted Avg</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8"/>
              </w:rPr>
              <w:t>Weighted Avg</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62,113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2017</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170,327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2017, unrecognized compensation cost of $10,252 is expected to be expensed over a weighted average period of 1.88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Disclosures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provides consulting services to PharmaCord, LLC. One of the Company’s directors, Nitin Sahney, is the member-manager and chief executive officer of PharmaCord, LLC. The Company recognized revenue of approximately $328 and $805 in the three months and six months ended June 30, 2017, respectively, for services provided.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June 30, 2017 and December 31, 2016, the Company had an account receivable of $305 and nil, respectively, related to these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At June 30, 2017, the Company has committed to spend approximately $5,920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some of its transfer pricing policies for some of its subsidiaries. Further, the Company and a U.S. subsidiary are engaged in tax litigation with the income-tax authorities in India on the issue of permanent establishment.</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disputed amount demanded by Indian tax authorities from the Company primarily related to its transfer pricing issues for years ranging from tax years 2003 to 2014 and its permanent establishment issues ranging from tax years 2003 to 2007 as of June 30, 2017 and December 31, 2016 is $17,099 and $17,963, respectively, of which the Company has made payments or provided bank guarantee to the extent $8,501 and $8,640, respectively. Amounts paid as deposits in respect of such assessments aggregating to $6,449 and $6,690 as of June 30, 2017 and December 31, 2016, respectively, are included in “Other assets” and amounts deposited for bank guarantees aggregating to $2,052 and $1,950 as of June 30, 2017 and December 31, 2016, respectively, are included in “Restricted cash” in the non-current assets section of the Company’s consolidated balance sheets as of June 30, 2017 and December 31, 2016.</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2016. Some of the statements in the following discussion are forward looking statements. Dollar amounts within Item 2 are presented as actual, approximated, dollar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74" w:lineRule="exact"/>
        <w:rPr>
          <w:sz w:val="20"/>
          <w:szCs w:val="20"/>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 ;</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2016. These and other risks could cause actual results to differ materially from those implied by forward-looking statements in this Quarterly Report on Form 10-Q.</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in the business process management (“BPM”) industry and we provide operations management and analytics</w:t>
      </w:r>
    </w:p>
    <w:p>
      <w:pPr>
        <w:spacing w:after="0" w:line="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services that help the business enhance growth and profitability. Using our proprietary platforms, methodologies and tools we look deeper to help our clients improve global operations, enhance data-driven insights, increase customer satisfaction, and manage risk and compliance.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select business operations of a client, after which we administer and manage those operations for our client on an ongoing basis. Our remaining two operating segments are Consulting, which provides industry-specific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prior periods we presented two reportable segments: Operations Management (which included our Insurance, Healthcare, Travel, Transportation and Logistics, Finance and Accounting, Banking and Financial Services, Utilities and Consulting operating segments) and Analytics. Effective for the quarter and year ended December 31, 2016, we present information for the following reportable segments:</w:t>
      </w:r>
    </w:p>
    <w:p>
      <w:pPr>
        <w:spacing w:after="0" w:line="18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Finance and Accounting, and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remaining operating segments which includes our Banking and Financial Services, Utilities and Consulting operating segments have been included in a category called “All Other”. This change in segment presentation does not affect our consolidated statements of income, balance sheets or statements of cash flows. For further descriptions of our operating segments, see Note 3 to the unaudited consolidated financial statements contained herein.</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three months ended June 30, 2017, we had revenues of $189.1 million compared to revenues of $170.5 million for the three months ended June 30, 2016, an increase of $18.6 million, or 10.9%. For the six months ended June 30, 2017, we had revenues of $372.1 million compared to revenues of $337.5 million for the six months ended June 30, 2016, an increase of $34.6 million, or 10.2%.</w:t>
      </w:r>
    </w:p>
    <w:p>
      <w:pPr>
        <w:spacing w:after="0" w:line="18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serve clients mainly in the U.S. and the U.K., with these two regions generating approximately 81.4% and 15.3%, respectively, of our total revenues for the three months ended June 30, 2017 and approximately 79.9% and 16.9%, respectively, of our revenues for the three months ended June 30, 2016. For the six months ended June 30, 2017, these two regions generated</w:t>
      </w:r>
    </w:p>
    <w:p>
      <w:pPr>
        <w:spacing w:after="0"/>
        <w:rPr>
          <w:sz w:val="20"/>
          <w:szCs w:val="20"/>
          <w:color w:val="auto"/>
        </w:rPr>
      </w:pPr>
      <w:r>
        <w:rPr>
          <w:rFonts w:ascii="Arial" w:cs="Arial" w:eastAsia="Arial" w:hAnsi="Arial"/>
          <w:sz w:val="17"/>
          <w:szCs w:val="17"/>
          <w:color w:val="auto"/>
        </w:rPr>
        <w:t>81.7% and 14.8%, respectively, of our total revenues and 80.1% and 16.7%, respectively, of our total revenues for the six months ended June 30, 2016.</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June 30, 2017 and 2016, our total revenues from our top ten clients accounted for 39.1% and 40.2% of our total revenues, respectively. For the six months ended June 30, 2017 and 2016, our total revenues from our top ten clients accounted for 39.0% and 40.4% of our total revenues, respectively. None of our clients accounted for more than 10% of our total revenues during the three and six months ended June 30, 2017 and 2016. Although we intend to continue increasing and diversifying our customer base, we expect in the near future that a significant portion of our revenue will continue to be contributed by a limited number of large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Operations Management Services: We provide our clients with a range of operations management services principally in the Insurance, Healthcare, 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services focus on driving improved business outcomes for our customers by generating data-driven insights across all parts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other operations management services as part of a comprehensive offering set for our clients.</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results of operations for the three and six months ended June 30, 2017 and 2016:</w:t>
      </w:r>
    </w:p>
    <w:p>
      <w:pPr>
        <w:sectPr>
          <w:pgSz w:w="11900" w:h="16838" w:orient="portrait"/>
          <w:cols w:equalWidth="0" w:num="1">
            <w:col w:w="10840"/>
          </w:cols>
          <w:pgMar w:left="240" w:top="337" w:right="819" w:bottom="1440" w:gutter="0" w:footer="0" w:header="0"/>
        </w:sectPr>
      </w:pPr>
    </w:p>
    <w:p>
      <w:pPr>
        <w:spacing w:after="0" w:line="361" w:lineRule="exact"/>
        <w:rPr>
          <w:sz w:val="20"/>
          <w:szCs w:val="20"/>
          <w:color w:val="auto"/>
        </w:rPr>
      </w:pPr>
    </w:p>
    <w:p>
      <w:pPr>
        <w:ind w:left="596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38100</wp:posOffset>
            </wp:positionV>
            <wp:extent cx="1672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6" w:lineRule="exact"/>
        <w:rPr>
          <w:sz w:val="20"/>
          <w:szCs w:val="20"/>
          <w:color w:val="auto"/>
        </w:rPr>
      </w:pPr>
    </w:p>
    <w:p>
      <w:pPr>
        <w:ind w:left="5980"/>
        <w:spacing w:after="0"/>
        <w:tabs>
          <w:tab w:leader="none" w:pos="73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23495</wp:posOffset>
            </wp:positionV>
            <wp:extent cx="1672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84"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38100</wp:posOffset>
            </wp:positionV>
            <wp:extent cx="16294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26"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31115</wp:posOffset>
            </wp:positionV>
            <wp:extent cx="16294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(dollars in millions)</w:t>
      </w:r>
    </w:p>
    <w:p>
      <w:pPr>
        <w:spacing w:after="0" w:line="193" w:lineRule="exact"/>
        <w:rPr>
          <w:sz w:val="20"/>
          <w:szCs w:val="20"/>
          <w:color w:val="auto"/>
        </w:rPr>
      </w:pPr>
    </w:p>
    <w:p>
      <w:pPr>
        <w:sectPr>
          <w:pgSz w:w="11900" w:h="16838" w:orient="portrait"/>
          <w:cols w:equalWidth="0" w:num="2">
            <w:col w:w="8020" w:space="720"/>
            <w:col w:w="2100"/>
          </w:cols>
          <w:pgMar w:left="240" w:top="337" w:right="819" w:bottom="1440" w:gutter="0" w:footer="0" w:header="0"/>
          <w:type w:val="continuous"/>
        </w:sectPr>
      </w:pPr>
    </w:p>
    <w:tbl>
      <w:tblPr>
        <w:tblLayout w:type="fixed"/>
        <w:tblInd w:w="600" w:type="dxa"/>
        <w:tblCellMar>
          <w:top w:w="0" w:type="dxa"/>
          <w:left w:w="0" w:type="dxa"/>
          <w:bottom w:w="0" w:type="dxa"/>
          <w:right w:w="0" w:type="dxa"/>
        </w:tblCellMar>
      </w:tblPr>
      <w:tr>
        <w:trPr>
          <w:trHeight w:val="262"/>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372.1</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337.5</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4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245.6</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
        </w:trPr>
        <w:tc>
          <w:tcPr>
            <w:tcW w:w="4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126.5</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4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48.9</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4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26.5</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94.5</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w:t>
            </w:r>
          </w:p>
        </w:tc>
      </w:tr>
      <w:tr>
        <w:trPr>
          <w:trHeight w:val="27"/>
        </w:trPr>
        <w:tc>
          <w:tcPr>
            <w:tcW w:w="4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4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4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840"/>
          </w:cols>
          <w:pgMar w:left="240" w:top="337" w:right="8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revenues by reportable segment for the three months ended June 30, 2017 and 2016:</w:t>
      </w:r>
    </w:p>
    <w:p>
      <w:pPr>
        <w:spacing w:after="0" w:line="328"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vMerge w:val="restart"/>
          </w:tcPr>
          <w:p>
            <w:pPr>
              <w:jc w:val="right"/>
              <w:ind w:right="35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4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Transportation and Logistics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Finance and Accounting</w:t>
            </w:r>
          </w:p>
        </w:tc>
        <w:tc>
          <w:tcPr>
            <w:tcW w:w="8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Analytics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3"/>
              </w:rPr>
              <w:t>189.1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three months ended June 30, 2017 were $189.1 million, up $18.6 million or 10.9%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Insurance of $7.7 million was driven by expansion of business from our new and existing clients of $7.4 million, including $1.7 million related to the July 2016 acquisition of Liss Systems Limited ("Liss"). The remaining increase of $0.3 million is attributable to a net impact of appreciation of the South African Rand and Indian rupee and depreciation of the U.K. pound sterling against the U.S. dollar during the three months ended June 30, 2017 compared to the three months ended June 30, 2016. Insurance revenues were 30.8% and 29.7% of our total revenues in the three months ended June 30, 2017 and June 30, 2016, respectively.</w:t>
      </w:r>
    </w:p>
    <w:p>
      <w:pPr>
        <w:spacing w:after="0" w:line="80"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color w:val="auto"/>
        </w:rPr>
        <w:t>Revenue growth in Healthcare of $1.5 million was driven by expansion of business from our new and existing clients. Healthcare revenues were 10.0% and 10.2% of our total revenues in the three months ended June 30, 2017 and June 30, 2016, respectively.</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Travel, Transportation and Logistics ("TT&amp;L") of $0.2 million was primarily driven by net volume increase from our new and existing clients of $0.5 million, which was partially offset by $0.3 million impact due to depreciation of the Philippine Peso against the U.S. dollar during the three months ended June 30, 2017 compared to the three months ended June 30, 2016. TT&amp;L revenues were 9.4% and 10.3% of our total revenues in the three months ended June 30, 2017 and June 30, 2016, respectively.</w:t>
      </w:r>
    </w:p>
    <w:p>
      <w:pPr>
        <w:spacing w:after="0" w:line="79"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color w:val="auto"/>
        </w:rPr>
        <w:t>Revenue growth in Finance and Accounting ("F&amp;A") of $1.7 million was driven by expansion of business from our new and existing clients. F&amp;A revenues were 11.1% and 11.3% of our total revenues in the three months ended June 30, 2017 and June 30, 2016, respectively.</w:t>
      </w:r>
    </w:p>
    <w:p>
      <w:pPr>
        <w:spacing w:after="0" w:line="62"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decline in All Other of $4.5 million was driven primarily by lower revenue in our Consulting and Utilities operating segments, partially offset by higher revenue in our Banking and Financial Services operating segment, aggregating to $4.7 million. This was partially offset by a net increase of $0.2 million impact due to appreciation of the Indian rupee and depreciation of the U.K. pound sterling against the U.S. dollar during the three months ended June 30, 2017 compared to the three months ended June 30, 2016. All Other revenues were 11.3% and 15.3% of our total revenues in the three months ended June 30, 2017 and June 30, 2016, respectively.</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Analytics of $12.0 million was driven by our recurring and project based engagements from our new and existing clients of $12.2 million, including $6.0 million from our IQR Consulting Inc. and Datasource Consulting, LLC acquisitions in 2016. The increase was partially offset by a decrease of $0.2 million due to the depreciation of the U.K. pound sterling against the U.S. dollar during the three months ended June 30, 2017 compared to the three months ended June 30, 2016. Analytics revenues were 27.3% and 23.2% of our total revenues in the three months ended June 30, 2017 and June 30, 2016,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Cost of Revenues</w:t>
            </w:r>
          </w:p>
        </w:tc>
        <w:tc>
          <w:tcPr>
            <w:tcW w:w="1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21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Three months ended June 30,</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vMerge w:val="restart"/>
          </w:tcPr>
          <w:p>
            <w:pPr>
              <w:spacing w:after="0"/>
              <w:rPr>
                <w:sz w:val="6"/>
                <w:szCs w:val="6"/>
                <w:color w:val="auto"/>
              </w:rPr>
            </w:pPr>
          </w:p>
        </w:tc>
        <w:tc>
          <w:tcPr>
            <w:tcW w:w="82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6"/>
                <w:szCs w:val="6"/>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F &amp; A</w:t>
            </w:r>
          </w:p>
        </w:tc>
        <w:tc>
          <w:tcPr>
            <w:tcW w:w="2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18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2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For the three months ended June 30, 2017, cost of revenues was $125.5 million compared to $112.0 million for the three months ended June 30, 2016, an increase of $13.5 million, or 12.0%. Our gross margin for the three months ended June 30, 2017 was 33.6% compared to 34.3% for three months ended June 30, 2016, a decrease of 70 basis points (“bps”).</w:t>
      </w:r>
    </w:p>
    <w:p>
      <w:pPr>
        <w:spacing w:after="0" w:line="73"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The increase in cost of revenues in Insurance of $4.5 million was primarily due to an increase in employee-related costs of $3.2 million (including $0.7 million related to the Liss acquisition) on account of higher headcount and wage inflation and technology and infrastructure costs of $0.9 million. There was a net increase of $0.4 million due to the appreciation of the Indian rupee and depreciation of the Philippine peso against the U.S. dollar during the three months ended June 30, 2017 compared to the three months ended June 30, 2016. Gross margin increased by 170 bps during the three months ended June 30, 2017 compared to the three months ended June 30, 2016, primarily due to higher revenues and margin expansion in existing clients.</w:t>
      </w:r>
    </w:p>
    <w:p>
      <w:pPr>
        <w:spacing w:after="0" w:line="5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Healthcare of $1.2 million was primarily due to an increase in employee-related costs of $1.1 million on account of higher headcount and wage inflation, and technology and infrastructure costs of $0.4 million. This was partially offset by $0.3 million due to the depreciation of the Philippine peso against the U.S. dollar during the three months ended June 30, 2017 compared to the three months ended June 30, 2016. Gross margin decreased by 160 bps during the three months ended June 30, 2017 compared to the three months ended June 30, 2016, primarily due to higher operating costs.</w:t>
      </w:r>
    </w:p>
    <w:p>
      <w:pPr>
        <w:spacing w:after="0" w:line="80"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decrease in cost of revenues in TT&amp;L of $0.3 million was primarily due to a decrease in infrastructure and travel costs of $0.2 million and depreciation of the Philippine peso against the U.S. dollar of $0.1 million during the three months ended June 30, 2017 compared to the three months ended June 30, 2016. Gross margin increased by 290 bps during the three months ended June 30, 2017 as compared to the three months ended June 30, 2016 due to margin expansion in existing clients and lower operating costs.</w:t>
      </w:r>
    </w:p>
    <w:p>
      <w:pPr>
        <w:spacing w:after="0" w:line="79"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F&amp;A of $1.1 million was primarily due to an increase in employee-related costs of $0.9 million on account of higher headcount and wage inflation, infrastructure costs of $0.3 million and technology costs of $0.1 million. This was partially offset by decrease in travel related costs of $0.4 million. There was an increase of $0.3 million due to the appreciation of the Indian rupee against the U.S. dollar during the three months ended June 30, 2017 compared to the three months ended June 30, 2016. Gross margin increased by 30 bps during the three months ended June 30, 2017 compared to the three months ended June 30, 2016.</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decline in cost of revenues in All Other of $1.6 million was primarily due to a decrease in employee-related costs of $0.7 million on account of lower headcount, partially offset by wage inflation. There was also a decrease in travel related costs of $0.6 million, and technology, infrastructure costs and other operating costs aggregating to $0.3 million in the three months ended June 30, 2016 due to lower revenues. Gross margin decreased by 580 bps during the three months ended June 30, 2017 compared to the three months ended June 30, 2016, primarily due to lower revenues in our consulting and utilities operating segments.</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Analytics of $8.6 million was primarily due to an increase in employee-related costs of $7.8 million (including $5.1 million of incremental employee-related costs related to our 2016 acquisitions) on account of higher headcount and wage inflation, and an increase in technology costs of $0.3 million, infrastructure costs of $0.4 million and travel costs of $0.1 million. This was partially offset by a reduction in our other operating expenses of $0.3 million. There was a net increase of $0.2 million due to the appreciation of the Indian rupee against the U.S. dollar during the three months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ended June 30, 2017 compared to the three months ended June 30, 2016. Gross margin decreased by 160 bps during the three months ended June 30, 2017 compared to the three months ended June 30, 2016, primarily due to higher employee costs and lower gross margin from our 2016 acquisitions.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22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92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97"/>
              </w:rPr>
              <w:t>20.0%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increase in SG&amp;A expenses was primarily due to an increase in employee-related costs of $2.6 million (including $1.6 million of incremental employee-related costs related to our 2016 acquisitions) as a result of annual wage increments and an increase in our average headcount to support the increased business volumes. There was an increase of $0.7 million of infrastructure costs related to our new operating centers, with travel and other operating expenses increasing by $0.3 million. There was a net increase of $0.2 million due to the appreciation of the Indian rupee and depreciation of the Philippine peso against the U.S. dollar during the three months ended June 30, 2017 compared to the three months ended June 30, 2016.</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22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Intangible amortization expense</w:t>
            </w:r>
          </w:p>
        </w:tc>
        <w:tc>
          <w:tcPr>
            <w:tcW w:w="92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w w:val="97"/>
              </w:rPr>
              <w:t>5.1%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92"/>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Depreciation and amortization expense increased by $1.4 million, or 16.5%, from $8.3 million for the three months ended June 30, 2016 to $9.7 million for the three months ended June 30, 2017. The increase in intangibles amortization expense of $0.8 million was primarily due to amortization of intangibles associated with our 2016 acquisitions. Further, there was an increase in our depreciation expense of $0.6 million, due to depreciation related to our new operating centers in India and the Philippines to support our business growth.</w:t>
      </w:r>
    </w:p>
    <w:p>
      <w:pPr>
        <w:spacing w:after="0" w:line="29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$0.1 million, or 0.7%, from $16.2 million for the three months ended June 30, 2016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$16.1 million for the three months ended June 30, 2017. As a percentage of revenues, income from operations decreased from 9.5% for the three months ended June 30, 2016 to 8.5% for the three months ended June 30, 2017.</w:t>
      </w:r>
    </w:p>
    <w:p>
      <w:pPr>
        <w:spacing w:after="0" w:line="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three months ended June 30, 2017. The average exchange rate of the U.S. dollar against the Indian rupee decreased from 67.06 during the three months ended June 30, 2016 to 64.45 during the three months ended June 30, 2017. The average exchange rate of the U.K. pound sterling against the U.S. dollar decreased from 1.42 during the three months ended June 30, 2016 to 1.29 during the three months ended June 30, 2017. The average exchange rate of the U.S. dollar against the Philippine peso increased from 46.90 during the three months ended June 30, 2016 to 50.06 during the three months ended June 30, 2017.</w:t>
      </w:r>
    </w:p>
    <w:p>
      <w:pPr>
        <w:spacing w:after="0" w:line="8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net foreign exchange gain of $2.9 million for the three months ended June 30, 2017 compared to $1.4 million for the three months ended June 30, 2016.</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$0.1 million, or 35.6% from $0.3 million for the three months ended June 30, 2016 to $0.4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Three months ended June 30,</w:t>
      </w:r>
    </w:p>
    <w:tbl>
      <w:tblPr>
        <w:tblLayout w:type="fixed"/>
        <w:tblInd w:w="0" w:type="dxa"/>
        <w:tblCellMar>
          <w:top w:w="0" w:type="dxa"/>
          <w:left w:w="0" w:type="dxa"/>
          <w:bottom w:w="0" w:type="dxa"/>
          <w:right w:w="0" w:type="dxa"/>
        </w:tblCellMar>
      </w:tblPr>
      <w:tr>
        <w:trPr>
          <w:trHeight w:val="47"/>
        </w:trPr>
        <w:tc>
          <w:tcPr>
            <w:tcW w:w="48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2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3"/>
              </w:rPr>
              <w:t>(dollars in millions)</w:t>
            </w: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Gain on mutual fund investments</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earn-out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Increase in gain on mutual fund investments of $0.5 million was primarily due to higher investment balances as of June 30, 2017 compared to June as of 30, 2016 in certain of our foreign subsidiaries. We also recorded $3.8 million during the three months ended June 30, 2016 due to the reversal of earn-out liability related to our RPM acquisition in 2015.</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30.0% during the three months ended June 30, 2016 to 3.9% as a result of (i) excess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related to stock awards of $1.6 million recognized on adoption of ASU No. 2016-09 during the three months ended June 30, 2017, (ii) conclusion of an uncertain tax position of $3.2 million (including interest of $1.4 million), (iii) the impact of reversal of earn-out liability of $3.8 million in other income during the three months ended June 30, 2016 related to our RPM acquisition in 2015, and (iv) higher earnings from foreign subsidiaries and lower domestic profit in the U.S.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$16.4 million for the three months ended June 30, 2016 to $20.4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primarily due to lower income tax expense of $6.2 million, higher foreign exchange gain of $1.5 million, partially offset by lower other income of $3.5 million and lower income from operations of $0.1 million. As a percentage of revenues, net income increased from 9.6% for the three months ended June 30, 2016 to 10.8% for the three months ended June 30,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revenues by reportable segment for the six months ended June 30, 2017 and 2016:</w:t>
      </w:r>
    </w:p>
    <w:p>
      <w:pPr>
        <w:spacing w:after="0" w:line="328"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vMerge w:val="restart"/>
          </w:tcPr>
          <w:p>
            <w:pPr>
              <w:jc w:val="right"/>
              <w:ind w:right="35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4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114.2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 Transportation and Logistics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Finance and Accounting</w:t>
            </w:r>
          </w:p>
        </w:tc>
        <w:tc>
          <w:tcPr>
            <w:tcW w:w="8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Analytics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3"/>
              </w:rPr>
              <w:t>372.1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six months ended June 30, 2017 were $372.1 million, up $34.6 million or 10.2% compared to the six months ended June 30, 2016.</w:t>
      </w:r>
    </w:p>
    <w:p>
      <w:pPr>
        <w:spacing w:after="0" w:line="14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Insurance of $15.3 million was driven by expansion of business from our new and existing clients of $14.7 million, including $2.6 million related to the July 2016 Liss acquisition. The remaining increase of $0.6 million is attributable to a net impact of appreciation of the South African Rand and Indian rupee and depreciation of the U.K. pound sterling against the U.S. dollar during the six months ended June 30, 2017 compared to the six months ended June 30, 2016. Insurance revenues were 30.7% and 29.3% of our total revenues in the six months ended June 30, 2017 and June 30, 2016,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color w:val="auto"/>
        </w:rPr>
        <w:t>Revenue growth in Healthcare of $4.0 million was driven by expansion of business from our existing and new clients. Healthcare revenues were 10.2% and 10.0% of our total revenues in the six months ended June 30, 2017 and June 30, 2016, respectively.</w:t>
      </w:r>
    </w:p>
    <w:p>
      <w:pPr>
        <w:spacing w:after="0" w:line="62"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decline in TT&amp;L of $0.2 million was primarily driven by an impact of $0.6 million due to the depreciation of the Philippine Peso against the U.S. dollar during the six months ended June 30, 2017 compared to the six months ended June 30, 2016. This was partially offset by net volume increases from our existing clients of $0.4 million. TT&amp;L revenues were 9.4% and 10.4% of our total revenues in the six months ended June 30, 2017 and June 30, 2016, respectively.</w:t>
      </w:r>
    </w:p>
    <w:p>
      <w:pPr>
        <w:spacing w:after="0" w:line="79"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F&amp;A of $2.9 million was driven by expansion of business from our new and existing clients. F&amp;A revenues were 11.3% and 11.6% of our total revenues in the six months ended June 30, 2017 and June 30, 2016, respectively.</w:t>
      </w:r>
    </w:p>
    <w:p>
      <w:pPr>
        <w:spacing w:after="0" w:line="62"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decline in All Other of $9.4 million was driven primarily by lower revenue in our Consulting and Utilities operating segments, partially offset by higher revenue in our Banking and Financial Services operating segment, aggregating to $9.3 million and $0.1 million impact due to the depreciation of the U.K. pound sterling against the U.S. dollar during the six months ended June 30, 2017 compared to the six months ended June 30, 2016 in our Consulting operating segment. All Other revenues were 11.4% and 15.4% of our total revenues in the six months ended June 30, 2017 and June 30, 2016, respectively.</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Analytics of $22.0 million was driven by our recurring and project based engagements from our new and existing clients of $22.5 million, including $12.5 million from our IQR Consulting Inc. and Datasource Consulting, LLC acquisitions in 2016. The increase was partially offset by a decrease of $0.5 million due to the depreciation of the U.K. pound sterling against the U.S. dollar during the six months ended June 30, 2017 compared to the six months ended June 30, 2016. Analytics revenues were 27.0% and 23.3% of our total revenues in the six months ended June 30, 2017 and June 30, 2016, respectively.</w:t>
      </w:r>
    </w:p>
    <w:p>
      <w:pPr>
        <w:spacing w:after="0" w:line="40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Cost of Revenues</w:t>
            </w:r>
          </w:p>
        </w:tc>
        <w:tc>
          <w:tcPr>
            <w:tcW w:w="1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Six months ended June 30,</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vMerge w:val="restart"/>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vMerge w:val="restart"/>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vMerge w:val="restart"/>
          </w:tcPr>
          <w:p>
            <w:pPr>
              <w:spacing w:after="0"/>
              <w:rPr>
                <w:sz w:val="6"/>
                <w:szCs w:val="6"/>
                <w:color w:val="auto"/>
              </w:rPr>
            </w:pPr>
          </w:p>
        </w:tc>
        <w:tc>
          <w:tcPr>
            <w:tcW w:w="820" w:type="dxa"/>
            <w:vAlign w:val="bottom"/>
            <w:tcBorders>
              <w:top w:val="single" w:sz="8" w:color="auto"/>
            </w:tcBorders>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6"/>
                <w:szCs w:val="6"/>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1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F &amp; A</w:t>
            </w:r>
          </w:p>
        </w:tc>
        <w:tc>
          <w:tcPr>
            <w:tcW w:w="1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10.6 %</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18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245.6</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220.4</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2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554"/>
        <w:spacing w:after="0" w:line="264" w:lineRule="auto"/>
        <w:rPr>
          <w:sz w:val="20"/>
          <w:szCs w:val="20"/>
          <w:color w:val="auto"/>
        </w:rPr>
      </w:pPr>
      <w:r>
        <w:rPr>
          <w:rFonts w:ascii="Arial" w:cs="Arial" w:eastAsia="Arial" w:hAnsi="Arial"/>
          <w:sz w:val="18"/>
          <w:szCs w:val="18"/>
          <w:color w:val="auto"/>
        </w:rPr>
        <w:t>For the six months ended June 30, 2017, cost of revenues was $245.6 million compared to $220.4 million for the six months ended June 30, 2016, an increase of $25.2 million, or 11.4%. Our gross margin for the six months ended June 30, 2017 was 34.0% compared to 34.7% for six months ended June 30, 2016, a decrease of 70 basis points (bps).</w:t>
      </w:r>
    </w:p>
    <w:p>
      <w:pPr>
        <w:spacing w:after="0" w:line="73" w:lineRule="exact"/>
        <w:rPr>
          <w:sz w:val="20"/>
          <w:szCs w:val="20"/>
          <w:color w:val="auto"/>
        </w:rPr>
      </w:pPr>
    </w:p>
    <w:p>
      <w:pPr>
        <w:jc w:val="both"/>
        <w:ind w:firstLine="554"/>
        <w:spacing w:after="0" w:line="273" w:lineRule="auto"/>
        <w:rPr>
          <w:sz w:val="20"/>
          <w:szCs w:val="20"/>
          <w:color w:val="auto"/>
        </w:rPr>
      </w:pPr>
      <w:r>
        <w:rPr>
          <w:rFonts w:ascii="Arial" w:cs="Arial" w:eastAsia="Arial" w:hAnsi="Arial"/>
          <w:sz w:val="17"/>
          <w:szCs w:val="17"/>
          <w:color w:val="auto"/>
        </w:rPr>
        <w:t>The increase in cost of revenues in Insurance of $8.6 million was primarily due to an increase in employee-related costs of $6.6 million (including $1.3 million related to the Liss acquisition) on account of higher headcount and wage inflation, and technology and infrastructure costs of $2.2 million. This was partially offset by a decrease in travel related costs of $0.5 million and other operating costs of $0.3 million. There was a net increase of $0.5 million due to the appreciation of the Indian rupee and depreciation of the Philippine peso against the U.S. dollar during the six months ended June 30, 2017 compared to the six months ended June 30, 2016. Gross margin increased by 200 bps during the six months ended June 30, 2017 compared to the six months ended June 30, 2016, primarily due to higher revenues and lower operating costs.</w:t>
      </w:r>
    </w:p>
    <w:p>
      <w:pPr>
        <w:spacing w:after="0" w:line="70"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increase in cost of revenues in Healthcare of $2.9 million was primarily due to an increase in employee-related costs of $2.7 million on account of higher headcount and wage inflation, technology costs of $0.4 million, infrastructure costs of $0.3 million and travel costs of $0.2 million. This was partially offset by a decrease in other operating costs of $0.1 million and $0.6 million due to the depreciation of the Philippine peso against the U.S. dollar during the six months ended June 30,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2017 compared to the six months ended June 30, 2016. Gross margin decreased by 90 bps during the six months ended June 30, 2017 compared to the six months ended June 30, 2016, primarily due to higher employee costs.</w:t>
      </w:r>
    </w:p>
    <w:p>
      <w:pPr>
        <w:spacing w:after="0" w:line="62"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decrease in cost of revenues in TT&amp;L of $0.6 million was primarily due to decrease in infrastructure, travel, and other operating costs of $0.4 million. This was partially offset by increase in employee-related costs of $0.1 million on account of higher headcount and wage inflation. The cost of revenue also decreased due to depreciation of the Philippine peso against the U.S. dollar of $0.3 million during the six months ended June 30, 2017 compared to the six months ended June 30, 2016. Gross margin increased by 130 bps during the six months ended June 30, 2017 as compared to the six months ended June 30, 2016 due to lower operating costs.</w:t>
      </w:r>
    </w:p>
    <w:p>
      <w:pPr>
        <w:spacing w:after="0" w:line="80"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The increase in cost of revenues in F&amp;A of $2.5 million was primarily due to an increase in employee-related costs of $1.7 million on account of higher headcount and wage inflation, infrastructure costs of $0.6 million and technology costs of $0.2 million. This was partially offset by a decrease in travel and other operating costs of $0.4 million. There was an increase of $0.4 million due to the appreciation of the Indian rupee against the U.S. dollar during the six months ended June 30, 2017 compared to the six months ended June 30, 2016. Gross margin decreased by 170 bps during the six months ended June 30, 2017 compared to the six months ended June 30, 2016, primarily due to migration costs associated with our new client wins and higher reimbursable travel related costs with lower gross margin.</w:t>
      </w:r>
    </w:p>
    <w:p>
      <w:pPr>
        <w:spacing w:after="0" w:line="85"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The decline in cost of revenues in All Other of $4.0 million was primarily due to a decrease in employee-related costs of $2.2 million on account of lower headcount, partially offset by wage inflation. There was also a decrease in travel related costs of $1.3 million and other operating expenses of $0.3 million in the six months ended June 30, 2016 due to lower revenues. The cost of revenues also decreased by $0.2 million due to the depreciation of the Philippine peso and the U.K. pound sterling against the U.S. dollar during the six months ended June 30, 2017 compared to the six months ended June 30, 2016. Gross margin decreased by 470 bps during the six months ended June 30, 2017 compared to the six months ended June 30, 2016, primarily due to lower revenues in our consulting and utilities operating segments.</w:t>
      </w:r>
    </w:p>
    <w:p>
      <w:pPr>
        <w:spacing w:after="0" w:line="85"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Analytics of $15.8 million was primarily due to an increase in employee-related costs of $15.8 million (including $9.8 million of incremental employee-related costs related to our 2016 acquisitions) on account of higher headcount and wage inflation, an increase in technology costs of $0.4 million and infrastructure costs of $0.4 million. This was partially offset by reduction in our other operating costs of $0.8 million. Gross margin decreased by 180 bps during the six months ended June 30, 2017 compared to the six months ended June 30, 2016, primarily due to higher employee costs and lower gross margin from our 2016 acquisitions.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22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920" w:type="dxa"/>
            <w:vAlign w:val="bottom"/>
          </w:tcPr>
          <w:p>
            <w:pPr>
              <w:spacing w:after="0"/>
              <w:rPr>
                <w:sz w:val="21"/>
                <w:szCs w:val="21"/>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97"/>
              </w:rPr>
              <w:t>20.3%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SG&amp;A expenses was primarily due to an increase in employee-related costs of $6.0 million (including $2.5 million of incremental employee-related costs related to our 2016 acquisitions) as a result of annual wage increments and an increase in our average headcount to support the increased business volumes. There was an increase of $1.1 million of infrastructure costs related to our new operating centers and technology costs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22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Intangible amortization expense</w:t>
            </w:r>
          </w:p>
        </w:tc>
        <w:tc>
          <w:tcPr>
            <w:tcW w:w="920" w:type="dxa"/>
            <w:vAlign w:val="bottom"/>
          </w:tcPr>
          <w:p>
            <w:pPr>
              <w:spacing w:after="0"/>
              <w:rPr>
                <w:sz w:val="21"/>
                <w:szCs w:val="21"/>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Depreciation and amortization expense increased by $2.7 million, or 16.2%, from $16.4 million for the six months ended June 30, 2016 to $19.1 million for the six months ended June 30, 2017. The increase in intangibles amortization expense of $1.6 million was primarily due to amortization of intangibles associated with our 2016 acquisitions. Further, there was an increase in our depreciation expense of $1.1 million related to our new operating centers in India and the Philippines to support our business growth.</w:t>
      </w:r>
    </w:p>
    <w:p>
      <w:pPr>
        <w:spacing w:after="0" w:line="29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$0.7 million, or 2.0%, from $32.7 million for the six months ended June 30, 2016 to $32.0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 months ended June 30, 2017. As a percentage of revenues, income from operations decreased from 9.7% for the six months ended June 30, 2016 to 8.6% for the six months ended June 30, 2017.</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six months ended June 30, 2017. The average exchange rate of the U.S. dollar against the Indian rupee decreased from 67.29 during the six months ended June 30, 2016 to 65.46 during the six months ended June 30, 2017. The average exchange rate of the U.K. pound sterling against the U.S. dollar decreased from 1.42 during the six months ended June 30, 2016 to 1.27 during the six months ended June 30, 2017. The average exchange rate of the U.S. dollar against the Philippine peso increased from 47.00 during the six months ended June 30, 2016 to 50.05 during the six months ended June 30, 2017.</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$4.5 million for the six months ended June 30, 2017 compared to $1.8 million for the six months ended June 30, 2016.</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by $0.2 million from $0.7 million for the six months ended June 30, 2016 to $0.9 million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2017, due to financing cost associated with purchase of software.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30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2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84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Increase in interest and dividend income of $0.1 million and increase in gain on mutual fund investments of $0.6 million was primarily due to higher cash balances in certain of our foreign subsidiaries and higher gain on sale of investment during the six months ended June 30, 2017 compared to the six months ended June 30, 2016. We also recorded $4.1 million during the six months ended June 30, 2016 due to the reversal of earn-out liability related to our RPM acquisition in 2015.</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29.9% during the six months ended June 30, 2016 to 10.5% as a result of (i) excess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related to stock awards of $3.7 million recognized on adoption of ASU No. 2016-09 during the six months ended June 30, 2017, (ii) conclusion of an uncertain tax position of $3.2 million (including interest of $1.4 million), (iii) the impact of reversal of earn-out liability of $4.1 million in other income during the six months ended June 30, 2016 related to our RPM acquisition in 2015, and (iv) higher earnings from foreign subsidiaries and lower domestic profit in the U.S.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37"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$30.2 million for the six months ended June 30, 2016 to $37.2 million for the six months ended June 30,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income tax expense of $8.6 million, higher foreign exchange gain of $2.7 million, partially offset by lower other income of $3.4 million and lower income from operations of $0.7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a percentage of revenues, net income increased from 8.9% for the six months ended June 30, 2016 to 10.0% for the six months ended June 30,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196"/>
        </w:trPr>
        <w:tc>
          <w:tcPr>
            <w:tcW w:w="7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(dollars in millions)</w:t>
            </w:r>
          </w:p>
        </w:tc>
        <w:tc>
          <w:tcPr>
            <w:tcW w:w="560" w:type="dxa"/>
            <w:vAlign w:val="bottom"/>
          </w:tcPr>
          <w:p>
            <w:pPr>
              <w:spacing w:after="0"/>
              <w:rPr>
                <w:sz w:val="17"/>
                <w:szCs w:val="17"/>
                <w:color w:val="auto"/>
              </w:rPr>
            </w:pPr>
          </w:p>
        </w:tc>
      </w:tr>
      <w:tr>
        <w:trPr>
          <w:trHeight w:val="25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and cash equivalents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(106.0)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7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Closing cash and cash equivalents</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r>
      <w:tr>
        <w:trPr>
          <w:trHeight w:val="27"/>
        </w:trPr>
        <w:tc>
          <w:tcPr>
            <w:tcW w:w="7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June 30, 2017 and December 31, 2016, we had $237.3 million and $226.6 million, respectively, in cash, cash equivalents and short-term investments (including $191.2 million and $170.1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anticipate that we will indefinitely reinvest the earnings generated outside of the U.S. If we were to repatriate our overseas funds, we would accrue and pay applicable taxes.</w:t>
      </w:r>
    </w:p>
    <w:p>
      <w:pPr>
        <w:spacing w:after="0" w:line="18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from operating activities increased by $20.0 million from $26.9 million for the six months ended June 30,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$46.9 million for the six months ended June 30, 2017. The increase in cash flows from operations for the six months ended June 30, 2017 compared to the six months ended June 30, 2016 was due to an increase in net income by $7.0 million, increase in non-cash adjustment of $3.3 million and decrease in working capital of $9.7 million from $26.4 million during the six months ended June 30, 2016 to $16.7 million during the six months ended June 30, 2017. The decrease in working capital was primarily due to a change in accounts receivables, prepaid expense and other current assets, accrued expenses and other current liabilities, offset by change in account payables.</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by $44.4 million from $106.0 million for the six months ended June 30,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$150.4 million for the six months ended June 30, 2017. The increase was primarily due to an increase in short-term investments of $38.8 million (net of redemption) during the six months ended June 30, 2017 compared to the six months ended June 30, 2016 and due to an increase in capital expenditures of $5.6 million.</w:t>
      </w:r>
    </w:p>
    <w:p>
      <w:pPr>
        <w:spacing w:after="0" w:line="18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used for financing activities was $21.7 million during the six months ended June 30, 2017 compared to $30.7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2016. The decrease in cash flow used for financing activities between periods is primarily due to repayment of borrowings of $25.0 million under the Credit Agreement (as described below in “Financing Arrangements”) during the six months ended June 30, 2016. This was partially offset by higher purchases of treasury stock of $13.6 million and lower proceeds from exercise of stock options of $2.4 million during the six months ended June 30, 2017 compared to the six months ended June 30, 2016.</w:t>
      </w:r>
    </w:p>
    <w:p>
      <w:pPr>
        <w:spacing w:after="0" w:line="18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$20.5 million of capital expenditures in the six months ended June 30, 2017. We expect to incur capital expenditures of between $30.0 million to $35.0 million in 2017, primarily to meet our growth requirements, including additions to our facilities as well as investments in technology applications and infrastructure, but the actual amount may vary based on economic conditions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21 to our unaudited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On October 24, 2014 we entered into a Credit Agreement that provides for a $50.0 million revolving credit facility (“Credit Facility”). We had an option to increase the commitments under the Credit Facility by up to an additional $50.0 million, which we exercised on February 23, 2015, pursuant to an amendment to the Credit Agreement providing the same terms and conditions which were available in the Credit Agreement. The Credit Facility has a maturity date of October 24, 2019 and is voluntarily pre-payable from time to time without premium or penalty. As of June 30, 2017, we had outstanding indebtedness of $45.0 million, of which $10.0 million is expected to be repaid within the next twelve months and is included under "short-term borrowings" and the balance of which $35.0 million is included under "long term borrowings" in the unaudited consolidated balance sheets.</w:t>
      </w:r>
    </w:p>
    <w:p>
      <w:pPr>
        <w:spacing w:after="0" w:line="17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Borrowings under the Credit Facility may be used for working capital and general corporate purposes of the Company and its subsidiaries and for acquisitions.</w:t>
      </w:r>
    </w:p>
    <w:p>
      <w:pPr>
        <w:spacing w:after="0" w:line="170"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0.3% to 0.8% per annum with respect to loans pegged to the specified prime rate, and 1.3% to 1.8% per annum on loans pegged to the adjusted LIBO rate. The revolving credit commitments under the Credit Agreement are subject to a commitment fee. The commitment fee is also tied to the Company’s leverage ratio, and ranges from 0.2% to 0.3% per annum on the average daily amount by which the aggregate revolving commitments exceed the sum of outstanding revolving loans and letter of credit obligations. The Credit Facility carried an effective interest rate per annum of 2.7% and 2.6% during the three and six months ended June 30, 2017,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2017 and December 31, 2016, we had no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June 30, 2017:</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Payment Due by Period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0"/>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2"/>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21"/>
                <w:szCs w:val="21"/>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1-3</w:t>
            </w:r>
          </w:p>
        </w:tc>
        <w:tc>
          <w:tcPr>
            <w:tcW w:w="10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4-5</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years</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5 years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30.8</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16.3</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45.0</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r>
      <w:tr>
        <w:trPr>
          <w:trHeight w:val="264"/>
        </w:trPr>
        <w:tc>
          <w:tcPr>
            <w:tcW w:w="428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55.8</w:t>
            </w:r>
          </w:p>
        </w:tc>
        <w:tc>
          <w:tcPr>
            <w:tcW w:w="10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101.3</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effective interest rate on the outstanding borrowings as of June 30, 2017.</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Excludes $1.5 million related to uncertain tax positions, since the extent of the amount and timing of payment is currently not reliably estimable or determinable.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our unaudited consolidated financial statements contained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June 30, 2017,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2016.</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2017. Based upon that evaluation, the CEO and CFO have concluded that, as of June 30, 2017,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June 30, 2017,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21 to our unaudited consolidated financial statements contained herein for details regarding our tax proceedings.</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fiscal year ended December 31, 2016 a number of risks which may materially affect our business, financial condition or results of operations. You should carefully consider the “Risk Factors” set forth in our Annual Report on Form 10-K for the fiscal year ended December 31, 2016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June 30, 2017, purchases of common stock were as follows:</w:t>
      </w: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Average Price</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5"/>
              </w:rPr>
              <w:t>Shares Purchased as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1940" w:type="dxa"/>
            <w:vAlign w:val="bottom"/>
            <w:gridSpan w:val="3"/>
            <w:vMerge w:val="continue"/>
            <w:shd w:val="clear" w:color="auto" w:fill="CCEEFF"/>
          </w:tcPr>
          <w:p>
            <w:pPr>
              <w:spacing w:after="0"/>
              <w:rPr>
                <w:sz w:val="9"/>
                <w:szCs w:val="9"/>
                <w:color w:val="auto"/>
              </w:rPr>
            </w:pPr>
          </w:p>
        </w:tc>
        <w:tc>
          <w:tcPr>
            <w:tcW w:w="1940" w:type="dxa"/>
            <w:vAlign w:val="bottom"/>
            <w:gridSpan w:val="2"/>
            <w:vMerge w:val="continue"/>
            <w:shd w:val="clear" w:color="auto" w:fill="CCEEFF"/>
          </w:tcPr>
          <w:p>
            <w:pPr>
              <w:spacing w:after="0"/>
              <w:rPr>
                <w:sz w:val="9"/>
                <w:szCs w:val="9"/>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gridSpan w:val="2"/>
            <w:vMerge w:val="continue"/>
            <w:shd w:val="clear" w:color="auto" w:fill="CCEEFF"/>
          </w:tcPr>
          <w:p>
            <w:pPr>
              <w:spacing w:after="0"/>
              <w:rPr>
                <w:sz w:val="9"/>
                <w:szCs w:val="9"/>
                <w:color w:val="auto"/>
              </w:rPr>
            </w:pPr>
          </w:p>
        </w:tc>
        <w:tc>
          <w:tcPr>
            <w:tcW w:w="194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7"/>
              </w:rPr>
              <w:t>Shares Purchased</w:t>
            </w:r>
          </w:p>
        </w:tc>
        <w:tc>
          <w:tcPr>
            <w:tcW w:w="194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Paid per share</w:t>
            </w:r>
          </w:p>
        </w:tc>
        <w:tc>
          <w:tcPr>
            <w:tcW w:w="1940" w:type="dxa"/>
            <w:vAlign w:val="bottom"/>
            <w:gridSpan w:val="2"/>
            <w:vMerge w:val="continue"/>
            <w:shd w:val="clear" w:color="auto" w:fill="CCEEFF"/>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940" w:type="dxa"/>
            <w:vAlign w:val="bottom"/>
            <w:gridSpan w:val="3"/>
            <w:vMerge w:val="continue"/>
            <w:shd w:val="clear" w:color="auto" w:fill="CCEEFF"/>
          </w:tcPr>
          <w:p>
            <w:pPr>
              <w:spacing w:after="0"/>
              <w:rPr>
                <w:sz w:val="10"/>
                <w:szCs w:val="10"/>
                <w:color w:val="auto"/>
              </w:rPr>
            </w:pPr>
          </w:p>
        </w:tc>
        <w:tc>
          <w:tcPr>
            <w:tcW w:w="1940" w:type="dxa"/>
            <w:vAlign w:val="bottom"/>
            <w:gridSpan w:val="2"/>
            <w:vMerge w:val="continue"/>
            <w:shd w:val="clear" w:color="auto" w:fill="CCEEFF"/>
          </w:tcPr>
          <w:p>
            <w:pPr>
              <w:spacing w:after="0"/>
              <w:rPr>
                <w:sz w:val="10"/>
                <w:szCs w:val="10"/>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40" w:type="dxa"/>
            <w:vAlign w:val="bottom"/>
            <w:gridSpan w:val="2"/>
            <w:vMerge w:val="continue"/>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94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center"/>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tcPr>
          <w:p>
            <w:pPr>
              <w:ind w:left="20"/>
              <w:spacing w:after="0" w:line="264" w:lineRule="exact"/>
              <w:rPr>
                <w:sz w:val="20"/>
                <w:szCs w:val="20"/>
                <w:color w:val="auto"/>
              </w:rPr>
            </w:pPr>
            <w:r>
              <w:rPr>
                <w:rFonts w:ascii="Arial" w:cs="Arial" w:eastAsia="Arial" w:hAnsi="Arial"/>
                <w:sz w:val="18"/>
                <w:szCs w:val="18"/>
                <w:color w:val="auto"/>
              </w:rPr>
              <w:t>April 1, 2017 through April 30, 2017</w:t>
            </w:r>
            <w:r>
              <w:rPr>
                <w:rFonts w:ascii="Arial" w:cs="Arial" w:eastAsia="Arial" w:hAnsi="Arial"/>
                <w:sz w:val="25"/>
                <w:szCs w:val="25"/>
                <w:color w:val="auto"/>
                <w:vertAlign w:val="superscript"/>
              </w:rPr>
              <w:t>(1)</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109,524</w:t>
            </w:r>
          </w:p>
        </w:tc>
        <w:tc>
          <w:tcPr>
            <w:tcW w:w="120" w:type="dxa"/>
            <w:vAlign w:val="bottom"/>
          </w:tcPr>
          <w:p>
            <w:pPr>
              <w:spacing w:after="0"/>
              <w:rPr>
                <w:sz w:val="22"/>
                <w:szCs w:val="22"/>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2"/>
                <w:szCs w:val="22"/>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107,305</w:t>
            </w:r>
          </w:p>
        </w:tc>
        <w:tc>
          <w:tcPr>
            <w:tcW w:w="1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26,000,064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2017 through May 31, 2017</w:t>
            </w:r>
          </w:p>
        </w:tc>
        <w:tc>
          <w:tcPr>
            <w:tcW w:w="1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22,200,429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June 1, 2017 through June 30, 2017</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47,716</w:t>
            </w:r>
          </w:p>
        </w:tc>
        <w:tc>
          <w:tcPr>
            <w:tcW w:w="1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47,716</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19,684,088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232,241</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49.17</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230,022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0"/>
        <w:spacing w:after="0" w:line="264" w:lineRule="auto"/>
        <w:tabs>
          <w:tab w:leader="none" w:pos="7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2,219 shares of the Company’s common stock acquired by the Company at an average price per share of $46.51 in connection with satisfaction of tax withholding obligations on vested restricted stock. The price paid per share for the restricted stock was the average of high and low price of common stock on the trading day prior to the vesting date of the restricted stock units.</w:t>
      </w:r>
    </w:p>
    <w:p>
      <w:pPr>
        <w:spacing w:after="0" w:line="181" w:lineRule="exact"/>
        <w:rPr>
          <w:rFonts w:ascii="Arial" w:cs="Arial" w:eastAsia="Arial" w:hAnsi="Arial"/>
          <w:sz w:val="18"/>
          <w:szCs w:val="18"/>
          <w:color w:val="auto"/>
        </w:rPr>
      </w:pPr>
    </w:p>
    <w:p>
      <w:pPr>
        <w:jc w:val="both"/>
        <w:ind w:firstLine="440"/>
        <w:spacing w:after="0" w:line="259" w:lineRule="auto"/>
        <w:tabs>
          <w:tab w:leader="none" w:pos="7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of $100 million. The approval increases the 2017 authorization from $20 million to $40 million and authorizes stock repurchases of up to $40 million in each of 2018 and 2019.</w:t>
      </w:r>
    </w:p>
    <w:p>
      <w:pPr>
        <w:spacing w:after="0" w:line="3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Exhibit Index immediately following the signature page hereto,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color w:val="auto"/>
              </w:rPr>
              <w:t>Date: July 27, 2017</w:t>
            </w:r>
          </w:p>
        </w:tc>
        <w:tc>
          <w:tcPr>
            <w:tcW w:w="816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200" w:type="dxa"/>
            <w:vAlign w:val="bottom"/>
          </w:tcPr>
          <w:p>
            <w:pPr>
              <w:spacing w:after="0"/>
              <w:rPr>
                <w:sz w:val="24"/>
                <w:szCs w:val="24"/>
                <w:color w:val="auto"/>
              </w:rPr>
            </w:pPr>
          </w:p>
        </w:tc>
        <w:tc>
          <w:tcPr>
            <w:tcW w:w="8160" w:type="dxa"/>
            <w:vAlign w:val="bottom"/>
            <w:gridSpan w:val="2"/>
          </w:tcPr>
          <w:p>
            <w:pPr>
              <w:ind w:left="1800"/>
              <w:spacing w:after="0"/>
              <w:rPr>
                <w:sz w:val="20"/>
                <w:szCs w:val="20"/>
                <w:color w:val="auto"/>
              </w:rPr>
            </w:pPr>
            <w:r>
              <w:rPr>
                <w:rFonts w:ascii="Arial" w:cs="Arial" w:eastAsia="Arial" w:hAnsi="Arial"/>
                <w:sz w:val="18"/>
                <w:szCs w:val="18"/>
                <w:color w:val="auto"/>
              </w:rPr>
              <w:t>By:/</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7"/>
        </w:trPr>
        <w:tc>
          <w:tcPr>
            <w:tcW w:w="3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6"/>
        </w:trPr>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Vishal Chhibbar</w:t>
            </w:r>
          </w:p>
        </w:tc>
      </w:tr>
      <w:tr>
        <w:trPr>
          <w:trHeight w:val="149"/>
        </w:trPr>
        <w:tc>
          <w:tcPr>
            <w:tcW w:w="3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2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87"/>
        </w:trPr>
        <w:tc>
          <w:tcPr>
            <w:tcW w:w="3200" w:type="dxa"/>
            <w:vAlign w:val="bottom"/>
          </w:tcPr>
          <w:p>
            <w:pPr>
              <w:spacing w:after="0"/>
              <w:rPr>
                <w:sz w:val="24"/>
                <w:szCs w:val="24"/>
                <w:color w:val="auto"/>
              </w:rPr>
            </w:pPr>
          </w:p>
        </w:tc>
        <w:tc>
          <w:tcPr>
            <w:tcW w:w="8160" w:type="dxa"/>
            <w:vAlign w:val="bottom"/>
            <w:gridSpan w:val="2"/>
          </w:tcPr>
          <w:p>
            <w:pPr>
              <w:ind w:left="238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00"/>
          </w:cols>
          <w:pgMar w:left="240" w:top="337"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0420" w:type="dxa"/>
            <w:vAlign w:val="bottom"/>
          </w:tcPr>
          <w:p>
            <w:pPr>
              <w:ind w:left="140"/>
              <w:spacing w:after="0"/>
              <w:rPr>
                <w:sz w:val="20"/>
                <w:szCs w:val="20"/>
                <w:color w:val="auto"/>
              </w:rPr>
            </w:pPr>
            <w:r>
              <w:rPr>
                <w:rFonts w:ascii="Arial" w:cs="Arial" w:eastAsia="Arial" w:hAnsi="Arial"/>
                <w:sz w:val="18"/>
                <w:szCs w:val="18"/>
                <w:color w:val="auto"/>
                <w:w w:val="90"/>
              </w:rPr>
              <w:t>Amended and Restated Certificate of Incorporation of the Company, as in effect on the date hereof (incorporated by reference to Exhibit 3.1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the Company’s Current Report on Form 8-K (File No. 1-33089) filed on October 25, 2006).</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0420" w:type="dxa"/>
            <w:vAlign w:val="bottom"/>
          </w:tcPr>
          <w:p>
            <w:pPr>
              <w:ind w:left="140"/>
              <w:spacing w:after="0"/>
              <w:rPr>
                <w:sz w:val="20"/>
                <w:szCs w:val="20"/>
                <w:color w:val="auto"/>
              </w:rPr>
            </w:pPr>
            <w:r>
              <w:rPr>
                <w:rFonts w:ascii="Arial" w:cs="Arial" w:eastAsia="Arial" w:hAnsi="Arial"/>
                <w:sz w:val="18"/>
                <w:szCs w:val="18"/>
                <w:color w:val="auto"/>
                <w:w w:val="91"/>
              </w:rPr>
              <w:t>Fourth Amended and Restated By-Laws of ExlService Holdings, Inc., as in effect on the date hereof (incorporated by reference to Exhibit 3.2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to the Company’s Current Report on Form 8-K (File No. 1-33089) filed on February 28, 2017).</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0420" w:type="dxa"/>
            <w:vAlign w:val="bottom"/>
          </w:tcPr>
          <w:p>
            <w:pPr>
              <w:ind w:left="140"/>
              <w:spacing w:after="0"/>
              <w:rPr>
                <w:sz w:val="20"/>
                <w:szCs w:val="20"/>
                <w:color w:val="auto"/>
              </w:rPr>
            </w:pPr>
            <w:r>
              <w:rPr>
                <w:rFonts w:ascii="Arial" w:cs="Arial" w:eastAsia="Arial" w:hAnsi="Arial"/>
                <w:sz w:val="18"/>
                <w:szCs w:val="18"/>
                <w:color w:val="auto"/>
                <w:w w:val="92"/>
              </w:rPr>
              <w:t>Certification of the Chief Executive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0420" w:type="dxa"/>
            <w:vAlign w:val="bottom"/>
          </w:tcPr>
          <w:p>
            <w:pPr>
              <w:ind w:left="14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0420" w:type="dxa"/>
            <w:vAlign w:val="bottom"/>
          </w:tcPr>
          <w:p>
            <w:pPr>
              <w:ind w:left="140"/>
              <w:spacing w:after="0"/>
              <w:rPr>
                <w:sz w:val="20"/>
                <w:szCs w:val="20"/>
                <w:color w:val="auto"/>
              </w:rPr>
            </w:pPr>
            <w:r>
              <w:rPr>
                <w:rFonts w:ascii="Arial" w:cs="Arial" w:eastAsia="Arial" w:hAnsi="Arial"/>
                <w:sz w:val="18"/>
                <w:szCs w:val="18"/>
                <w:color w:val="auto"/>
                <w:w w:val="91"/>
              </w:rPr>
              <w:t>Certification of the Chief Executive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0420" w:type="dxa"/>
            <w:vAlign w:val="bottom"/>
          </w:tcPr>
          <w:p>
            <w:pPr>
              <w:ind w:left="1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10420" w:type="dxa"/>
            <w:vAlign w:val="bottom"/>
            <w:vMerge w:val="restart"/>
          </w:tcPr>
          <w:p>
            <w:pPr>
              <w:ind w:left="47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7"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27, 2017</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27, 2017</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June 30, 2017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2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27, 2017</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June 30, 2017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27,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2019-12-29T05:12:33Z</dcterms:created>
  <dcterms:modified xsi:type="dcterms:W3CDTF">2019-12-29T05:12:33Z</dcterms:modified>
</cp:coreProperties>
</file>