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46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4606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02/07/2016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5,000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96,281</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02/07/2016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88"/>
              </w:rPr>
              <w:t>1,731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44.49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94,550</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88"/>
              </w:rPr>
              <w:t>6,900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101,450</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88"/>
              </w:rPr>
              <w:t>2,388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44.49</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99,062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1"/>
              <w:spacing w:after="0"/>
              <w:rPr>
                <w:sz w:val="20"/>
                <w:szCs w:val="20"/>
                <w:color w:val="auto"/>
              </w:rPr>
            </w:pPr>
            <w:r>
              <w:rPr>
                <w:rFonts w:ascii="Arial" w:cs="Arial" w:eastAsia="Arial" w:hAnsi="Arial"/>
                <w:sz w:val="18"/>
                <w:szCs w:val="18"/>
                <w:color w:val="0000FF"/>
                <w:w w:val="93"/>
              </w:rPr>
              <w:t>461</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99,523</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02/08/2016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93"/>
              </w:rPr>
              <w:t>160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44.49</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99,363</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5,000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02/07/2016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center"/>
              <w:ind w:left="258"/>
              <w:spacing w:after="0" w:line="149" w:lineRule="exact"/>
              <w:rPr>
                <w:sz w:val="20"/>
                <w:szCs w:val="20"/>
                <w:color w:val="auto"/>
              </w:rPr>
            </w:pPr>
            <w:r>
              <w:rPr>
                <w:rFonts w:ascii="Arial" w:cs="Arial" w:eastAsia="Arial" w:hAnsi="Arial"/>
                <w:sz w:val="14"/>
                <w:szCs w:val="14"/>
                <w:color w:val="0000FF"/>
                <w:w w:val="85"/>
              </w:rPr>
              <w:t>5,000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76"/>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6,900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02/08/2016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center"/>
              <w:ind w:left="258"/>
              <w:spacing w:after="0" w:line="149" w:lineRule="exact"/>
              <w:rPr>
                <w:sz w:val="20"/>
                <w:szCs w:val="20"/>
                <w:color w:val="auto"/>
              </w:rPr>
            </w:pPr>
            <w:r>
              <w:rPr>
                <w:rFonts w:ascii="Arial" w:cs="Arial" w:eastAsia="Arial" w:hAnsi="Arial"/>
                <w:sz w:val="14"/>
                <w:szCs w:val="14"/>
                <w:color w:val="0000FF"/>
                <w:w w:val="85"/>
              </w:rPr>
              <w:t>6,900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85"/>
              </w:rPr>
              <w:t>9,200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center"/>
              <w:ind w:right="9"/>
              <w:spacing w:after="0"/>
              <w:rPr>
                <w:sz w:val="20"/>
                <w:szCs w:val="20"/>
                <w:color w:val="auto"/>
              </w:rPr>
            </w:pPr>
            <w:r>
              <w:rPr>
                <w:rFonts w:ascii="Arial" w:cs="Arial" w:eastAsia="Arial" w:hAnsi="Arial"/>
                <w:sz w:val="18"/>
                <w:szCs w:val="18"/>
                <w:color w:val="0000FF"/>
                <w:w w:val="86"/>
              </w:rPr>
              <w:t>461</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02/08/2016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center"/>
              <w:ind w:left="278"/>
              <w:spacing w:after="0" w:line="149" w:lineRule="exact"/>
              <w:rPr>
                <w:sz w:val="20"/>
                <w:szCs w:val="20"/>
                <w:color w:val="auto"/>
              </w:rPr>
            </w:pPr>
            <w:r>
              <w:rPr>
                <w:rFonts w:ascii="Arial" w:cs="Arial" w:eastAsia="Arial" w:hAnsi="Arial"/>
                <w:sz w:val="14"/>
                <w:szCs w:val="14"/>
                <w:color w:val="0000FF"/>
                <w:w w:val="85"/>
              </w:rPr>
              <w:t>461</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0000FF"/>
                <w:w w:val="76"/>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7,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8,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jc w:val="both"/>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7, 2012, the reporting person was granted 12,500 restricted stock units. 10 percent of the restricted stock units became vested on February 7, 2013, an additional 20 percent of the restricted stock units became vested on February 7, 2014, an additional 30 percent of the restricted stock units became vested on February 7, 2015, and the remaining balance i/n/o 5,000 restricted stock units became vested on February 7, 2016.</w:t>
      </w:r>
    </w:p>
    <w:p>
      <w:pPr>
        <w:spacing w:after="0" w:line="30"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8, 2013, the reporting person was granted 23,000 restricted stock units. 10 percent of the restricted stock units became vested on February 8, 2014, an additional 20 percent of the restricted stock units became vested on February 8, 2015, an additional 30 percent of the restricted stock units became vested on February 8, 2016, and the remaining balance i/n/o 9,200 restricted stock units will vest on February 8, 2017.</w:t>
      </w:r>
    </w:p>
    <w:p>
      <w:pPr>
        <w:spacing w:after="0" w:line="30" w:lineRule="exact"/>
        <w:rPr>
          <w:rFonts w:ascii="Arial" w:cs="Arial" w:eastAsia="Arial" w:hAnsi="Arial"/>
          <w:sz w:val="14"/>
          <w:szCs w:val="14"/>
          <w:color w:val="008000"/>
        </w:rPr>
      </w:pPr>
    </w:p>
    <w:p>
      <w:pPr>
        <w:ind w:left="40" w:right="2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8, 2013, the reporting person was granted 1,380 restricted stock units, vesting in three annual installments beginning on the first anniversary of the grant date. 459 restricted stock units became vested on February 8, 2014, an additional 460 restricted stock units became vested on February 8, 2015, and the remaining balance i/n/o 461 restricted stock units became vested on February 8, 2016.</w:t>
      </w: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520"/>
          </w:cols>
          <w:pgMar w:left="240" w:top="226" w:right="139" w:bottom="0" w:gutter="0" w:footer="0" w:header="0"/>
          <w:type w:val="continuous"/>
        </w:sectPr>
      </w:pP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Mr. Oseni is the Company's Head of Administration and Accounts.</w:t>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/s/ Lazbart Oseni, Attorney-in-  02/09/2016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2019-12-08T02:02:30Z</dcterms:created>
  <dcterms:modified xsi:type="dcterms:W3CDTF">2019-12-08T02:02:30Z</dcterms:modified>
</cp:coreProperties>
</file>