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February 28, 2012</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26" w:right="239" w:bottom="1440" w:gutter="0" w:footer="0" w:header="0"/>
        </w:sectPr>
      </w:pPr>
    </w:p>
    <w:p>
      <w:pPr>
        <w:spacing w:after="0" w:line="207"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80" w:space="720"/>
            <w:col w:w="3420" w:space="720"/>
            <w:col w:w="2580"/>
          </w:cols>
          <w:pgMar w:left="240" w:top="526" w:right="239" w:bottom="1440" w:gutter="0" w:footer="0" w:header="0"/>
          <w:type w:val="continuous"/>
        </w:sectPr>
      </w:pPr>
    </w:p>
    <w:p>
      <w:pPr>
        <w:spacing w:after="0" w:line="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2"/>
          <w:szCs w:val="12"/>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ind w:left="32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address, if changed since last report)</w:t>
      </w:r>
    </w:p>
    <w:p>
      <w:pPr>
        <w:sectPr>
          <w:pgSz w:w="11900" w:h="16838" w:orient="portrait"/>
          <w:cols w:equalWidth="0" w:num="1">
            <w:col w:w="11420"/>
          </w:cols>
          <w:pgMar w:left="240" w:top="526" w:right="239" w:bottom="1440" w:gutter="0" w:footer="0" w:header="0"/>
          <w:type w:val="continuous"/>
        </w:sectPr>
      </w:pPr>
    </w:p>
    <w:p>
      <w:pPr>
        <w:spacing w:after="0" w:line="21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920" w:type="dxa"/>
            <w:vAlign w:val="bottom"/>
          </w:tcPr>
          <w:p>
            <w:pPr>
              <w:ind w:left="260"/>
              <w:spacing w:after="0"/>
              <w:rPr>
                <w:sz w:val="20"/>
                <w:szCs w:val="20"/>
                <w:color w:val="auto"/>
              </w:rPr>
            </w:pPr>
            <w:r>
              <w:rPr>
                <w:rFonts w:ascii="Arial" w:cs="Arial" w:eastAsia="Arial" w:hAnsi="Arial"/>
                <w:sz w:val="18"/>
                <w:szCs w:val="18"/>
                <w:color w:val="auto"/>
              </w:rPr>
              <w:t>Written communication pursuant to Rule 425 under the Securities Act (17 CFR 230.425)</w:t>
            </w:r>
          </w:p>
        </w:tc>
      </w:tr>
      <w:tr>
        <w:trPr>
          <w:trHeight w:val="432"/>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920" w:type="dxa"/>
            <w:vAlign w:val="bottom"/>
          </w:tcPr>
          <w:p>
            <w:pPr>
              <w:ind w:left="2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432"/>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920" w:type="dxa"/>
            <w:vAlign w:val="bottom"/>
          </w:tcPr>
          <w:p>
            <w:pPr>
              <w:ind w:left="2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432"/>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920" w:type="dxa"/>
            <w:vAlign w:val="bottom"/>
          </w:tcPr>
          <w:p>
            <w:pPr>
              <w:ind w:left="2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91"/>
        </w:trPr>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920" w:type="dxa"/>
            <w:vAlign w:val="bottom"/>
          </w:tcPr>
          <w:p>
            <w:pPr>
              <w:spacing w:after="0"/>
              <w:rPr>
                <w:sz w:val="7"/>
                <w:szCs w:val="7"/>
                <w:color w:val="auto"/>
              </w:rPr>
            </w:pPr>
          </w:p>
        </w:tc>
      </w:tr>
      <w:tr>
        <w:trPr>
          <w:trHeight w:val="71"/>
        </w:trPr>
        <w:tc>
          <w:tcPr>
            <w:tcW w:w="140" w:type="dxa"/>
            <w:vAlign w:val="bottom"/>
            <w:shd w:val="clear" w:color="auto" w:fill="808080"/>
          </w:tcPr>
          <w:p>
            <w:pPr>
              <w:spacing w:after="0"/>
              <w:rPr>
                <w:sz w:val="6"/>
                <w:szCs w:val="6"/>
                <w:color w:val="auto"/>
              </w:rPr>
            </w:pPr>
          </w:p>
        </w:tc>
        <w:tc>
          <w:tcPr>
            <w:tcW w:w="360" w:type="dxa"/>
            <w:vAlign w:val="bottom"/>
            <w:shd w:val="clear" w:color="auto" w:fill="808080"/>
          </w:tcPr>
          <w:p>
            <w:pPr>
              <w:spacing w:after="0"/>
              <w:rPr>
                <w:sz w:val="6"/>
                <w:szCs w:val="6"/>
                <w:color w:val="auto"/>
              </w:rPr>
            </w:pPr>
          </w:p>
        </w:tc>
        <w:tc>
          <w:tcPr>
            <w:tcW w:w="10920" w:type="dxa"/>
            <w:vAlign w:val="bottom"/>
            <w:shd w:val="clear" w:color="auto" w:fill="808080"/>
          </w:tcPr>
          <w:p>
            <w:pPr>
              <w:spacing w:after="0"/>
              <w:rPr>
                <w:sz w:val="6"/>
                <w:szCs w:val="6"/>
                <w:color w:val="auto"/>
              </w:rPr>
            </w:pPr>
          </w:p>
        </w:tc>
      </w:tr>
      <w:tr>
        <w:trPr>
          <w:trHeight w:val="726"/>
        </w:trPr>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9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28, 2012, ExlService Holdings, Inc. (the “Company”) reported its results of operations for the three months and twelve months ended December 31, 2011. A copy of the press release issued by the Company concerning the foregoing is furnished herewith as Exhibit 99.1 and is incorporated herein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75"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162"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956310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715" w:right="4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5"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EXLSERVICE HOLDINGS, INC.</w:t>
      </w:r>
    </w:p>
    <w:p>
      <w:pPr>
        <w:spacing w:after="0" w:line="378" w:lineRule="exact"/>
        <w:rPr>
          <w:sz w:val="20"/>
          <w:szCs w:val="20"/>
          <w:color w:val="auto"/>
        </w:rPr>
      </w:pPr>
    </w:p>
    <w:p>
      <w:pPr>
        <w:spacing w:after="0"/>
        <w:tabs>
          <w:tab w:leader="none" w:pos="6280" w:val="left"/>
          <w:tab w:leader="none" w:pos="8040" w:val="left"/>
        </w:tabs>
        <w:rPr>
          <w:sz w:val="20"/>
          <w:szCs w:val="20"/>
          <w:color w:val="auto"/>
        </w:rPr>
      </w:pPr>
      <w:r>
        <w:rPr>
          <w:rFonts w:ascii="Arial" w:cs="Arial" w:eastAsia="Arial" w:hAnsi="Arial"/>
          <w:sz w:val="18"/>
          <w:szCs w:val="18"/>
          <w:color w:val="auto"/>
        </w:rPr>
        <w:t>Date: February 28,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14605</wp:posOffset>
            </wp:positionV>
            <wp:extent cx="267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2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Vishal Chhibbar</w:t>
      </w:r>
    </w:p>
    <w:p>
      <w:pPr>
        <w:spacing w:after="0" w:line="25"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Chief Financial Officer</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3"/>
          <w:szCs w:val="13"/>
          <w:b w:val="1"/>
          <w:bCs w:val="1"/>
          <w:color w:val="auto"/>
        </w:rPr>
        <w:t>(Duly Authorized Signatory, Principal Financial and Accounting</w:t>
      </w:r>
    </w:p>
    <w:p>
      <w:pPr>
        <w:spacing w:after="0" w:line="26"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1464310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86" w:right="81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being filed as part of this Current Report on Form 8-K:</w:t>
      </w:r>
    </w:p>
    <w:p>
      <w:pPr>
        <w:spacing w:after="0" w:line="27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February 28,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870585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4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Contact: Charles Murphy, CFA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6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ir@exlservice.com</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2011 FOURTH QUARTER AND FULL YEAR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PROVIDES GUIDANCE FOR CALENDAR YEAR 2012</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2011 Revenues of $360.5 million and Adjusted Operating Margin of 15.3%</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2012 Revenue Guidance of $445.0 million to $455.0 million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2012 Adjusted Diluted EPS Guidance of $1.50 to $1.55</w:t>
      </w:r>
    </w:p>
    <w:p>
      <w:pPr>
        <w:spacing w:after="0" w:line="2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New York, NY – Feb 28, 2012 – ExlService Holdings, Inc. (NASDAQ: EXLS), a leading provider of outsourcing and transformation services, today announced its financial results for the fourth quarter of 2011 and the year ended December 31, 2011.</w:t>
      </w:r>
    </w:p>
    <w:p>
      <w:pPr>
        <w:spacing w:after="0" w:line="22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Rohit Kapoor, President and CEO, commented: “2011 was a year of robust growth for EXL, with revenues increasing 42.6% year-over-year. This growth was broad-based, and fueled by new client additions, increased business volumes and process migrations with existing customers, and complementary acquisitions. Our domain-centric strategy continued to resonate well with clients. In order to foster innovation and further sharpen our domain expertise, in 2011 we reorganized our client services team to be aligned by industry and service domain. This has allowed us to deepen relationships with our clients. For example, we have recently executed a multi-year contract for an expanded range of services with one of our largest strategic clients. I believe 2012 will be another year of strong growth for our company.”</w:t>
      </w:r>
    </w:p>
    <w:p>
      <w:pPr>
        <w:spacing w:after="0" w:line="2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Vishal Chhibbar, CFO, commented: “In the fourth quarter, EXL achieved record revenues of $102.6 million despite a foreign exchange headwind. Driven by strong client demand, revenues in 2011 grew 42.6% to $360.5 million, exceeding our guidance of $354.0 million to $358.0 million. Adjusted EBITDA and adjusted diluted EPS increased 45.1% and 28.5%, respectively, over the previous year. Our growth in profitability was driven by strong revenue growth, combined with operating leverage in our general and administrative expenses, and partially offset by a higher tax rate. Our revenue growth and margin expansion resulted in $73.8 million of adjusted EBITDA and $1.39 of adjusted diluted EPS in 2011.</w:t>
      </w:r>
    </w:p>
    <w:p>
      <w:pPr>
        <w:spacing w:after="0" w:line="22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2012, we are providing revenue guidance of $445.0 million to $455.0 million, representing annual revenue growth of 24% to 27%, excluding revenues from a one-time client payment received in 2011. For 2012, based on current exchange rates, we expect to achieve adjusted diluted earnings per share of $1.50 to $1.55.”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Highlights – Fourth Quarter 2011 and Year Ended December 31, 2011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279" w:lineRule="exact"/>
        <w:rPr>
          <w:sz w:val="20"/>
          <w:szCs w:val="20"/>
          <w:color w:val="auto"/>
        </w:rPr>
      </w:pPr>
    </w:p>
    <w:p>
      <w:pPr>
        <w:ind w:left="660" w:right="4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Revenues for the year ended December 31, 2011 increased 42.6% to $360.5 million compared to $252.8 million for the year ended December 31, 2010. Revenues for the quarter ended December 31, 2011 were $102.6 million compared to $70.0 million for the quarter ended December 31, 2010. Revenues for the quarter ended December 31, 2011 increased 46.5% over the quarter ended December 31, 2010.</w:t>
      </w:r>
    </w:p>
    <w:p>
      <w:pPr>
        <w:spacing w:after="0" w:line="219" w:lineRule="exact"/>
        <w:rPr>
          <w:rFonts w:ascii="Arial" w:cs="Arial" w:eastAsia="Arial" w:hAnsi="Arial"/>
          <w:sz w:val="17"/>
          <w:szCs w:val="17"/>
          <w:color w:val="auto"/>
        </w:rPr>
      </w:pPr>
    </w:p>
    <w:p>
      <w:pPr>
        <w:ind w:left="660" w:right="120" w:hanging="328"/>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Gross margin for the year ended December 31, 2011 was 39.0% compared to 40.1% for the year ended December 31, 2010. Outsourcing gross margin for the year ended December 31, 2011 was 39.4% compared to 40.9% for the year ended December 31, 2010. Transformation gross margin for the year ended December 31, 2011 was 37.0% compared to 37.6% for the year ended December 31, 2010. Gross margin for the quarter ended December 31, 2011 was 39.5% compared to 40.4% for the quarter ended December 31, 2010.</w:t>
      </w:r>
    </w:p>
    <w:p>
      <w:pPr>
        <w:spacing w:after="0" w:line="225" w:lineRule="exact"/>
        <w:rPr>
          <w:rFonts w:ascii="Arial" w:cs="Arial" w:eastAsia="Arial" w:hAnsi="Arial"/>
          <w:sz w:val="17"/>
          <w:szCs w:val="17"/>
          <w:color w:val="auto"/>
        </w:rPr>
      </w:pPr>
    </w:p>
    <w:p>
      <w:pPr>
        <w:ind w:left="660" w:right="20" w:hanging="328"/>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Operating margin for the year ended December 31, 2011 was 11.5% compared to 10.5% for the year ended December 31, 2010. Operating margin for the quarter ended December 31, 2011 was 12.4% compared to 11.1% for the quarter ended December 31, 2010. Adjusted operating margin for the year ended December 31, 2011 was 15.3% compared to 14.7% for the year ended December 31, 2010. Adjusted operating margin for the quarter ended December 31, 2011 was 15.9% compared to 15.1% for the quarter ended December 31, 2010.</w:t>
      </w:r>
    </w:p>
    <w:p>
      <w:pPr>
        <w:spacing w:after="0" w:line="225" w:lineRule="exact"/>
        <w:rPr>
          <w:rFonts w:ascii="Arial" w:cs="Arial" w:eastAsia="Arial" w:hAnsi="Arial"/>
          <w:sz w:val="17"/>
          <w:szCs w:val="17"/>
          <w:color w:val="auto"/>
        </w:rPr>
      </w:pPr>
    </w:p>
    <w:p>
      <w:pPr>
        <w:ind w:left="660" w:right="40" w:hanging="328"/>
        <w:spacing w:after="0" w:line="30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income for the year ended December 31, 2011 was $34.8 million compared to $26.6 million for the year ended December 31, 2010. Net income for the quarter ended December 31, 2011 was $9.6 million compared to $8.3 million for the quarter ended December 31, 2010. Adjusted EBITDA for the year ended December 31, 2011 was $73.8 million compared to $50.8 million for the year ended December 31, 2010. Adjusted EBITDA for the quarter ended December 31, 2011 was $21.5 million compared to $14.6 million for the quarter ended December 31, 2010.</w:t>
      </w:r>
    </w:p>
    <w:p>
      <w:pPr>
        <w:spacing w:after="0" w:line="208" w:lineRule="exact"/>
        <w:rPr>
          <w:rFonts w:ascii="Arial" w:cs="Arial" w:eastAsia="Arial" w:hAnsi="Arial"/>
          <w:sz w:val="16"/>
          <w:szCs w:val="16"/>
          <w:color w:val="auto"/>
        </w:rPr>
      </w:pPr>
    </w:p>
    <w:p>
      <w:pPr>
        <w:ind w:left="660" w:hanging="328"/>
        <w:spacing w:after="0" w:line="30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Diluted earnings per share for the year ended December 31, 2011 was $1.10 compared to $0.88 for the year ended December 31, 2010. Diluted earnings per share for the quarter ended December 31, 2011 was $0.29 compared to $0.27 in the quarter ended December 31, 2010. Adjusted diluted earnings per share for the year ended December 31, 2011 was $1.39 compared to $1.08 for the year ended December 31, 2010. Adjusted diluted earnings per share for the quarter ended December 31, 2011 was $0.37 compared to $0.29 in the quarter ended December 31, 2010.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Announcements</w:t>
      </w:r>
    </w:p>
    <w:p>
      <w:pPr>
        <w:spacing w:after="0" w:line="283" w:lineRule="exact"/>
        <w:rPr>
          <w:sz w:val="20"/>
          <w:szCs w:val="20"/>
          <w:color w:val="auto"/>
        </w:rPr>
      </w:pPr>
    </w:p>
    <w:p>
      <w:pPr>
        <w:ind w:left="660" w:right="6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Renewed a multi-year agreement with one of EXL’s largest strategic clients to provide an expanded range of outsourcing and transformation services.</w:t>
      </w:r>
    </w:p>
    <w:p>
      <w:pPr>
        <w:spacing w:after="0" w:line="224" w:lineRule="exact"/>
        <w:rPr>
          <w:rFonts w:ascii="Arial" w:cs="Arial" w:eastAsia="Arial" w:hAnsi="Arial"/>
          <w:sz w:val="18"/>
          <w:szCs w:val="18"/>
          <w:color w:val="auto"/>
        </w:rPr>
      </w:pPr>
    </w:p>
    <w:p>
      <w:pPr>
        <w:ind w:left="660" w:right="2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an additional center in the Philippines to deliver complex operations in insurance and healthcare, customer service and finance and accounting. The center is expected to eventually employ 800 professionals, in addition to the 1,500 professionals at EXL’s existing delivery site in the Philippines.</w:t>
      </w:r>
    </w:p>
    <w:p>
      <w:pPr>
        <w:spacing w:after="0" w:line="23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Opened the EXL Center for Talent in Noida, India in February 2012, the company’s first facility exclusively dedicated to recruitment, capability enhancement and talent development.</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Developed delivery capability from five U.S. onshore operations centers during 2011 through acquisitions and strategic client wins.</w:t>
      </w:r>
    </w:p>
    <w:p>
      <w:pPr>
        <w:spacing w:after="0" w:line="27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client concentration such that the Company’s top three clients comprised 27% of revenue in the fourth quarter of 2011, down from 41% in the fourth quarter of 2010.</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Won seventeen new clients across outsourcing and transformation services in 2011, including four clients in the fourth quarter of 2011.</w:t>
      </w:r>
    </w:p>
    <w:p>
      <w:pPr>
        <w:spacing w:after="0" w:line="279"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Broadened multiple strategic outsourcing relationships with the migration of approximately 150 outsourcing processes in 2011, including 30 new processes migrated in the fourth quarter of 2011.</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Headcount as of December 31, 2011 was approximately 18,900 compared to approximately 12,700 as of December 31, 2010.</w:t>
      </w:r>
    </w:p>
    <w:p>
      <w:pPr>
        <w:spacing w:after="0" w:line="279"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Experienced attrition for billable employees for the year ended December 31, 2011 of 31.2% compared to 34.4% in the year ended December 31, 2010. Attrition for the quarter ended December 31, 2011 was 27.8% compared to 35.5% for the quarter ended December 31, 2010, and 30.0% for the quarter ended September 30, 2011.</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2012 Outlook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Based on current visibility and exchange rates, the Company is providing the following guidance for calendar year 2012:</w:t>
      </w:r>
    </w:p>
    <w:p>
      <w:pPr>
        <w:spacing w:after="0" w:line="279" w:lineRule="exact"/>
        <w:rPr>
          <w:sz w:val="20"/>
          <w:szCs w:val="20"/>
          <w:color w:val="auto"/>
        </w:rPr>
      </w:pPr>
    </w:p>
    <w:p>
      <w:pPr>
        <w:ind w:left="660" w:right="1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of $445.0 million to $455.0 million, representing growth of 24% to 27%, excluding revenues from a one-time client payment received in 2011.</w:t>
      </w:r>
    </w:p>
    <w:p>
      <w:pPr>
        <w:spacing w:after="0" w:line="22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earnings per share, excluding the impact of stock-based compensation expense, amortization of intangibles and associated tax impacts, of $1.50 to $1.55.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2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EXL will host a conference call on Wednesday, February 29, 2012 at 10:00 a.m. (ET) to discuss the Company’s quarterly and annual results and discuss the Company’s operating performance and financial outlook. The conference call will be available live via the internet by accessing the investor relations section of EXL's website at www.exlservice.com, where the accompanying investor-friendly spreadsheet of historical operating and financial data can also be accessed. Please go to the website at least fifteen minutes prior to the call to register, download and install any necessary audio software.</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listen to the conference call via phone, please dial 1-877-303-6384 or 1-224-357-2191 and an operator will assist you. For those who cannot access the live broadcast, a replay will be available by dialing 1-855-859-2056 or 1-404-537-3406 and entering “42680211” from two hours after the end of the call until 11:59 p.m. (ET) on March 14, 2012. The replay will also be available on the EXL website (</w:t>
      </w:r>
      <w:r>
        <w:rPr>
          <w:rFonts w:ascii="Arial" w:cs="Arial" w:eastAsia="Arial" w:hAnsi="Arial"/>
          <w:sz w:val="18"/>
          <w:szCs w:val="18"/>
          <w:u w:val="single" w:color="auto"/>
          <w:color w:val="0000FF"/>
        </w:rPr>
        <w:t>www.exlservice.com</w:t>
      </w:r>
      <w:r>
        <w:rPr>
          <w:rFonts w:ascii="Arial" w:cs="Arial" w:eastAsia="Arial" w:hAnsi="Arial"/>
          <w:sz w:val="18"/>
          <w:szCs w:val="18"/>
          <w:color w:val="auto"/>
        </w:rPr>
        <w:t>) for one full year from the date of the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8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ExlService Holdings, Inc. (Nasdaq:EXLS) is a leading provider of outsourcing and transformation services. EXL primarily serves the needs of Global 1000 companies from global delivery centers in the insurance, utilities, banking and financial services, transportation and logistics, and travel sectors. EXL’s outsourcing services include a full spectrum of business process management services such as transaction processing and finance and accounting services. Transformation services enable continuous improvement of client processes by bringing together EXL’s capabilities in decision analytics, finance transformation and operations and process excellence services. Find additional information about EXL at </w:t>
      </w:r>
      <w:r>
        <w:rPr>
          <w:rFonts w:ascii="Arial" w:cs="Arial" w:eastAsia="Arial" w:hAnsi="Arial"/>
          <w:sz w:val="17"/>
          <w:szCs w:val="17"/>
          <w:u w:val="single" w:color="auto"/>
          <w:color w:val="0000FF"/>
        </w:rPr>
        <w:t>www.exlservice.com</w:t>
      </w:r>
      <w:r>
        <w:rPr>
          <w:rFonts w:ascii="Arial" w:cs="Arial" w:eastAsia="Arial" w:hAnsi="Arial"/>
          <w:sz w:val="17"/>
          <w:szCs w:val="17"/>
          <w:color w:val="auto"/>
        </w:rPr>
        <w:t>.</w:t>
      </w:r>
    </w:p>
    <w:p>
      <w:pPr>
        <w:spacing w:after="0" w:line="2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2010.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3"/>
              </w:rPr>
              <w:t>(Audited)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90"/>
              </w:rPr>
              <w:t>Year ended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20"/>
                <w:szCs w:val="20"/>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6F4F9"/>
          </w:tcPr>
          <w:p>
            <w:pPr>
              <w:spacing w:after="0"/>
              <w:rPr>
                <w:sz w:val="20"/>
                <w:szCs w:val="20"/>
                <w:color w:val="auto"/>
              </w:rPr>
            </w:pPr>
            <w:r>
              <w:rPr>
                <w:rFonts w:ascii="Arial" w:cs="Arial" w:eastAsia="Arial" w:hAnsi="Arial"/>
                <w:sz w:val="18"/>
                <w:szCs w:val="18"/>
                <w:color w:val="auto"/>
              </w:rPr>
              <w:t>Revenues</w:t>
            </w:r>
          </w:p>
        </w:tc>
        <w:tc>
          <w:tcPr>
            <w:tcW w:w="182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360,541</w:t>
            </w:r>
          </w:p>
        </w:tc>
        <w:tc>
          <w:tcPr>
            <w:tcW w:w="420" w:type="dxa"/>
            <w:vAlign w:val="bottom"/>
            <w:gridSpan w:val="2"/>
            <w:shd w:val="clear" w:color="auto" w:fill="C6F4F9"/>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6F4F9"/>
          </w:tcPr>
          <w:p>
            <w:pPr>
              <w:jc w:val="right"/>
              <w:ind w:right="200"/>
              <w:spacing w:after="0"/>
              <w:rPr>
                <w:sz w:val="20"/>
                <w:szCs w:val="20"/>
                <w:color w:val="auto"/>
              </w:rPr>
            </w:pPr>
            <w:r>
              <w:rPr>
                <w:rFonts w:ascii="Arial" w:cs="Arial" w:eastAsia="Arial" w:hAnsi="Arial"/>
                <w:sz w:val="18"/>
                <w:szCs w:val="18"/>
                <w:color w:val="auto"/>
              </w:rPr>
              <w:t>252,753</w:t>
            </w:r>
          </w:p>
        </w:tc>
        <w:tc>
          <w:tcPr>
            <w:tcW w:w="220" w:type="dxa"/>
            <w:vAlign w:val="bottom"/>
            <w:shd w:val="clear" w:color="auto" w:fill="C6F4F9"/>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102,580</w:t>
            </w:r>
          </w:p>
        </w:tc>
        <w:tc>
          <w:tcPr>
            <w:tcW w:w="28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70,040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rPr>
              <w:t>Cost of revenues (exclusive of depreciation</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and amortization)</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219,987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151,285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62,015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41,769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60" w:type="dxa"/>
            <w:vAlign w:val="bottom"/>
            <w:shd w:val="clear" w:color="auto" w:fill="C6F4F9"/>
          </w:tcPr>
          <w:p>
            <w:pPr>
              <w:spacing w:after="0"/>
              <w:rPr>
                <w:sz w:val="20"/>
                <w:szCs w:val="20"/>
                <w:color w:val="auto"/>
              </w:rPr>
            </w:pPr>
            <w:r>
              <w:rPr>
                <w:rFonts w:ascii="Arial" w:cs="Arial" w:eastAsia="Arial" w:hAnsi="Arial"/>
                <w:sz w:val="18"/>
                <w:szCs w:val="18"/>
                <w:color w:val="auto"/>
              </w:rPr>
              <w:t>Gross profit</w:t>
            </w:r>
          </w:p>
        </w:tc>
        <w:tc>
          <w:tcPr>
            <w:tcW w:w="1600" w:type="dxa"/>
            <w:vAlign w:val="bottom"/>
            <w:shd w:val="clear" w:color="auto" w:fill="C6F4F9"/>
          </w:tcPr>
          <w:p>
            <w:pPr>
              <w:spacing w:after="0"/>
              <w:rPr>
                <w:sz w:val="19"/>
                <w:szCs w:val="19"/>
                <w:color w:val="auto"/>
              </w:rPr>
            </w:pPr>
          </w:p>
        </w:tc>
        <w:tc>
          <w:tcPr>
            <w:tcW w:w="220" w:type="dxa"/>
            <w:vAlign w:val="bottom"/>
            <w:shd w:val="clear" w:color="auto" w:fill="C6F4F9"/>
          </w:tcPr>
          <w:p>
            <w:pPr>
              <w:spacing w:after="0"/>
              <w:rPr>
                <w:sz w:val="19"/>
                <w:szCs w:val="19"/>
                <w:color w:val="auto"/>
              </w:rPr>
            </w:pPr>
          </w:p>
        </w:tc>
        <w:tc>
          <w:tcPr>
            <w:tcW w:w="9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140,554</w:t>
            </w:r>
          </w:p>
        </w:tc>
        <w:tc>
          <w:tcPr>
            <w:tcW w:w="120" w:type="dxa"/>
            <w:vAlign w:val="bottom"/>
            <w:shd w:val="clear" w:color="auto" w:fill="C6F4F9"/>
          </w:tcPr>
          <w:p>
            <w:pPr>
              <w:spacing w:after="0"/>
              <w:rPr>
                <w:sz w:val="19"/>
                <w:szCs w:val="19"/>
                <w:color w:val="auto"/>
              </w:rPr>
            </w:pPr>
          </w:p>
        </w:tc>
        <w:tc>
          <w:tcPr>
            <w:tcW w:w="12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8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101,468</w:t>
            </w:r>
          </w:p>
        </w:tc>
        <w:tc>
          <w:tcPr>
            <w:tcW w:w="200" w:type="dxa"/>
            <w:vAlign w:val="bottom"/>
            <w:shd w:val="clear" w:color="auto" w:fill="C6F4F9"/>
          </w:tcPr>
          <w:p>
            <w:pPr>
              <w:spacing w:after="0"/>
              <w:rPr>
                <w:sz w:val="19"/>
                <w:szCs w:val="19"/>
                <w:color w:val="auto"/>
              </w:rPr>
            </w:pPr>
          </w:p>
        </w:tc>
        <w:tc>
          <w:tcPr>
            <w:tcW w:w="220" w:type="dxa"/>
            <w:vAlign w:val="bottom"/>
            <w:shd w:val="clear" w:color="auto" w:fill="C6F4F9"/>
          </w:tcPr>
          <w:p>
            <w:pPr>
              <w:spacing w:after="0"/>
              <w:rPr>
                <w:sz w:val="19"/>
                <w:szCs w:val="19"/>
                <w:color w:val="auto"/>
              </w:rPr>
            </w:pPr>
          </w:p>
        </w:tc>
        <w:tc>
          <w:tcPr>
            <w:tcW w:w="10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40,565</w:t>
            </w:r>
          </w:p>
        </w:tc>
        <w:tc>
          <w:tcPr>
            <w:tcW w:w="80" w:type="dxa"/>
            <w:vAlign w:val="bottom"/>
            <w:shd w:val="clear" w:color="auto" w:fill="C6F4F9"/>
          </w:tcPr>
          <w:p>
            <w:pPr>
              <w:spacing w:after="0"/>
              <w:rPr>
                <w:sz w:val="19"/>
                <w:szCs w:val="19"/>
                <w:color w:val="auto"/>
              </w:rPr>
            </w:pPr>
          </w:p>
        </w:tc>
        <w:tc>
          <w:tcPr>
            <w:tcW w:w="2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28,271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top w:val="single" w:sz="8" w:color="C6F4F9"/>
            </w:tcBorders>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tcBorders>
              <w:top w:val="single" w:sz="8" w:color="C6F4F9"/>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6F4F9"/>
            </w:tcBorders>
          </w:tcPr>
          <w:p>
            <w:pPr>
              <w:spacing w:after="0"/>
              <w:rPr>
                <w:sz w:val="18"/>
                <w:szCs w:val="18"/>
                <w:color w:val="auto"/>
              </w:rPr>
            </w:pPr>
          </w:p>
        </w:tc>
        <w:tc>
          <w:tcPr>
            <w:tcW w:w="120" w:type="dxa"/>
            <w:vAlign w:val="bottom"/>
            <w:tcBorders>
              <w:top w:val="single" w:sz="8" w:color="C6F4F9"/>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6F4F9"/>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6F4F9"/>
            </w:tcBorders>
          </w:tcPr>
          <w:p>
            <w:pPr>
              <w:spacing w:after="0"/>
              <w:rPr>
                <w:sz w:val="18"/>
                <w:szCs w:val="18"/>
                <w:color w:val="auto"/>
              </w:rPr>
            </w:pPr>
          </w:p>
        </w:tc>
        <w:tc>
          <w:tcPr>
            <w:tcW w:w="80" w:type="dxa"/>
            <w:vAlign w:val="bottom"/>
            <w:tcBorders>
              <w:top w:val="single" w:sz="8" w:color="C6F4F9"/>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6F4F9"/>
          </w:tcPr>
          <w:p>
            <w:pPr>
              <w:ind w:left="640"/>
              <w:spacing w:after="0"/>
              <w:rPr>
                <w:sz w:val="20"/>
                <w:szCs w:val="20"/>
                <w:color w:val="auto"/>
              </w:rPr>
            </w:pPr>
            <w:r>
              <w:rPr>
                <w:rFonts w:ascii="Arial" w:cs="Arial" w:eastAsia="Arial" w:hAnsi="Arial"/>
                <w:sz w:val="18"/>
                <w:szCs w:val="18"/>
                <w:color w:val="auto"/>
              </w:rPr>
              <w:t>General and administrative expenses</w:t>
            </w:r>
          </w:p>
        </w:tc>
        <w:tc>
          <w:tcPr>
            <w:tcW w:w="16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50,660</w:t>
            </w:r>
          </w:p>
        </w:tc>
        <w:tc>
          <w:tcPr>
            <w:tcW w:w="1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200"/>
              <w:spacing w:after="0"/>
              <w:rPr>
                <w:sz w:val="20"/>
                <w:szCs w:val="20"/>
                <w:color w:val="auto"/>
              </w:rPr>
            </w:pPr>
            <w:r>
              <w:rPr>
                <w:rFonts w:ascii="Arial" w:cs="Arial" w:eastAsia="Arial" w:hAnsi="Arial"/>
                <w:sz w:val="18"/>
                <w:szCs w:val="18"/>
                <w:color w:val="auto"/>
              </w:rPr>
              <w:t>40,278</w:t>
            </w:r>
          </w:p>
        </w:tc>
        <w:tc>
          <w:tcPr>
            <w:tcW w:w="22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14,545</w:t>
            </w: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11,040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640"/>
              <w:spacing w:after="0"/>
              <w:rPr>
                <w:sz w:val="20"/>
                <w:szCs w:val="20"/>
                <w:color w:val="auto"/>
              </w:rPr>
            </w:pPr>
            <w:r>
              <w:rPr>
                <w:rFonts w:ascii="Arial" w:cs="Arial" w:eastAsia="Arial" w:hAnsi="Arial"/>
                <w:sz w:val="18"/>
                <w:szCs w:val="18"/>
                <w:color w:val="auto"/>
              </w:rPr>
              <w:t>Selling and marketing expenses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25,582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18,832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6F4F9"/>
          </w:tcPr>
          <w:p>
            <w:pPr>
              <w:ind w:left="640"/>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9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22,994</w:t>
            </w:r>
          </w:p>
        </w:tc>
        <w:tc>
          <w:tcPr>
            <w:tcW w:w="1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8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15,835</w:t>
            </w:r>
          </w:p>
        </w:tc>
        <w:tc>
          <w:tcPr>
            <w:tcW w:w="2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6,589</w:t>
            </w: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C6F4F9"/>
          </w:tcPr>
          <w:p>
            <w:pPr>
              <w:spacing w:after="0"/>
              <w:rPr>
                <w:sz w:val="2"/>
                <w:szCs w:val="2"/>
                <w:color w:val="auto"/>
              </w:rPr>
            </w:pPr>
          </w:p>
        </w:tc>
        <w:tc>
          <w:tcPr>
            <w:tcW w:w="1600" w:type="dxa"/>
            <w:vAlign w:val="bottom"/>
            <w:shd w:val="clear" w:color="auto" w:fill="C6F4F9"/>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6F4F9"/>
          </w:tcPr>
          <w:p>
            <w:pPr>
              <w:spacing w:after="0"/>
              <w:rPr>
                <w:sz w:val="2"/>
                <w:szCs w:val="2"/>
                <w:color w:val="auto"/>
              </w:rPr>
            </w:pPr>
          </w:p>
        </w:tc>
        <w:tc>
          <w:tcPr>
            <w:tcW w:w="120" w:type="dxa"/>
            <w:vAlign w:val="bottom"/>
            <w:shd w:val="clear" w:color="auto" w:fill="C6F4F9"/>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6F4F9"/>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6F4F9"/>
          </w:tcPr>
          <w:p>
            <w:pPr>
              <w:spacing w:after="0"/>
              <w:rPr>
                <w:sz w:val="2"/>
                <w:szCs w:val="2"/>
                <w:color w:val="auto"/>
              </w:rPr>
            </w:pPr>
          </w:p>
        </w:tc>
        <w:tc>
          <w:tcPr>
            <w:tcW w:w="80" w:type="dxa"/>
            <w:vAlign w:val="bottom"/>
            <w:shd w:val="clear" w:color="auto" w:fill="C6F4F9"/>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6F4F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99,236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27,823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20,479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6F4F9"/>
          </w:tcPr>
          <w:p>
            <w:pPr>
              <w:spacing w:after="0"/>
              <w:rPr>
                <w:sz w:val="20"/>
                <w:szCs w:val="20"/>
                <w:color w:val="auto"/>
              </w:rPr>
            </w:pPr>
            <w:r>
              <w:rPr>
                <w:rFonts w:ascii="Arial" w:cs="Arial" w:eastAsia="Arial" w:hAnsi="Arial"/>
                <w:sz w:val="18"/>
                <w:szCs w:val="18"/>
                <w:color w:val="auto"/>
              </w:rPr>
              <w:t>Income from operations</w:t>
            </w:r>
          </w:p>
        </w:tc>
        <w:tc>
          <w:tcPr>
            <w:tcW w:w="16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9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41,318</w:t>
            </w:r>
          </w:p>
        </w:tc>
        <w:tc>
          <w:tcPr>
            <w:tcW w:w="1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8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26,523</w:t>
            </w:r>
          </w:p>
        </w:tc>
        <w:tc>
          <w:tcPr>
            <w:tcW w:w="2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12,742</w:t>
            </w: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7,792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income/(expense):</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6F4F9"/>
          </w:tcPr>
          <w:p>
            <w:pPr>
              <w:ind w:left="640"/>
              <w:spacing w:after="0"/>
              <w:rPr>
                <w:sz w:val="20"/>
                <w:szCs w:val="20"/>
                <w:color w:val="auto"/>
              </w:rPr>
            </w:pPr>
            <w:r>
              <w:rPr>
                <w:rFonts w:ascii="Arial" w:cs="Arial" w:eastAsia="Arial" w:hAnsi="Arial"/>
                <w:sz w:val="18"/>
                <w:szCs w:val="18"/>
                <w:color w:val="auto"/>
              </w:rPr>
              <w:t>Foreign exchange gain/(loss)</w:t>
            </w:r>
          </w:p>
        </w:tc>
        <w:tc>
          <w:tcPr>
            <w:tcW w:w="16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3,373</w:t>
            </w:r>
          </w:p>
        </w:tc>
        <w:tc>
          <w:tcPr>
            <w:tcW w:w="1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200"/>
              <w:spacing w:after="0"/>
              <w:rPr>
                <w:sz w:val="20"/>
                <w:szCs w:val="20"/>
                <w:color w:val="auto"/>
              </w:rPr>
            </w:pPr>
            <w:r>
              <w:rPr>
                <w:rFonts w:ascii="Arial" w:cs="Arial" w:eastAsia="Arial" w:hAnsi="Arial"/>
                <w:sz w:val="18"/>
                <w:szCs w:val="18"/>
                <w:color w:val="auto"/>
              </w:rPr>
              <w:t>4,199</w:t>
            </w:r>
          </w:p>
        </w:tc>
        <w:tc>
          <w:tcPr>
            <w:tcW w:w="22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80"/>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640"/>
              <w:spacing w:after="0"/>
              <w:rPr>
                <w:sz w:val="20"/>
                <w:szCs w:val="20"/>
                <w:color w:val="auto"/>
              </w:rPr>
            </w:pPr>
            <w:r>
              <w:rPr>
                <w:rFonts w:ascii="Arial" w:cs="Arial" w:eastAsia="Arial" w:hAnsi="Arial"/>
                <w:sz w:val="18"/>
                <w:szCs w:val="18"/>
                <w:color w:val="auto"/>
              </w:rPr>
              <w:t>Interest and other income, net</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6F4F9"/>
          </w:tcPr>
          <w:p>
            <w:pPr>
              <w:spacing w:after="0"/>
              <w:rPr>
                <w:sz w:val="20"/>
                <w:szCs w:val="20"/>
                <w:color w:val="auto"/>
              </w:rPr>
            </w:pPr>
            <w:r>
              <w:rPr>
                <w:rFonts w:ascii="Arial" w:cs="Arial" w:eastAsia="Arial" w:hAnsi="Arial"/>
                <w:sz w:val="18"/>
                <w:szCs w:val="18"/>
                <w:color w:val="auto"/>
              </w:rPr>
              <w:t>Income before income taxes</w:t>
            </w:r>
          </w:p>
        </w:tc>
        <w:tc>
          <w:tcPr>
            <w:tcW w:w="16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9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46,648</w:t>
            </w:r>
          </w:p>
        </w:tc>
        <w:tc>
          <w:tcPr>
            <w:tcW w:w="1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8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32,089</w:t>
            </w:r>
          </w:p>
        </w:tc>
        <w:tc>
          <w:tcPr>
            <w:tcW w:w="2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12,782</w:t>
            </w: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9,912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tax provision</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60" w:type="dxa"/>
            <w:vAlign w:val="bottom"/>
            <w:shd w:val="clear" w:color="auto" w:fill="C6F4F9"/>
          </w:tcPr>
          <w:p>
            <w:pPr>
              <w:spacing w:after="0"/>
              <w:rPr>
                <w:sz w:val="20"/>
                <w:szCs w:val="20"/>
                <w:color w:val="auto"/>
              </w:rPr>
            </w:pPr>
            <w:r>
              <w:rPr>
                <w:rFonts w:ascii="Arial" w:cs="Arial" w:eastAsia="Arial" w:hAnsi="Arial"/>
                <w:sz w:val="18"/>
                <w:szCs w:val="18"/>
                <w:color w:val="auto"/>
              </w:rPr>
              <w:t>Net income</w:t>
            </w:r>
          </w:p>
        </w:tc>
        <w:tc>
          <w:tcPr>
            <w:tcW w:w="182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34,780</w:t>
            </w:r>
          </w:p>
        </w:tc>
        <w:tc>
          <w:tcPr>
            <w:tcW w:w="420" w:type="dxa"/>
            <w:vAlign w:val="bottom"/>
            <w:gridSpan w:val="2"/>
            <w:shd w:val="clear" w:color="auto" w:fill="C6F4F9"/>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6F4F9"/>
          </w:tcPr>
          <w:p>
            <w:pPr>
              <w:jc w:val="right"/>
              <w:ind w:right="200"/>
              <w:spacing w:after="0"/>
              <w:rPr>
                <w:sz w:val="20"/>
                <w:szCs w:val="20"/>
                <w:color w:val="auto"/>
              </w:rPr>
            </w:pPr>
            <w:r>
              <w:rPr>
                <w:rFonts w:ascii="Arial" w:cs="Arial" w:eastAsia="Arial" w:hAnsi="Arial"/>
                <w:sz w:val="18"/>
                <w:szCs w:val="18"/>
                <w:color w:val="auto"/>
              </w:rPr>
              <w:t>26,592</w:t>
            </w:r>
          </w:p>
        </w:tc>
        <w:tc>
          <w:tcPr>
            <w:tcW w:w="220" w:type="dxa"/>
            <w:vAlign w:val="bottom"/>
            <w:shd w:val="clear" w:color="auto" w:fill="C6F4F9"/>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9,553</w:t>
            </w:r>
          </w:p>
        </w:tc>
        <w:tc>
          <w:tcPr>
            <w:tcW w:w="28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8,296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6F4F9"/>
            </w:tcBorders>
          </w:tcPr>
          <w:p>
            <w:pPr>
              <w:spacing w:after="0"/>
              <w:rPr>
                <w:sz w:val="20"/>
                <w:szCs w:val="20"/>
                <w:color w:val="auto"/>
              </w:rPr>
            </w:pPr>
            <w:r>
              <w:rPr>
                <w:rFonts w:ascii="Arial" w:cs="Arial" w:eastAsia="Arial" w:hAnsi="Arial"/>
                <w:sz w:val="18"/>
                <w:szCs w:val="18"/>
                <w:color w:val="auto"/>
              </w:rPr>
              <w:t>Earnings per share:</w:t>
            </w:r>
          </w:p>
        </w:tc>
        <w:tc>
          <w:tcPr>
            <w:tcW w:w="1600" w:type="dxa"/>
            <w:vAlign w:val="bottom"/>
            <w:tcBorders>
              <w:top w:val="single" w:sz="8" w:color="C6F4F9"/>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6F4F9"/>
            </w:tcBorders>
          </w:tcPr>
          <w:p>
            <w:pPr>
              <w:spacing w:after="0"/>
              <w:rPr>
                <w:sz w:val="18"/>
                <w:szCs w:val="18"/>
                <w:color w:val="auto"/>
              </w:rPr>
            </w:pPr>
          </w:p>
        </w:tc>
        <w:tc>
          <w:tcPr>
            <w:tcW w:w="120" w:type="dxa"/>
            <w:vAlign w:val="bottom"/>
            <w:tcBorders>
              <w:top w:val="single" w:sz="8" w:color="C6F4F9"/>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6F4F9"/>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6F4F9"/>
            </w:tcBorders>
          </w:tcPr>
          <w:p>
            <w:pPr>
              <w:spacing w:after="0"/>
              <w:rPr>
                <w:sz w:val="18"/>
                <w:szCs w:val="18"/>
                <w:color w:val="auto"/>
              </w:rPr>
            </w:pPr>
          </w:p>
        </w:tc>
        <w:tc>
          <w:tcPr>
            <w:tcW w:w="80" w:type="dxa"/>
            <w:vAlign w:val="bottom"/>
            <w:tcBorders>
              <w:top w:val="single" w:sz="8" w:color="C6F4F9"/>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6F4F9"/>
          </w:tcPr>
          <w:p>
            <w:pPr>
              <w:ind w:left="640"/>
              <w:spacing w:after="0"/>
              <w:rPr>
                <w:sz w:val="20"/>
                <w:szCs w:val="20"/>
                <w:color w:val="auto"/>
              </w:rPr>
            </w:pPr>
            <w:r>
              <w:rPr>
                <w:rFonts w:ascii="Arial" w:cs="Arial" w:eastAsia="Arial" w:hAnsi="Arial"/>
                <w:sz w:val="18"/>
                <w:szCs w:val="18"/>
                <w:color w:val="auto"/>
              </w:rPr>
              <w:t>Basic</w:t>
            </w:r>
          </w:p>
        </w:tc>
        <w:tc>
          <w:tcPr>
            <w:tcW w:w="182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1.15</w:t>
            </w:r>
          </w:p>
        </w:tc>
        <w:tc>
          <w:tcPr>
            <w:tcW w:w="420" w:type="dxa"/>
            <w:vAlign w:val="bottom"/>
            <w:gridSpan w:val="2"/>
            <w:shd w:val="clear" w:color="auto" w:fill="C6F4F9"/>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6F4F9"/>
          </w:tcPr>
          <w:p>
            <w:pPr>
              <w:jc w:val="right"/>
              <w:ind w:right="200"/>
              <w:spacing w:after="0"/>
              <w:rPr>
                <w:sz w:val="20"/>
                <w:szCs w:val="20"/>
                <w:color w:val="auto"/>
              </w:rPr>
            </w:pPr>
            <w:r>
              <w:rPr>
                <w:rFonts w:ascii="Arial" w:cs="Arial" w:eastAsia="Arial" w:hAnsi="Arial"/>
                <w:sz w:val="18"/>
                <w:szCs w:val="18"/>
                <w:color w:val="auto"/>
              </w:rPr>
              <w:t>0.91</w:t>
            </w:r>
          </w:p>
        </w:tc>
        <w:tc>
          <w:tcPr>
            <w:tcW w:w="220" w:type="dxa"/>
            <w:vAlign w:val="bottom"/>
            <w:shd w:val="clear" w:color="auto" w:fill="C6F4F9"/>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0.31</w:t>
            </w:r>
          </w:p>
        </w:tc>
        <w:tc>
          <w:tcPr>
            <w:tcW w:w="28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640"/>
              <w:spacing w:after="0"/>
              <w:rPr>
                <w:sz w:val="20"/>
                <w:szCs w:val="20"/>
                <w:color w:val="auto"/>
              </w:rPr>
            </w:pPr>
            <w:r>
              <w:rPr>
                <w:rFonts w:ascii="Arial" w:cs="Arial" w:eastAsia="Arial" w:hAnsi="Arial"/>
                <w:sz w:val="18"/>
                <w:szCs w:val="18"/>
                <w:color w:val="auto"/>
              </w:rPr>
              <w:t>Diluted</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0.88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6F4F9"/>
          </w:tcPr>
          <w:p>
            <w:pPr>
              <w:spacing w:after="0" w:line="201" w:lineRule="exact"/>
              <w:rPr>
                <w:sz w:val="20"/>
                <w:szCs w:val="20"/>
                <w:color w:val="auto"/>
              </w:rPr>
            </w:pPr>
            <w:r>
              <w:rPr>
                <w:rFonts w:ascii="Arial" w:cs="Arial" w:eastAsia="Arial" w:hAnsi="Arial"/>
                <w:sz w:val="18"/>
                <w:szCs w:val="18"/>
                <w:color w:val="auto"/>
              </w:rPr>
              <w:t>Weighted-average number of shares used in</w:t>
            </w:r>
          </w:p>
        </w:tc>
        <w:tc>
          <w:tcPr>
            <w:tcW w:w="160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940" w:type="dxa"/>
            <w:vAlign w:val="bottom"/>
            <w:shd w:val="clear" w:color="auto" w:fill="C6F4F9"/>
          </w:tcPr>
          <w:p>
            <w:pPr>
              <w:spacing w:after="0"/>
              <w:rPr>
                <w:sz w:val="17"/>
                <w:szCs w:val="17"/>
                <w:color w:val="auto"/>
              </w:rPr>
            </w:pPr>
          </w:p>
        </w:tc>
        <w:tc>
          <w:tcPr>
            <w:tcW w:w="120" w:type="dxa"/>
            <w:vAlign w:val="bottom"/>
            <w:shd w:val="clear" w:color="auto" w:fill="C6F4F9"/>
          </w:tcPr>
          <w:p>
            <w:pPr>
              <w:spacing w:after="0"/>
              <w:rPr>
                <w:sz w:val="17"/>
                <w:szCs w:val="17"/>
                <w:color w:val="auto"/>
              </w:rPr>
            </w:pPr>
          </w:p>
        </w:tc>
        <w:tc>
          <w:tcPr>
            <w:tcW w:w="12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840" w:type="dxa"/>
            <w:vAlign w:val="bottom"/>
            <w:shd w:val="clear" w:color="auto" w:fill="C6F4F9"/>
          </w:tcPr>
          <w:p>
            <w:pPr>
              <w:spacing w:after="0"/>
              <w:rPr>
                <w:sz w:val="17"/>
                <w:szCs w:val="17"/>
                <w:color w:val="auto"/>
              </w:rPr>
            </w:pPr>
          </w:p>
        </w:tc>
        <w:tc>
          <w:tcPr>
            <w:tcW w:w="20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92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80" w:type="dxa"/>
            <w:vAlign w:val="bottom"/>
            <w:shd w:val="clear" w:color="auto" w:fill="C6F4F9"/>
          </w:tcPr>
          <w:p>
            <w:pPr>
              <w:spacing w:after="0"/>
              <w:rPr>
                <w:sz w:val="17"/>
                <w:szCs w:val="17"/>
                <w:color w:val="auto"/>
              </w:rPr>
            </w:pPr>
          </w:p>
        </w:tc>
        <w:tc>
          <w:tcPr>
            <w:tcW w:w="200" w:type="dxa"/>
            <w:vAlign w:val="bottom"/>
            <w:shd w:val="clear" w:color="auto" w:fill="C6F4F9"/>
          </w:tcPr>
          <w:p>
            <w:pPr>
              <w:spacing w:after="0"/>
              <w:rPr>
                <w:sz w:val="17"/>
                <w:szCs w:val="17"/>
                <w:color w:val="auto"/>
              </w:rPr>
            </w:pPr>
          </w:p>
        </w:tc>
        <w:tc>
          <w:tcPr>
            <w:tcW w:w="940" w:type="dxa"/>
            <w:vAlign w:val="bottom"/>
            <w:shd w:val="clear" w:color="auto" w:fill="C6F4F9"/>
          </w:tcPr>
          <w:p>
            <w:pPr>
              <w:spacing w:after="0"/>
              <w:rPr>
                <w:sz w:val="17"/>
                <w:szCs w:val="17"/>
                <w:color w:val="auto"/>
              </w:rPr>
            </w:pPr>
          </w:p>
        </w:tc>
        <w:tc>
          <w:tcPr>
            <w:tcW w:w="10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6F4F9"/>
          </w:tcPr>
          <w:p>
            <w:pPr>
              <w:ind w:left="320"/>
              <w:spacing w:after="0"/>
              <w:rPr>
                <w:sz w:val="20"/>
                <w:szCs w:val="20"/>
                <w:color w:val="auto"/>
              </w:rPr>
            </w:pPr>
            <w:r>
              <w:rPr>
                <w:rFonts w:ascii="Arial" w:cs="Arial" w:eastAsia="Arial" w:hAnsi="Arial"/>
                <w:sz w:val="18"/>
                <w:szCs w:val="18"/>
                <w:color w:val="auto"/>
              </w:rPr>
              <w:t>computing earnings per share:</w:t>
            </w:r>
          </w:p>
        </w:tc>
        <w:tc>
          <w:tcPr>
            <w:tcW w:w="1600" w:type="dxa"/>
            <w:vAlign w:val="bottom"/>
            <w:shd w:val="clear" w:color="auto" w:fill="C6F4F9"/>
          </w:tcPr>
          <w:p>
            <w:pPr>
              <w:spacing w:after="0"/>
              <w:rPr>
                <w:sz w:val="20"/>
                <w:szCs w:val="20"/>
                <w:color w:val="auto"/>
              </w:rPr>
            </w:pPr>
          </w:p>
        </w:tc>
        <w:tc>
          <w:tcPr>
            <w:tcW w:w="220" w:type="dxa"/>
            <w:vAlign w:val="bottom"/>
            <w:shd w:val="clear" w:color="auto" w:fill="C6F4F9"/>
          </w:tcPr>
          <w:p>
            <w:pPr>
              <w:spacing w:after="0"/>
              <w:rPr>
                <w:sz w:val="20"/>
                <w:szCs w:val="20"/>
                <w:color w:val="auto"/>
              </w:rPr>
            </w:pPr>
          </w:p>
        </w:tc>
        <w:tc>
          <w:tcPr>
            <w:tcW w:w="940" w:type="dxa"/>
            <w:vAlign w:val="bottom"/>
            <w:shd w:val="clear" w:color="auto" w:fill="C6F4F9"/>
          </w:tcPr>
          <w:p>
            <w:pPr>
              <w:spacing w:after="0"/>
              <w:rPr>
                <w:sz w:val="20"/>
                <w:szCs w:val="20"/>
                <w:color w:val="auto"/>
              </w:rPr>
            </w:pPr>
          </w:p>
        </w:tc>
        <w:tc>
          <w:tcPr>
            <w:tcW w:w="120" w:type="dxa"/>
            <w:vAlign w:val="bottom"/>
            <w:shd w:val="clear" w:color="auto" w:fill="C6F4F9"/>
          </w:tcPr>
          <w:p>
            <w:pPr>
              <w:spacing w:after="0"/>
              <w:rPr>
                <w:sz w:val="20"/>
                <w:szCs w:val="20"/>
                <w:color w:val="auto"/>
              </w:rPr>
            </w:pPr>
          </w:p>
        </w:tc>
        <w:tc>
          <w:tcPr>
            <w:tcW w:w="120" w:type="dxa"/>
            <w:vAlign w:val="bottom"/>
            <w:shd w:val="clear" w:color="auto" w:fill="C6F4F9"/>
          </w:tcPr>
          <w:p>
            <w:pPr>
              <w:spacing w:after="0"/>
              <w:rPr>
                <w:sz w:val="20"/>
                <w:szCs w:val="20"/>
                <w:color w:val="auto"/>
              </w:rPr>
            </w:pPr>
          </w:p>
        </w:tc>
        <w:tc>
          <w:tcPr>
            <w:tcW w:w="300" w:type="dxa"/>
            <w:vAlign w:val="bottom"/>
            <w:shd w:val="clear" w:color="auto" w:fill="C6F4F9"/>
          </w:tcPr>
          <w:p>
            <w:pPr>
              <w:spacing w:after="0"/>
              <w:rPr>
                <w:sz w:val="20"/>
                <w:szCs w:val="20"/>
                <w:color w:val="auto"/>
              </w:rPr>
            </w:pPr>
          </w:p>
        </w:tc>
        <w:tc>
          <w:tcPr>
            <w:tcW w:w="840" w:type="dxa"/>
            <w:vAlign w:val="bottom"/>
            <w:shd w:val="clear" w:color="auto" w:fill="C6F4F9"/>
          </w:tcPr>
          <w:p>
            <w:pPr>
              <w:spacing w:after="0"/>
              <w:rPr>
                <w:sz w:val="20"/>
                <w:szCs w:val="20"/>
                <w:color w:val="auto"/>
              </w:rPr>
            </w:pPr>
          </w:p>
        </w:tc>
        <w:tc>
          <w:tcPr>
            <w:tcW w:w="200" w:type="dxa"/>
            <w:vAlign w:val="bottom"/>
            <w:shd w:val="clear" w:color="auto" w:fill="C6F4F9"/>
          </w:tcPr>
          <w:p>
            <w:pPr>
              <w:spacing w:after="0"/>
              <w:rPr>
                <w:sz w:val="20"/>
                <w:szCs w:val="20"/>
                <w:color w:val="auto"/>
              </w:rPr>
            </w:pPr>
          </w:p>
        </w:tc>
        <w:tc>
          <w:tcPr>
            <w:tcW w:w="220" w:type="dxa"/>
            <w:vAlign w:val="bottom"/>
            <w:shd w:val="clear" w:color="auto" w:fill="C6F4F9"/>
          </w:tcPr>
          <w:p>
            <w:pPr>
              <w:spacing w:after="0"/>
              <w:rPr>
                <w:sz w:val="20"/>
                <w:szCs w:val="20"/>
                <w:color w:val="auto"/>
              </w:rPr>
            </w:pPr>
          </w:p>
        </w:tc>
        <w:tc>
          <w:tcPr>
            <w:tcW w:w="920" w:type="dxa"/>
            <w:vAlign w:val="bottom"/>
            <w:shd w:val="clear" w:color="auto" w:fill="C6F4F9"/>
          </w:tcPr>
          <w:p>
            <w:pPr>
              <w:spacing w:after="0"/>
              <w:rPr>
                <w:sz w:val="20"/>
                <w:szCs w:val="20"/>
                <w:color w:val="auto"/>
              </w:rPr>
            </w:pPr>
          </w:p>
        </w:tc>
        <w:tc>
          <w:tcPr>
            <w:tcW w:w="140" w:type="dxa"/>
            <w:vAlign w:val="bottom"/>
            <w:shd w:val="clear" w:color="auto" w:fill="C6F4F9"/>
          </w:tcPr>
          <w:p>
            <w:pPr>
              <w:spacing w:after="0"/>
              <w:rPr>
                <w:sz w:val="20"/>
                <w:szCs w:val="20"/>
                <w:color w:val="auto"/>
              </w:rPr>
            </w:pPr>
          </w:p>
        </w:tc>
        <w:tc>
          <w:tcPr>
            <w:tcW w:w="80" w:type="dxa"/>
            <w:vAlign w:val="bottom"/>
            <w:shd w:val="clear" w:color="auto" w:fill="C6F4F9"/>
          </w:tcPr>
          <w:p>
            <w:pPr>
              <w:spacing w:after="0"/>
              <w:rPr>
                <w:sz w:val="20"/>
                <w:szCs w:val="20"/>
                <w:color w:val="auto"/>
              </w:rPr>
            </w:pPr>
          </w:p>
        </w:tc>
        <w:tc>
          <w:tcPr>
            <w:tcW w:w="200" w:type="dxa"/>
            <w:vAlign w:val="bottom"/>
            <w:shd w:val="clear" w:color="auto" w:fill="C6F4F9"/>
          </w:tcPr>
          <w:p>
            <w:pPr>
              <w:spacing w:after="0"/>
              <w:rPr>
                <w:sz w:val="20"/>
                <w:szCs w:val="20"/>
                <w:color w:val="auto"/>
              </w:rPr>
            </w:pPr>
          </w:p>
        </w:tc>
        <w:tc>
          <w:tcPr>
            <w:tcW w:w="940" w:type="dxa"/>
            <w:vAlign w:val="bottom"/>
            <w:shd w:val="clear" w:color="auto" w:fill="C6F4F9"/>
          </w:tcPr>
          <w:p>
            <w:pPr>
              <w:spacing w:after="0"/>
              <w:rPr>
                <w:sz w:val="20"/>
                <w:szCs w:val="20"/>
                <w:color w:val="auto"/>
              </w:rPr>
            </w:pPr>
          </w:p>
        </w:tc>
        <w:tc>
          <w:tcPr>
            <w:tcW w:w="100" w:type="dxa"/>
            <w:vAlign w:val="bottom"/>
            <w:shd w:val="clear" w:color="auto" w:fill="C6F4F9"/>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640"/>
              <w:spacing w:after="0"/>
              <w:rPr>
                <w:sz w:val="20"/>
                <w:szCs w:val="20"/>
                <w:color w:val="auto"/>
              </w:rPr>
            </w:pPr>
            <w:r>
              <w:rPr>
                <w:rFonts w:ascii="Arial" w:cs="Arial" w:eastAsia="Arial" w:hAnsi="Arial"/>
                <w:sz w:val="18"/>
                <w:szCs w:val="18"/>
                <w:color w:val="auto"/>
              </w:rPr>
              <w:t>Basic</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30,264,805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29,281,364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31,266,183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29,458,508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6F4F9"/>
          </w:tcPr>
          <w:p>
            <w:pPr>
              <w:ind w:left="640"/>
              <w:spacing w:after="0"/>
              <w:rPr>
                <w:sz w:val="20"/>
                <w:szCs w:val="20"/>
                <w:color w:val="auto"/>
              </w:rPr>
            </w:pPr>
            <w:r>
              <w:rPr>
                <w:rFonts w:ascii="Arial" w:cs="Arial" w:eastAsia="Arial" w:hAnsi="Arial"/>
                <w:sz w:val="18"/>
                <w:szCs w:val="18"/>
                <w:color w:val="auto"/>
              </w:rPr>
              <w:t>Diluted</w:t>
            </w:r>
          </w:p>
        </w:tc>
        <w:tc>
          <w:tcPr>
            <w:tcW w:w="16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31,546,144</w:t>
            </w:r>
          </w:p>
        </w:tc>
        <w:tc>
          <w:tcPr>
            <w:tcW w:w="1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200"/>
              <w:spacing w:after="0"/>
              <w:rPr>
                <w:sz w:val="20"/>
                <w:szCs w:val="20"/>
                <w:color w:val="auto"/>
              </w:rPr>
            </w:pPr>
            <w:r>
              <w:rPr>
                <w:rFonts w:ascii="Arial" w:cs="Arial" w:eastAsia="Arial" w:hAnsi="Arial"/>
                <w:sz w:val="18"/>
                <w:szCs w:val="18"/>
                <w:color w:val="auto"/>
                <w:w w:val="90"/>
              </w:rPr>
              <w:t>30,388,520</w:t>
            </w:r>
          </w:p>
        </w:tc>
        <w:tc>
          <w:tcPr>
            <w:tcW w:w="22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w w:val="99"/>
              </w:rPr>
              <w:t>32,623,251</w:t>
            </w: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30,806,190</w:t>
            </w:r>
          </w:p>
        </w:tc>
        <w:tc>
          <w:tcPr>
            <w:tcW w:w="0" w:type="dxa"/>
            <w:vAlign w:val="bottom"/>
          </w:tcPr>
          <w:p>
            <w:pPr>
              <w:spacing w:after="0"/>
              <w:rPr>
                <w:sz w:val="1"/>
                <w:szCs w:val="1"/>
                <w:color w:val="auto"/>
              </w:rPr>
            </w:pPr>
          </w:p>
        </w:tc>
      </w:tr>
      <w:tr>
        <w:trPr>
          <w:trHeight w:val="810"/>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December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Assets</w:t>
            </w:r>
          </w:p>
        </w:tc>
        <w:tc>
          <w:tcPr>
            <w:tcW w:w="206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52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15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Current assets:</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6F4F9"/>
          </w:tcPr>
          <w:p>
            <w:pPr>
              <w:ind w:left="640"/>
              <w:spacing w:after="0"/>
              <w:rPr>
                <w:sz w:val="20"/>
                <w:szCs w:val="20"/>
                <w:color w:val="auto"/>
              </w:rPr>
            </w:pPr>
            <w:r>
              <w:rPr>
                <w:rFonts w:ascii="Arial" w:cs="Arial" w:eastAsia="Arial" w:hAnsi="Arial"/>
                <w:sz w:val="18"/>
                <w:szCs w:val="18"/>
                <w:color w:val="auto"/>
              </w:rPr>
              <w:t>Cash and cash equivalents</w:t>
            </w:r>
          </w:p>
        </w:tc>
        <w:tc>
          <w:tcPr>
            <w:tcW w:w="228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82,393</w:t>
            </w:r>
          </w:p>
        </w:tc>
        <w:tc>
          <w:tcPr>
            <w:tcW w:w="28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111,182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Short-term investments</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7,869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6F4F9"/>
          </w:tcPr>
          <w:p>
            <w:pPr>
              <w:ind w:left="640"/>
              <w:spacing w:after="0"/>
              <w:rPr>
                <w:sz w:val="20"/>
                <w:szCs w:val="20"/>
                <w:color w:val="auto"/>
              </w:rPr>
            </w:pPr>
            <w:r>
              <w:rPr>
                <w:rFonts w:ascii="Arial" w:cs="Arial" w:eastAsia="Arial" w:hAnsi="Arial"/>
                <w:sz w:val="18"/>
                <w:szCs w:val="18"/>
                <w:color w:val="auto"/>
              </w:rPr>
              <w:t>Restricted cash</w:t>
            </w:r>
          </w:p>
        </w:tc>
        <w:tc>
          <w:tcPr>
            <w:tcW w:w="206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6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934</w:t>
            </w: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60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Accounts receivable, net</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55,672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6F4F9"/>
          </w:tcPr>
          <w:p>
            <w:pPr>
              <w:ind w:left="640"/>
              <w:spacing w:after="0"/>
              <w:rPr>
                <w:sz w:val="20"/>
                <w:szCs w:val="20"/>
                <w:color w:val="auto"/>
              </w:rPr>
            </w:pPr>
            <w:r>
              <w:rPr>
                <w:rFonts w:ascii="Arial" w:cs="Arial" w:eastAsia="Arial" w:hAnsi="Arial"/>
                <w:sz w:val="18"/>
                <w:szCs w:val="18"/>
                <w:color w:val="auto"/>
              </w:rPr>
              <w:t>Prepaid expenses</w:t>
            </w:r>
          </w:p>
        </w:tc>
        <w:tc>
          <w:tcPr>
            <w:tcW w:w="206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6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4,269</w:t>
            </w: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60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Deferred tax assets, net</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6,228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6F4F9"/>
          </w:tcPr>
          <w:p>
            <w:pPr>
              <w:ind w:left="640"/>
              <w:spacing w:after="0"/>
              <w:rPr>
                <w:sz w:val="20"/>
                <w:szCs w:val="20"/>
                <w:color w:val="auto"/>
              </w:rPr>
            </w:pPr>
            <w:r>
              <w:rPr>
                <w:rFonts w:ascii="Arial" w:cs="Arial" w:eastAsia="Arial" w:hAnsi="Arial"/>
                <w:sz w:val="18"/>
                <w:szCs w:val="18"/>
                <w:color w:val="auto"/>
              </w:rPr>
              <w:t>Advance income tax, net</w:t>
            </w:r>
          </w:p>
        </w:tc>
        <w:tc>
          <w:tcPr>
            <w:tcW w:w="206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6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3,379</w:t>
            </w: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60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Other current assets</w:t>
            </w:r>
          </w:p>
        </w:tc>
        <w:tc>
          <w:tcPr>
            <w:tcW w:w="2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Total current assets</w:t>
            </w:r>
          </w:p>
        </w:tc>
        <w:tc>
          <w:tcPr>
            <w:tcW w:w="2060" w:type="dxa"/>
            <w:vAlign w:val="bottom"/>
            <w:tcBorders>
              <w:bottom w:val="single" w:sz="8" w:color="C6F4F9"/>
            </w:tcBorders>
            <w:shd w:val="clear" w:color="auto" w:fill="C6F4F9"/>
          </w:tcPr>
          <w:p>
            <w:pPr>
              <w:spacing w:after="0"/>
              <w:rPr>
                <w:sz w:val="19"/>
                <w:szCs w:val="19"/>
                <w:color w:val="auto"/>
              </w:rPr>
            </w:pPr>
          </w:p>
        </w:tc>
        <w:tc>
          <w:tcPr>
            <w:tcW w:w="220" w:type="dxa"/>
            <w:vAlign w:val="bottom"/>
            <w:tcBorders>
              <w:bottom w:val="single" w:sz="8" w:color="auto"/>
            </w:tcBorders>
            <w:shd w:val="clear" w:color="auto" w:fill="C6F4F9"/>
          </w:tcPr>
          <w:p>
            <w:pPr>
              <w:spacing w:after="0"/>
              <w:rPr>
                <w:sz w:val="19"/>
                <w:szCs w:val="19"/>
                <w:color w:val="auto"/>
              </w:rPr>
            </w:pPr>
          </w:p>
        </w:tc>
        <w:tc>
          <w:tcPr>
            <w:tcW w:w="152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166,841</w:t>
            </w:r>
          </w:p>
        </w:tc>
        <w:tc>
          <w:tcPr>
            <w:tcW w:w="140" w:type="dxa"/>
            <w:vAlign w:val="bottom"/>
            <w:tcBorders>
              <w:bottom w:val="single" w:sz="8" w:color="C6F4F9"/>
            </w:tcBorders>
            <w:shd w:val="clear" w:color="auto" w:fill="C6F4F9"/>
          </w:tcPr>
          <w:p>
            <w:pPr>
              <w:spacing w:after="0"/>
              <w:rPr>
                <w:sz w:val="19"/>
                <w:szCs w:val="19"/>
                <w:color w:val="auto"/>
              </w:rPr>
            </w:pPr>
          </w:p>
        </w:tc>
        <w:tc>
          <w:tcPr>
            <w:tcW w:w="80" w:type="dxa"/>
            <w:vAlign w:val="bottom"/>
            <w:tcBorders>
              <w:bottom w:val="single" w:sz="8" w:color="C6F4F9"/>
            </w:tcBorders>
            <w:shd w:val="clear" w:color="auto" w:fill="C6F4F9"/>
          </w:tcPr>
          <w:p>
            <w:pPr>
              <w:spacing w:after="0"/>
              <w:rPr>
                <w:sz w:val="19"/>
                <w:szCs w:val="19"/>
                <w:color w:val="auto"/>
              </w:rPr>
            </w:pPr>
          </w:p>
        </w:tc>
        <w:tc>
          <w:tcPr>
            <w:tcW w:w="200" w:type="dxa"/>
            <w:vAlign w:val="bottom"/>
            <w:tcBorders>
              <w:bottom w:val="single" w:sz="8" w:color="auto"/>
            </w:tcBorders>
            <w:shd w:val="clear" w:color="auto" w:fill="C6F4F9"/>
          </w:tcPr>
          <w:p>
            <w:pPr>
              <w:spacing w:after="0"/>
              <w:rPr>
                <w:sz w:val="19"/>
                <w:szCs w:val="19"/>
                <w:color w:val="auto"/>
              </w:rPr>
            </w:pPr>
          </w:p>
        </w:tc>
        <w:tc>
          <w:tcPr>
            <w:tcW w:w="15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174,329</w:t>
            </w:r>
          </w:p>
        </w:tc>
        <w:tc>
          <w:tcPr>
            <w:tcW w:w="100" w:type="dxa"/>
            <w:vAlign w:val="bottom"/>
            <w:tcBorders>
              <w:bottom w:val="single" w:sz="8" w:color="C6F4F9"/>
            </w:tcBorders>
            <w:shd w:val="clear" w:color="auto" w:fill="C6F4F9"/>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Fixed assets, net</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42,320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6F4F9"/>
          </w:tcPr>
          <w:p>
            <w:pPr>
              <w:spacing w:after="0"/>
              <w:rPr>
                <w:sz w:val="20"/>
                <w:szCs w:val="20"/>
                <w:color w:val="auto"/>
              </w:rPr>
            </w:pPr>
            <w:r>
              <w:rPr>
                <w:rFonts w:ascii="Arial" w:cs="Arial" w:eastAsia="Arial" w:hAnsi="Arial"/>
                <w:sz w:val="18"/>
                <w:szCs w:val="18"/>
                <w:color w:val="auto"/>
              </w:rPr>
              <w:t>Restricted cash</w:t>
            </w:r>
          </w:p>
        </w:tc>
        <w:tc>
          <w:tcPr>
            <w:tcW w:w="206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6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3,387</w:t>
            </w: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60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16,495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6F4F9"/>
          </w:tcPr>
          <w:p>
            <w:pPr>
              <w:spacing w:after="0"/>
              <w:rPr>
                <w:sz w:val="20"/>
                <w:szCs w:val="20"/>
                <w:color w:val="auto"/>
              </w:rPr>
            </w:pPr>
            <w:r>
              <w:rPr>
                <w:rFonts w:ascii="Arial" w:cs="Arial" w:eastAsia="Arial" w:hAnsi="Arial"/>
                <w:sz w:val="18"/>
                <w:szCs w:val="18"/>
                <w:color w:val="auto"/>
              </w:rPr>
              <w:t>Intangible assets, net</w:t>
            </w:r>
          </w:p>
        </w:tc>
        <w:tc>
          <w:tcPr>
            <w:tcW w:w="206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6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36,313</w:t>
            </w: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60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18,591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Goodwill</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92,287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43,370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Other assets</w:t>
            </w:r>
          </w:p>
        </w:tc>
        <w:tc>
          <w:tcPr>
            <w:tcW w:w="2060" w:type="dxa"/>
            <w:vAlign w:val="bottom"/>
            <w:tcBorders>
              <w:bottom w:val="single" w:sz="8" w:color="C6F4F9"/>
            </w:tcBorders>
            <w:shd w:val="clear" w:color="auto" w:fill="C6F4F9"/>
          </w:tcPr>
          <w:p>
            <w:pPr>
              <w:spacing w:after="0"/>
              <w:rPr>
                <w:sz w:val="19"/>
                <w:szCs w:val="19"/>
                <w:color w:val="auto"/>
              </w:rPr>
            </w:pPr>
          </w:p>
        </w:tc>
        <w:tc>
          <w:tcPr>
            <w:tcW w:w="220" w:type="dxa"/>
            <w:vAlign w:val="bottom"/>
            <w:tcBorders>
              <w:bottom w:val="single" w:sz="8" w:color="auto"/>
            </w:tcBorders>
            <w:shd w:val="clear" w:color="auto" w:fill="C6F4F9"/>
          </w:tcPr>
          <w:p>
            <w:pPr>
              <w:spacing w:after="0"/>
              <w:rPr>
                <w:sz w:val="19"/>
                <w:szCs w:val="19"/>
                <w:color w:val="auto"/>
              </w:rPr>
            </w:pPr>
          </w:p>
        </w:tc>
        <w:tc>
          <w:tcPr>
            <w:tcW w:w="152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19,768</w:t>
            </w:r>
          </w:p>
        </w:tc>
        <w:tc>
          <w:tcPr>
            <w:tcW w:w="140" w:type="dxa"/>
            <w:vAlign w:val="bottom"/>
            <w:tcBorders>
              <w:bottom w:val="single" w:sz="8" w:color="C6F4F9"/>
            </w:tcBorders>
            <w:shd w:val="clear" w:color="auto" w:fill="C6F4F9"/>
          </w:tcPr>
          <w:p>
            <w:pPr>
              <w:spacing w:after="0"/>
              <w:rPr>
                <w:sz w:val="19"/>
                <w:szCs w:val="19"/>
                <w:color w:val="auto"/>
              </w:rPr>
            </w:pPr>
          </w:p>
        </w:tc>
        <w:tc>
          <w:tcPr>
            <w:tcW w:w="80" w:type="dxa"/>
            <w:vAlign w:val="bottom"/>
            <w:tcBorders>
              <w:bottom w:val="single" w:sz="8" w:color="C6F4F9"/>
            </w:tcBorders>
            <w:shd w:val="clear" w:color="auto" w:fill="C6F4F9"/>
          </w:tcPr>
          <w:p>
            <w:pPr>
              <w:spacing w:after="0"/>
              <w:rPr>
                <w:sz w:val="19"/>
                <w:szCs w:val="19"/>
                <w:color w:val="auto"/>
              </w:rPr>
            </w:pPr>
          </w:p>
        </w:tc>
        <w:tc>
          <w:tcPr>
            <w:tcW w:w="200" w:type="dxa"/>
            <w:vAlign w:val="bottom"/>
            <w:tcBorders>
              <w:bottom w:val="single" w:sz="8" w:color="auto"/>
            </w:tcBorders>
            <w:shd w:val="clear" w:color="auto" w:fill="C6F4F9"/>
          </w:tcPr>
          <w:p>
            <w:pPr>
              <w:spacing w:after="0"/>
              <w:rPr>
                <w:sz w:val="19"/>
                <w:szCs w:val="19"/>
                <w:color w:val="auto"/>
              </w:rPr>
            </w:pPr>
          </w:p>
        </w:tc>
        <w:tc>
          <w:tcPr>
            <w:tcW w:w="15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16,895</w:t>
            </w:r>
          </w:p>
        </w:tc>
        <w:tc>
          <w:tcPr>
            <w:tcW w:w="100" w:type="dxa"/>
            <w:vAlign w:val="bottom"/>
            <w:tcBorders>
              <w:bottom w:val="single" w:sz="8" w:color="C6F4F9"/>
            </w:tcBorders>
            <w:shd w:val="clear" w:color="auto" w:fill="C6F4F9"/>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 assets</w:t>
            </w: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377,411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305,683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6F4F9"/>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6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520" w:type="dxa"/>
            <w:vAlign w:val="bottom"/>
            <w:shd w:val="clear" w:color="auto" w:fill="C6F4F9"/>
          </w:tcPr>
          <w:p>
            <w:pPr>
              <w:spacing w:after="0"/>
              <w:rPr>
                <w:sz w:val="18"/>
                <w:szCs w:val="18"/>
                <w:color w:val="auto"/>
              </w:rPr>
            </w:pPr>
          </w:p>
        </w:tc>
        <w:tc>
          <w:tcPr>
            <w:tcW w:w="140" w:type="dxa"/>
            <w:vAlign w:val="bottom"/>
            <w:shd w:val="clear" w:color="auto" w:fill="C6F4F9"/>
          </w:tcPr>
          <w:p>
            <w:pPr>
              <w:spacing w:after="0"/>
              <w:rPr>
                <w:sz w:val="18"/>
                <w:szCs w:val="18"/>
                <w:color w:val="auto"/>
              </w:rPr>
            </w:pP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50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Current liabilities:</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6F4F9"/>
          </w:tcPr>
          <w:p>
            <w:pPr>
              <w:ind w:left="640"/>
              <w:spacing w:after="0"/>
              <w:rPr>
                <w:sz w:val="20"/>
                <w:szCs w:val="20"/>
                <w:color w:val="auto"/>
              </w:rPr>
            </w:pPr>
            <w:r>
              <w:rPr>
                <w:rFonts w:ascii="Arial" w:cs="Arial" w:eastAsia="Arial" w:hAnsi="Arial"/>
                <w:sz w:val="18"/>
                <w:szCs w:val="18"/>
                <w:color w:val="auto"/>
              </w:rPr>
              <w:t>Accounts payable</w:t>
            </w:r>
          </w:p>
        </w:tc>
        <w:tc>
          <w:tcPr>
            <w:tcW w:w="228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4,333</w:t>
            </w:r>
          </w:p>
        </w:tc>
        <w:tc>
          <w:tcPr>
            <w:tcW w:w="28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Deferred revenue</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7,772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6F4F9"/>
          </w:tcPr>
          <w:p>
            <w:pPr>
              <w:ind w:left="640"/>
              <w:spacing w:after="0"/>
              <w:rPr>
                <w:sz w:val="20"/>
                <w:szCs w:val="20"/>
                <w:color w:val="auto"/>
              </w:rPr>
            </w:pPr>
            <w:r>
              <w:rPr>
                <w:rFonts w:ascii="Arial" w:cs="Arial" w:eastAsia="Arial" w:hAnsi="Arial"/>
                <w:sz w:val="18"/>
                <w:szCs w:val="18"/>
                <w:color w:val="auto"/>
              </w:rPr>
              <w:t>Accrued employee cost</w:t>
            </w:r>
          </w:p>
        </w:tc>
        <w:tc>
          <w:tcPr>
            <w:tcW w:w="206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6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27,700</w:t>
            </w: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60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23,947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Accrued expenses and other current liabilities</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30,700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6F4F9"/>
            </w:tcBorders>
            <w:shd w:val="clear" w:color="auto" w:fill="C6F4F9"/>
          </w:tcPr>
          <w:p>
            <w:pPr>
              <w:ind w:left="640"/>
              <w:spacing w:after="0"/>
              <w:rPr>
                <w:sz w:val="20"/>
                <w:szCs w:val="20"/>
                <w:color w:val="auto"/>
              </w:rPr>
            </w:pPr>
            <w:r>
              <w:rPr>
                <w:rFonts w:ascii="Arial" w:cs="Arial" w:eastAsia="Arial" w:hAnsi="Arial"/>
                <w:sz w:val="18"/>
                <w:szCs w:val="18"/>
                <w:color w:val="auto"/>
              </w:rPr>
              <w:t>Current portion of capital lease obligations</w:t>
            </w:r>
          </w:p>
        </w:tc>
        <w:tc>
          <w:tcPr>
            <w:tcW w:w="2060" w:type="dxa"/>
            <w:vAlign w:val="bottom"/>
            <w:tcBorders>
              <w:bottom w:val="single" w:sz="8" w:color="C6F4F9"/>
            </w:tcBorders>
            <w:shd w:val="clear" w:color="auto" w:fill="C6F4F9"/>
          </w:tcPr>
          <w:p>
            <w:pPr>
              <w:spacing w:after="0"/>
              <w:rPr>
                <w:sz w:val="19"/>
                <w:szCs w:val="19"/>
                <w:color w:val="auto"/>
              </w:rPr>
            </w:pPr>
          </w:p>
        </w:tc>
        <w:tc>
          <w:tcPr>
            <w:tcW w:w="220" w:type="dxa"/>
            <w:vAlign w:val="bottom"/>
            <w:tcBorders>
              <w:bottom w:val="single" w:sz="8" w:color="auto"/>
            </w:tcBorders>
            <w:shd w:val="clear" w:color="auto" w:fill="C6F4F9"/>
          </w:tcPr>
          <w:p>
            <w:pPr>
              <w:spacing w:after="0"/>
              <w:rPr>
                <w:sz w:val="19"/>
                <w:szCs w:val="19"/>
                <w:color w:val="auto"/>
              </w:rPr>
            </w:pPr>
          </w:p>
        </w:tc>
        <w:tc>
          <w:tcPr>
            <w:tcW w:w="152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1,729</w:t>
            </w:r>
          </w:p>
        </w:tc>
        <w:tc>
          <w:tcPr>
            <w:tcW w:w="140" w:type="dxa"/>
            <w:vAlign w:val="bottom"/>
            <w:tcBorders>
              <w:bottom w:val="single" w:sz="8" w:color="C6F4F9"/>
            </w:tcBorders>
            <w:shd w:val="clear" w:color="auto" w:fill="C6F4F9"/>
          </w:tcPr>
          <w:p>
            <w:pPr>
              <w:spacing w:after="0"/>
              <w:rPr>
                <w:sz w:val="19"/>
                <w:szCs w:val="19"/>
                <w:color w:val="auto"/>
              </w:rPr>
            </w:pPr>
          </w:p>
        </w:tc>
        <w:tc>
          <w:tcPr>
            <w:tcW w:w="80" w:type="dxa"/>
            <w:vAlign w:val="bottom"/>
            <w:tcBorders>
              <w:bottom w:val="single" w:sz="8" w:color="C6F4F9"/>
            </w:tcBorders>
            <w:shd w:val="clear" w:color="auto" w:fill="C6F4F9"/>
          </w:tcPr>
          <w:p>
            <w:pPr>
              <w:spacing w:after="0"/>
              <w:rPr>
                <w:sz w:val="19"/>
                <w:szCs w:val="19"/>
                <w:color w:val="auto"/>
              </w:rPr>
            </w:pPr>
          </w:p>
        </w:tc>
        <w:tc>
          <w:tcPr>
            <w:tcW w:w="200" w:type="dxa"/>
            <w:vAlign w:val="bottom"/>
            <w:tcBorders>
              <w:bottom w:val="single" w:sz="8" w:color="auto"/>
            </w:tcBorders>
            <w:shd w:val="clear" w:color="auto" w:fill="C6F4F9"/>
          </w:tcPr>
          <w:p>
            <w:pPr>
              <w:spacing w:after="0"/>
              <w:rPr>
                <w:sz w:val="19"/>
                <w:szCs w:val="19"/>
                <w:color w:val="auto"/>
              </w:rPr>
            </w:pPr>
          </w:p>
        </w:tc>
        <w:tc>
          <w:tcPr>
            <w:tcW w:w="15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6F4F9"/>
            </w:tcBorders>
            <w:shd w:val="clear" w:color="auto" w:fill="C6F4F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6F4F9"/>
          </w:tcPr>
          <w:p>
            <w:pPr>
              <w:spacing w:after="0"/>
              <w:rPr>
                <w:sz w:val="20"/>
                <w:szCs w:val="20"/>
                <w:color w:val="auto"/>
              </w:rPr>
            </w:pPr>
            <w:r>
              <w:rPr>
                <w:rFonts w:ascii="Arial" w:cs="Arial" w:eastAsia="Arial" w:hAnsi="Arial"/>
                <w:sz w:val="18"/>
                <w:szCs w:val="18"/>
                <w:color w:val="auto"/>
              </w:rPr>
              <w:t>Capital lease obligations, less current portion</w:t>
            </w:r>
          </w:p>
        </w:tc>
        <w:tc>
          <w:tcPr>
            <w:tcW w:w="206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6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4,244</w:t>
            </w: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60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6F4F9"/>
          </w:tcPr>
          <w:p>
            <w:pPr>
              <w:spacing w:after="0"/>
              <w:rPr>
                <w:sz w:val="20"/>
                <w:szCs w:val="20"/>
                <w:color w:val="auto"/>
              </w:rPr>
            </w:pPr>
            <w:r>
              <w:rPr>
                <w:rFonts w:ascii="Arial" w:cs="Arial" w:eastAsia="Arial" w:hAnsi="Arial"/>
                <w:sz w:val="18"/>
                <w:szCs w:val="18"/>
                <w:color w:val="auto"/>
              </w:rPr>
              <w:t>Total liabilities</w:t>
            </w:r>
          </w:p>
        </w:tc>
        <w:tc>
          <w:tcPr>
            <w:tcW w:w="2060" w:type="dxa"/>
            <w:vAlign w:val="bottom"/>
            <w:shd w:val="clear" w:color="auto" w:fill="C6F4F9"/>
          </w:tcPr>
          <w:p>
            <w:pPr>
              <w:spacing w:after="0"/>
              <w:rPr>
                <w:sz w:val="19"/>
                <w:szCs w:val="19"/>
                <w:color w:val="auto"/>
              </w:rPr>
            </w:pPr>
          </w:p>
        </w:tc>
        <w:tc>
          <w:tcPr>
            <w:tcW w:w="220" w:type="dxa"/>
            <w:vAlign w:val="bottom"/>
            <w:shd w:val="clear" w:color="auto" w:fill="C6F4F9"/>
          </w:tcPr>
          <w:p>
            <w:pPr>
              <w:spacing w:after="0"/>
              <w:rPr>
                <w:sz w:val="19"/>
                <w:szCs w:val="19"/>
                <w:color w:val="auto"/>
              </w:rPr>
            </w:pPr>
          </w:p>
        </w:tc>
        <w:tc>
          <w:tcPr>
            <w:tcW w:w="16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98,936</w:t>
            </w:r>
          </w:p>
        </w:tc>
        <w:tc>
          <w:tcPr>
            <w:tcW w:w="80" w:type="dxa"/>
            <w:vAlign w:val="bottom"/>
            <w:shd w:val="clear" w:color="auto" w:fill="C6F4F9"/>
          </w:tcPr>
          <w:p>
            <w:pPr>
              <w:spacing w:after="0"/>
              <w:rPr>
                <w:sz w:val="19"/>
                <w:szCs w:val="19"/>
                <w:color w:val="auto"/>
              </w:rPr>
            </w:pPr>
          </w:p>
        </w:tc>
        <w:tc>
          <w:tcPr>
            <w:tcW w:w="200" w:type="dxa"/>
            <w:vAlign w:val="bottom"/>
            <w:shd w:val="clear" w:color="auto" w:fill="C6F4F9"/>
          </w:tcPr>
          <w:p>
            <w:pPr>
              <w:spacing w:after="0"/>
              <w:rPr>
                <w:sz w:val="19"/>
                <w:szCs w:val="19"/>
                <w:color w:val="auto"/>
              </w:rPr>
            </w:pPr>
          </w:p>
        </w:tc>
        <w:tc>
          <w:tcPr>
            <w:tcW w:w="160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57,137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top w:val="single" w:sz="8" w:color="C6F4F9"/>
            </w:tcBorders>
          </w:tcPr>
          <w:p>
            <w:pPr>
              <w:spacing w:after="0"/>
              <w:rPr>
                <w:sz w:val="20"/>
                <w:szCs w:val="20"/>
                <w:color w:val="auto"/>
              </w:rPr>
            </w:pPr>
            <w:r>
              <w:rPr>
                <w:rFonts w:ascii="Arial" w:cs="Arial" w:eastAsia="Arial" w:hAnsi="Arial"/>
                <w:sz w:val="18"/>
                <w:szCs w:val="18"/>
                <w:color w:val="auto"/>
              </w:rPr>
              <w:t>Commitments and contingencies</w:t>
            </w:r>
          </w:p>
        </w:tc>
        <w:tc>
          <w:tcPr>
            <w:tcW w:w="2060" w:type="dxa"/>
            <w:vAlign w:val="bottom"/>
            <w:tcBorders>
              <w:top w:val="single" w:sz="8" w:color="C6F4F9"/>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Borders>
              <w:top w:val="single" w:sz="8" w:color="C6F4F9"/>
            </w:tcBorders>
          </w:tcPr>
          <w:p>
            <w:pPr>
              <w:spacing w:after="0"/>
              <w:rPr>
                <w:sz w:val="18"/>
                <w:szCs w:val="18"/>
                <w:color w:val="auto"/>
              </w:rPr>
            </w:pPr>
          </w:p>
        </w:tc>
        <w:tc>
          <w:tcPr>
            <w:tcW w:w="80" w:type="dxa"/>
            <w:vAlign w:val="bottom"/>
            <w:tcBorders>
              <w:top w:val="single" w:sz="8" w:color="C6F4F9"/>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6F4F9"/>
          </w:tcPr>
          <w:p>
            <w:pPr>
              <w:spacing w:after="0"/>
              <w:rPr>
                <w:sz w:val="20"/>
                <w:szCs w:val="20"/>
                <w:color w:val="auto"/>
              </w:rPr>
            </w:pPr>
            <w:r>
              <w:rPr>
                <w:rFonts w:ascii="Arial" w:cs="Arial" w:eastAsia="Arial" w:hAnsi="Arial"/>
                <w:sz w:val="18"/>
                <w:szCs w:val="18"/>
                <w:color w:val="auto"/>
                <w:w w:val="89"/>
              </w:rPr>
              <w:t>Preferred stock, $0.001 par value; 15,000,000 shares authorized, none issued</w:t>
            </w:r>
          </w:p>
        </w:tc>
        <w:tc>
          <w:tcPr>
            <w:tcW w:w="206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6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60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Stockholders’ equity:</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6F4F9"/>
          </w:tcPr>
          <w:p>
            <w:pPr>
              <w:ind w:left="640"/>
              <w:spacing w:after="0" w:line="201" w:lineRule="exact"/>
              <w:rPr>
                <w:sz w:val="20"/>
                <w:szCs w:val="20"/>
                <w:color w:val="auto"/>
              </w:rPr>
            </w:pPr>
            <w:r>
              <w:rPr>
                <w:rFonts w:ascii="Arial" w:cs="Arial" w:eastAsia="Arial" w:hAnsi="Arial"/>
                <w:sz w:val="18"/>
                <w:szCs w:val="18"/>
                <w:color w:val="auto"/>
                <w:w w:val="93"/>
              </w:rPr>
              <w:t>Common stock, $0.001 par value; 100,000,000 shares authorized,</w:t>
            </w:r>
          </w:p>
        </w:tc>
        <w:tc>
          <w:tcPr>
            <w:tcW w:w="206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52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80" w:type="dxa"/>
            <w:vAlign w:val="bottom"/>
            <w:shd w:val="clear" w:color="auto" w:fill="C6F4F9"/>
          </w:tcPr>
          <w:p>
            <w:pPr>
              <w:spacing w:after="0"/>
              <w:rPr>
                <w:sz w:val="17"/>
                <w:szCs w:val="17"/>
                <w:color w:val="auto"/>
              </w:rPr>
            </w:pPr>
          </w:p>
        </w:tc>
        <w:tc>
          <w:tcPr>
            <w:tcW w:w="200" w:type="dxa"/>
            <w:vAlign w:val="bottom"/>
            <w:shd w:val="clear" w:color="auto" w:fill="C6F4F9"/>
          </w:tcPr>
          <w:p>
            <w:pPr>
              <w:spacing w:after="0"/>
              <w:rPr>
                <w:sz w:val="17"/>
                <w:szCs w:val="17"/>
                <w:color w:val="auto"/>
              </w:rPr>
            </w:pPr>
          </w:p>
        </w:tc>
        <w:tc>
          <w:tcPr>
            <w:tcW w:w="1500" w:type="dxa"/>
            <w:vAlign w:val="bottom"/>
            <w:shd w:val="clear" w:color="auto" w:fill="C6F4F9"/>
          </w:tcPr>
          <w:p>
            <w:pPr>
              <w:spacing w:after="0"/>
              <w:rPr>
                <w:sz w:val="17"/>
                <w:szCs w:val="17"/>
                <w:color w:val="auto"/>
              </w:rPr>
            </w:pPr>
          </w:p>
        </w:tc>
        <w:tc>
          <w:tcPr>
            <w:tcW w:w="10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6F4F9"/>
          </w:tcPr>
          <w:p>
            <w:pPr>
              <w:ind w:left="640"/>
              <w:spacing w:after="0"/>
              <w:rPr>
                <w:sz w:val="20"/>
                <w:szCs w:val="20"/>
                <w:color w:val="auto"/>
              </w:rPr>
            </w:pPr>
            <w:r>
              <w:rPr>
                <w:rFonts w:ascii="Arial" w:cs="Arial" w:eastAsia="Arial" w:hAnsi="Arial"/>
                <w:sz w:val="18"/>
                <w:szCs w:val="18"/>
                <w:color w:val="auto"/>
                <w:w w:val="91"/>
              </w:rPr>
              <w:t>31,496,461 shares issued and 31,173,064 shares outstanding as of</w:t>
            </w:r>
          </w:p>
        </w:tc>
        <w:tc>
          <w:tcPr>
            <w:tcW w:w="206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520" w:type="dxa"/>
            <w:vAlign w:val="bottom"/>
            <w:shd w:val="clear" w:color="auto" w:fill="C6F4F9"/>
          </w:tcPr>
          <w:p>
            <w:pPr>
              <w:spacing w:after="0"/>
              <w:rPr>
                <w:sz w:val="18"/>
                <w:szCs w:val="18"/>
                <w:color w:val="auto"/>
              </w:rPr>
            </w:pPr>
          </w:p>
        </w:tc>
        <w:tc>
          <w:tcPr>
            <w:tcW w:w="140" w:type="dxa"/>
            <w:vAlign w:val="bottom"/>
            <w:shd w:val="clear" w:color="auto" w:fill="C6F4F9"/>
          </w:tcPr>
          <w:p>
            <w:pPr>
              <w:spacing w:after="0"/>
              <w:rPr>
                <w:sz w:val="18"/>
                <w:szCs w:val="18"/>
                <w:color w:val="auto"/>
              </w:rPr>
            </w:pP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50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6F4F9"/>
          </w:tcPr>
          <w:p>
            <w:pPr>
              <w:ind w:left="640"/>
              <w:spacing w:after="0"/>
              <w:rPr>
                <w:sz w:val="20"/>
                <w:szCs w:val="20"/>
                <w:color w:val="auto"/>
              </w:rPr>
            </w:pPr>
            <w:r>
              <w:rPr>
                <w:rFonts w:ascii="Arial" w:cs="Arial" w:eastAsia="Arial" w:hAnsi="Arial"/>
                <w:sz w:val="18"/>
                <w:szCs w:val="18"/>
                <w:color w:val="auto"/>
                <w:w w:val="92"/>
              </w:rPr>
              <w:t>December 31, 2011 and 29,690,463 shares issued and 29,437,961</w:t>
            </w:r>
          </w:p>
        </w:tc>
        <w:tc>
          <w:tcPr>
            <w:tcW w:w="206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520" w:type="dxa"/>
            <w:vAlign w:val="bottom"/>
            <w:shd w:val="clear" w:color="auto" w:fill="C6F4F9"/>
          </w:tcPr>
          <w:p>
            <w:pPr>
              <w:spacing w:after="0"/>
              <w:rPr>
                <w:sz w:val="18"/>
                <w:szCs w:val="18"/>
                <w:color w:val="auto"/>
              </w:rPr>
            </w:pPr>
          </w:p>
        </w:tc>
        <w:tc>
          <w:tcPr>
            <w:tcW w:w="140" w:type="dxa"/>
            <w:vAlign w:val="bottom"/>
            <w:shd w:val="clear" w:color="auto" w:fill="C6F4F9"/>
          </w:tcPr>
          <w:p>
            <w:pPr>
              <w:spacing w:after="0"/>
              <w:rPr>
                <w:sz w:val="18"/>
                <w:szCs w:val="18"/>
                <w:color w:val="auto"/>
              </w:rPr>
            </w:pP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50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C6F4F9"/>
          </w:tcPr>
          <w:p>
            <w:pPr>
              <w:ind w:left="640"/>
              <w:spacing w:after="0"/>
              <w:rPr>
                <w:sz w:val="20"/>
                <w:szCs w:val="20"/>
                <w:color w:val="auto"/>
              </w:rPr>
            </w:pPr>
            <w:r>
              <w:rPr>
                <w:rFonts w:ascii="Arial" w:cs="Arial" w:eastAsia="Arial" w:hAnsi="Arial"/>
                <w:sz w:val="18"/>
                <w:szCs w:val="18"/>
                <w:color w:val="auto"/>
              </w:rPr>
              <w:t>shares outstanding as of December 31, 2010</w:t>
            </w:r>
          </w:p>
        </w:tc>
        <w:tc>
          <w:tcPr>
            <w:tcW w:w="2060" w:type="dxa"/>
            <w:vAlign w:val="bottom"/>
            <w:shd w:val="clear" w:color="auto" w:fill="C6F4F9"/>
          </w:tcPr>
          <w:p>
            <w:pPr>
              <w:spacing w:after="0"/>
              <w:rPr>
                <w:sz w:val="20"/>
                <w:szCs w:val="20"/>
                <w:color w:val="auto"/>
              </w:rPr>
            </w:pPr>
          </w:p>
        </w:tc>
        <w:tc>
          <w:tcPr>
            <w:tcW w:w="220" w:type="dxa"/>
            <w:vAlign w:val="bottom"/>
            <w:shd w:val="clear" w:color="auto" w:fill="C6F4F9"/>
          </w:tcPr>
          <w:p>
            <w:pPr>
              <w:spacing w:after="0"/>
              <w:rPr>
                <w:sz w:val="20"/>
                <w:szCs w:val="20"/>
                <w:color w:val="auto"/>
              </w:rPr>
            </w:pPr>
          </w:p>
        </w:tc>
        <w:tc>
          <w:tcPr>
            <w:tcW w:w="16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6F4F9"/>
          </w:tcPr>
          <w:p>
            <w:pPr>
              <w:spacing w:after="0"/>
              <w:rPr>
                <w:sz w:val="20"/>
                <w:szCs w:val="20"/>
                <w:color w:val="auto"/>
              </w:rPr>
            </w:pPr>
          </w:p>
        </w:tc>
        <w:tc>
          <w:tcPr>
            <w:tcW w:w="200" w:type="dxa"/>
            <w:vAlign w:val="bottom"/>
            <w:shd w:val="clear" w:color="auto" w:fill="C6F4F9"/>
          </w:tcPr>
          <w:p>
            <w:pPr>
              <w:spacing w:after="0"/>
              <w:rPr>
                <w:sz w:val="20"/>
                <w:szCs w:val="20"/>
                <w:color w:val="auto"/>
              </w:rPr>
            </w:pPr>
          </w:p>
        </w:tc>
        <w:tc>
          <w:tcPr>
            <w:tcW w:w="160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Additional paid-in-capital</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173,926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136,173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6F4F9"/>
          </w:tcPr>
          <w:p>
            <w:pPr>
              <w:ind w:left="640"/>
              <w:spacing w:after="0"/>
              <w:rPr>
                <w:sz w:val="20"/>
                <w:szCs w:val="20"/>
                <w:color w:val="auto"/>
              </w:rPr>
            </w:pPr>
            <w:r>
              <w:rPr>
                <w:rFonts w:ascii="Arial" w:cs="Arial" w:eastAsia="Arial" w:hAnsi="Arial"/>
                <w:sz w:val="18"/>
                <w:szCs w:val="18"/>
                <w:color w:val="auto"/>
              </w:rPr>
              <w:t>Retained earnings</w:t>
            </w:r>
          </w:p>
        </w:tc>
        <w:tc>
          <w:tcPr>
            <w:tcW w:w="206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6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147,046</w:t>
            </w:r>
          </w:p>
        </w:tc>
        <w:tc>
          <w:tcPr>
            <w:tcW w:w="8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60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112,266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Accumulated other comprehensive (loss)/income</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(39,858)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2060" w:type="dxa"/>
            <w:vAlign w:val="bottom"/>
            <w:tcBorders>
              <w:bottom w:val="single" w:sz="8" w:color="C6F4F9"/>
            </w:tcBorders>
            <w:shd w:val="clear" w:color="auto" w:fill="C6F4F9"/>
          </w:tcPr>
          <w:p>
            <w:pPr>
              <w:spacing w:after="0"/>
              <w:rPr>
                <w:sz w:val="19"/>
                <w:szCs w:val="19"/>
                <w:color w:val="auto"/>
              </w:rPr>
            </w:pPr>
          </w:p>
        </w:tc>
        <w:tc>
          <w:tcPr>
            <w:tcW w:w="220" w:type="dxa"/>
            <w:vAlign w:val="bottom"/>
            <w:tcBorders>
              <w:top w:val="single" w:sz="8" w:color="auto"/>
              <w:bottom w:val="single" w:sz="8" w:color="auto"/>
            </w:tcBorders>
            <w:shd w:val="clear" w:color="auto" w:fill="C6F4F9"/>
          </w:tcPr>
          <w:p>
            <w:pPr>
              <w:spacing w:after="0"/>
              <w:rPr>
                <w:sz w:val="19"/>
                <w:szCs w:val="19"/>
                <w:color w:val="auto"/>
              </w:rPr>
            </w:pPr>
          </w:p>
        </w:tc>
        <w:tc>
          <w:tcPr>
            <w:tcW w:w="152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281,145</w:t>
            </w:r>
          </w:p>
        </w:tc>
        <w:tc>
          <w:tcPr>
            <w:tcW w:w="140" w:type="dxa"/>
            <w:vAlign w:val="bottom"/>
            <w:tcBorders>
              <w:bottom w:val="single" w:sz="8" w:color="C6F4F9"/>
            </w:tcBorders>
            <w:shd w:val="clear" w:color="auto" w:fill="C6F4F9"/>
          </w:tcPr>
          <w:p>
            <w:pPr>
              <w:spacing w:after="0"/>
              <w:rPr>
                <w:sz w:val="19"/>
                <w:szCs w:val="19"/>
                <w:color w:val="auto"/>
              </w:rPr>
            </w:pPr>
          </w:p>
        </w:tc>
        <w:tc>
          <w:tcPr>
            <w:tcW w:w="80" w:type="dxa"/>
            <w:vAlign w:val="bottom"/>
            <w:tcBorders>
              <w:bottom w:val="single" w:sz="8" w:color="C6F4F9"/>
            </w:tcBorders>
            <w:shd w:val="clear" w:color="auto" w:fill="C6F4F9"/>
          </w:tcPr>
          <w:p>
            <w:pPr>
              <w:spacing w:after="0"/>
              <w:rPr>
                <w:sz w:val="19"/>
                <w:szCs w:val="19"/>
                <w:color w:val="auto"/>
              </w:rPr>
            </w:pPr>
          </w:p>
        </w:tc>
        <w:tc>
          <w:tcPr>
            <w:tcW w:w="200" w:type="dxa"/>
            <w:vAlign w:val="bottom"/>
            <w:tcBorders>
              <w:top w:val="single" w:sz="8" w:color="auto"/>
              <w:bottom w:val="single" w:sz="8" w:color="auto"/>
            </w:tcBorders>
            <w:shd w:val="clear" w:color="auto" w:fill="C6F4F9"/>
          </w:tcPr>
          <w:p>
            <w:pPr>
              <w:spacing w:after="0"/>
              <w:rPr>
                <w:sz w:val="19"/>
                <w:szCs w:val="19"/>
                <w:color w:val="auto"/>
              </w:rPr>
            </w:pPr>
          </w:p>
        </w:tc>
        <w:tc>
          <w:tcPr>
            <w:tcW w:w="150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249,595</w:t>
            </w:r>
          </w:p>
        </w:tc>
        <w:tc>
          <w:tcPr>
            <w:tcW w:w="100" w:type="dxa"/>
            <w:vAlign w:val="bottom"/>
            <w:tcBorders>
              <w:bottom w:val="single" w:sz="8" w:color="C6F4F9"/>
            </w:tcBorders>
            <w:shd w:val="clear" w:color="auto" w:fill="C6F4F9"/>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tcPr>
          <w:p>
            <w:pPr>
              <w:spacing w:after="0" w:line="201" w:lineRule="exact"/>
              <w:rPr>
                <w:sz w:val="20"/>
                <w:szCs w:val="20"/>
                <w:color w:val="auto"/>
              </w:rPr>
            </w:pPr>
            <w:r>
              <w:rPr>
                <w:rFonts w:ascii="Arial" w:cs="Arial" w:eastAsia="Arial" w:hAnsi="Arial"/>
                <w:sz w:val="18"/>
                <w:szCs w:val="18"/>
                <w:color w:val="auto"/>
                <w:w w:val="94"/>
              </w:rPr>
              <w:t>Less: 323,397 shares as of December 31, 2011 and 252,502 shares as of</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December 31, 2010, held in treasury, at cost</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(2,693)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6F4F9"/>
          </w:tcPr>
          <w:p>
            <w:pPr>
              <w:spacing w:after="0"/>
              <w:rPr>
                <w:sz w:val="20"/>
                <w:szCs w:val="20"/>
                <w:color w:val="auto"/>
              </w:rPr>
            </w:pPr>
            <w:r>
              <w:rPr>
                <w:rFonts w:ascii="Arial" w:cs="Arial" w:eastAsia="Arial" w:hAnsi="Arial"/>
                <w:sz w:val="18"/>
                <w:szCs w:val="18"/>
                <w:color w:val="auto"/>
              </w:rPr>
              <w:t>ExlService Holdings, Inc. stockholders' equity</w:t>
            </w:r>
          </w:p>
        </w:tc>
        <w:tc>
          <w:tcPr>
            <w:tcW w:w="2060" w:type="dxa"/>
            <w:vAlign w:val="bottom"/>
            <w:shd w:val="clear" w:color="auto" w:fill="C6F4F9"/>
          </w:tcPr>
          <w:p>
            <w:pPr>
              <w:spacing w:after="0"/>
              <w:rPr>
                <w:sz w:val="18"/>
                <w:szCs w:val="18"/>
                <w:color w:val="auto"/>
              </w:rPr>
            </w:pPr>
          </w:p>
        </w:tc>
        <w:tc>
          <w:tcPr>
            <w:tcW w:w="220" w:type="dxa"/>
            <w:vAlign w:val="bottom"/>
            <w:tcBorders>
              <w:top w:val="single" w:sz="8" w:color="auto"/>
            </w:tcBorders>
            <w:shd w:val="clear" w:color="auto" w:fill="C6F4F9"/>
          </w:tcPr>
          <w:p>
            <w:pPr>
              <w:spacing w:after="0"/>
              <w:rPr>
                <w:sz w:val="18"/>
                <w:szCs w:val="18"/>
                <w:color w:val="auto"/>
              </w:rPr>
            </w:pPr>
          </w:p>
        </w:tc>
        <w:tc>
          <w:tcPr>
            <w:tcW w:w="152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278,452</w:t>
            </w:r>
          </w:p>
        </w:tc>
        <w:tc>
          <w:tcPr>
            <w:tcW w:w="140" w:type="dxa"/>
            <w:vAlign w:val="bottom"/>
            <w:shd w:val="clear" w:color="auto" w:fill="C6F4F9"/>
          </w:tcPr>
          <w:p>
            <w:pPr>
              <w:spacing w:after="0"/>
              <w:rPr>
                <w:sz w:val="18"/>
                <w:szCs w:val="18"/>
                <w:color w:val="auto"/>
              </w:rPr>
            </w:pPr>
          </w:p>
        </w:tc>
        <w:tc>
          <w:tcPr>
            <w:tcW w:w="80" w:type="dxa"/>
            <w:vAlign w:val="bottom"/>
            <w:shd w:val="clear" w:color="auto" w:fill="C6F4F9"/>
          </w:tcPr>
          <w:p>
            <w:pPr>
              <w:spacing w:after="0"/>
              <w:rPr>
                <w:sz w:val="18"/>
                <w:szCs w:val="18"/>
                <w:color w:val="auto"/>
              </w:rPr>
            </w:pPr>
          </w:p>
        </w:tc>
        <w:tc>
          <w:tcPr>
            <w:tcW w:w="200" w:type="dxa"/>
            <w:vAlign w:val="bottom"/>
            <w:tcBorders>
              <w:top w:val="single" w:sz="8" w:color="auto"/>
            </w:tcBorders>
            <w:shd w:val="clear" w:color="auto" w:fill="C6F4F9"/>
          </w:tcPr>
          <w:p>
            <w:pPr>
              <w:spacing w:after="0"/>
              <w:rPr>
                <w:sz w:val="18"/>
                <w:szCs w:val="18"/>
                <w:color w:val="auto"/>
              </w:rPr>
            </w:pPr>
          </w:p>
        </w:tc>
        <w:tc>
          <w:tcPr>
            <w:tcW w:w="150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248,526</w:t>
            </w:r>
          </w:p>
        </w:tc>
        <w:tc>
          <w:tcPr>
            <w:tcW w:w="100" w:type="dxa"/>
            <w:vAlign w:val="bottom"/>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Total stockholders’ equity</w:t>
            </w:r>
          </w:p>
        </w:tc>
        <w:tc>
          <w:tcPr>
            <w:tcW w:w="2060" w:type="dxa"/>
            <w:vAlign w:val="bottom"/>
            <w:tcBorders>
              <w:bottom w:val="single" w:sz="8" w:color="C6F4F9"/>
            </w:tcBorders>
            <w:shd w:val="clear" w:color="auto" w:fill="C6F4F9"/>
          </w:tcPr>
          <w:p>
            <w:pPr>
              <w:spacing w:after="0"/>
              <w:rPr>
                <w:sz w:val="19"/>
                <w:szCs w:val="19"/>
                <w:color w:val="auto"/>
              </w:rPr>
            </w:pPr>
          </w:p>
        </w:tc>
        <w:tc>
          <w:tcPr>
            <w:tcW w:w="220" w:type="dxa"/>
            <w:vAlign w:val="bottom"/>
            <w:tcBorders>
              <w:bottom w:val="single" w:sz="8" w:color="auto"/>
            </w:tcBorders>
            <w:shd w:val="clear" w:color="auto" w:fill="C6F4F9"/>
          </w:tcPr>
          <w:p>
            <w:pPr>
              <w:spacing w:after="0"/>
              <w:rPr>
                <w:sz w:val="19"/>
                <w:szCs w:val="19"/>
                <w:color w:val="auto"/>
              </w:rPr>
            </w:pPr>
          </w:p>
        </w:tc>
        <w:tc>
          <w:tcPr>
            <w:tcW w:w="152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278,475</w:t>
            </w:r>
          </w:p>
        </w:tc>
        <w:tc>
          <w:tcPr>
            <w:tcW w:w="140" w:type="dxa"/>
            <w:vAlign w:val="bottom"/>
            <w:tcBorders>
              <w:bottom w:val="single" w:sz="8" w:color="C6F4F9"/>
            </w:tcBorders>
            <w:shd w:val="clear" w:color="auto" w:fill="C6F4F9"/>
          </w:tcPr>
          <w:p>
            <w:pPr>
              <w:spacing w:after="0"/>
              <w:rPr>
                <w:sz w:val="19"/>
                <w:szCs w:val="19"/>
                <w:color w:val="auto"/>
              </w:rPr>
            </w:pPr>
          </w:p>
        </w:tc>
        <w:tc>
          <w:tcPr>
            <w:tcW w:w="80" w:type="dxa"/>
            <w:vAlign w:val="bottom"/>
            <w:tcBorders>
              <w:bottom w:val="single" w:sz="8" w:color="C6F4F9"/>
            </w:tcBorders>
            <w:shd w:val="clear" w:color="auto" w:fill="C6F4F9"/>
          </w:tcPr>
          <w:p>
            <w:pPr>
              <w:spacing w:after="0"/>
              <w:rPr>
                <w:sz w:val="19"/>
                <w:szCs w:val="19"/>
                <w:color w:val="auto"/>
              </w:rPr>
            </w:pPr>
          </w:p>
        </w:tc>
        <w:tc>
          <w:tcPr>
            <w:tcW w:w="200" w:type="dxa"/>
            <w:vAlign w:val="bottom"/>
            <w:tcBorders>
              <w:bottom w:val="single" w:sz="8" w:color="auto"/>
            </w:tcBorders>
            <w:shd w:val="clear" w:color="auto" w:fill="C6F4F9"/>
          </w:tcPr>
          <w:p>
            <w:pPr>
              <w:spacing w:after="0"/>
              <w:rPr>
                <w:sz w:val="19"/>
                <w:szCs w:val="19"/>
                <w:color w:val="auto"/>
              </w:rPr>
            </w:pPr>
          </w:p>
        </w:tc>
        <w:tc>
          <w:tcPr>
            <w:tcW w:w="15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248,546</w:t>
            </w:r>
          </w:p>
        </w:tc>
        <w:tc>
          <w:tcPr>
            <w:tcW w:w="100" w:type="dxa"/>
            <w:vAlign w:val="bottom"/>
            <w:tcBorders>
              <w:bottom w:val="single" w:sz="8" w:color="C6F4F9"/>
            </w:tcBorders>
            <w:shd w:val="clear" w:color="auto" w:fill="C6F4F9"/>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377,411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305,683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60" w:type="dxa"/>
            <w:vAlign w:val="bottom"/>
            <w:vMerge w:val="restart"/>
          </w:tcPr>
          <w:p>
            <w:pPr>
              <w:jc w:val="right"/>
              <w:ind w:right="1810"/>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-7076440</wp:posOffset>
            </wp:positionV>
            <wp:extent cx="72466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8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addition to its reported operating results in accordance with U.S. generally accepted accounting principles (GAAP), EXL has included in this release adjusted financial measures (Adjusted EBITDA, Adjusted net income and Adjusted diluted earnings per share) that the Securities and Exchange Commission defines as “non-GAAP financial measures.”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 The Company believes that providing these adjusted measures may help investors better understand the Company’s underlying financial performance. Management also believes that these adjusted financial measures, when read in conjunction with the Company’s reported results, can provide useful supplemental information for investors analyzing period to period comparisons of the Company’s results and comparisons of the Company’s results with the results of other companies. The Company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our ability to generate cash flow.</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year ended December 31, 2011 and December 31, 2010 and for the three month periods ended December 31, 2011, December 31, 2010 and September 30, 2011:</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(Amounts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September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6F4F9"/>
          </w:tcPr>
          <w:p>
            <w:pPr>
              <w:spacing w:after="0"/>
              <w:rPr>
                <w:sz w:val="20"/>
                <w:szCs w:val="20"/>
                <w:color w:val="auto"/>
              </w:rPr>
            </w:pPr>
            <w:r>
              <w:rPr>
                <w:rFonts w:ascii="Arial" w:cs="Arial" w:eastAsia="Arial" w:hAnsi="Arial"/>
                <w:sz w:val="18"/>
                <w:szCs w:val="18"/>
                <w:b w:val="1"/>
                <w:bCs w:val="1"/>
                <w:color w:val="auto"/>
              </w:rPr>
              <w:t>Net income (GAAP)</w:t>
            </w:r>
          </w:p>
        </w:tc>
        <w:tc>
          <w:tcPr>
            <w:tcW w:w="440" w:type="dxa"/>
            <w:vAlign w:val="bottom"/>
            <w:gridSpan w:val="2"/>
            <w:shd w:val="clear" w:color="auto" w:fill="C6F4F9"/>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b w:val="1"/>
                <w:bCs w:val="1"/>
                <w:color w:val="auto"/>
              </w:rPr>
              <w:t>34,780</w:t>
            </w:r>
          </w:p>
        </w:tc>
        <w:tc>
          <w:tcPr>
            <w:tcW w:w="480" w:type="dxa"/>
            <w:vAlign w:val="bottom"/>
            <w:gridSpan w:val="2"/>
            <w:shd w:val="clear" w:color="auto" w:fill="C6F4F9"/>
          </w:tcPr>
          <w:p>
            <w:pPr>
              <w:jc w:val="right"/>
              <w:ind w:right="2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b w:val="1"/>
                <w:bCs w:val="1"/>
                <w:color w:val="auto"/>
              </w:rPr>
              <w:t>26,592</w:t>
            </w:r>
          </w:p>
        </w:tc>
        <w:tc>
          <w:tcPr>
            <w:tcW w:w="320" w:type="dxa"/>
            <w:vAlign w:val="bottom"/>
            <w:gridSpan w:val="2"/>
            <w:shd w:val="clear" w:color="auto" w:fill="C6F4F9"/>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6F4F9"/>
          </w:tcPr>
          <w:p>
            <w:pPr>
              <w:jc w:val="right"/>
              <w:ind w:right="200"/>
              <w:spacing w:after="0"/>
              <w:rPr>
                <w:sz w:val="20"/>
                <w:szCs w:val="20"/>
                <w:color w:val="auto"/>
              </w:rPr>
            </w:pPr>
            <w:r>
              <w:rPr>
                <w:rFonts w:ascii="Arial" w:cs="Arial" w:eastAsia="Arial" w:hAnsi="Arial"/>
                <w:sz w:val="18"/>
                <w:szCs w:val="18"/>
                <w:b w:val="1"/>
                <w:bCs w:val="1"/>
                <w:color w:val="auto"/>
              </w:rPr>
              <w:t>9,553</w:t>
            </w:r>
          </w:p>
        </w:tc>
        <w:tc>
          <w:tcPr>
            <w:tcW w:w="240" w:type="dxa"/>
            <w:vAlign w:val="bottom"/>
            <w:shd w:val="clear" w:color="auto" w:fill="C6F4F9"/>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b w:val="1"/>
                <w:bCs w:val="1"/>
                <w:color w:val="auto"/>
              </w:rPr>
              <w:t>8,296</w:t>
            </w:r>
          </w:p>
        </w:tc>
        <w:tc>
          <w:tcPr>
            <w:tcW w:w="200" w:type="dxa"/>
            <w:vAlign w:val="bottom"/>
            <w:gridSpan w:val="2"/>
            <w:shd w:val="clear" w:color="auto" w:fill="C6F4F9"/>
          </w:tcPr>
          <w:p>
            <w:pPr>
              <w:ind w:left="8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b w:val="1"/>
                <w:bCs w:val="1"/>
                <w:color w:val="auto"/>
              </w:rPr>
              <w:t>8,391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20"/>
              <w:spacing w:after="0"/>
              <w:rPr>
                <w:sz w:val="20"/>
                <w:szCs w:val="20"/>
                <w:color w:val="auto"/>
              </w:rPr>
            </w:pPr>
            <w:r>
              <w:rPr>
                <w:rFonts w:ascii="Arial" w:cs="Arial" w:eastAsia="Arial" w:hAnsi="Arial"/>
                <w:sz w:val="18"/>
                <w:szCs w:val="18"/>
                <w:color w:val="auto"/>
              </w:rPr>
              <w:t>add: Income tax provision, Other income/(expense)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3,189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6F4F9"/>
          </w:tcPr>
          <w:p>
            <w:pPr>
              <w:spacing w:after="0"/>
              <w:rPr>
                <w:sz w:val="20"/>
                <w:szCs w:val="20"/>
                <w:color w:val="auto"/>
              </w:rPr>
            </w:pPr>
            <w:r>
              <w:rPr>
                <w:rFonts w:ascii="Arial" w:cs="Arial" w:eastAsia="Arial" w:hAnsi="Arial"/>
                <w:sz w:val="18"/>
                <w:szCs w:val="18"/>
                <w:b w:val="1"/>
                <w:bCs w:val="1"/>
                <w:color w:val="auto"/>
              </w:rPr>
              <w:t>Income from continuing operations (GAAP)</w:t>
            </w:r>
          </w:p>
        </w:tc>
        <w:tc>
          <w:tcPr>
            <w:tcW w:w="180" w:type="dxa"/>
            <w:vAlign w:val="bottom"/>
            <w:shd w:val="clear" w:color="auto" w:fill="C6F4F9"/>
          </w:tcPr>
          <w:p>
            <w:pPr>
              <w:spacing w:after="0"/>
              <w:rPr>
                <w:sz w:val="18"/>
                <w:szCs w:val="18"/>
                <w:color w:val="auto"/>
              </w:rPr>
            </w:pPr>
          </w:p>
        </w:tc>
        <w:tc>
          <w:tcPr>
            <w:tcW w:w="260" w:type="dxa"/>
            <w:vAlign w:val="bottom"/>
            <w:shd w:val="clear" w:color="auto" w:fill="C6F4F9"/>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b w:val="1"/>
                <w:bCs w:val="1"/>
                <w:color w:val="auto"/>
              </w:rPr>
              <w:t>41,318</w:t>
            </w:r>
          </w:p>
        </w:tc>
        <w:tc>
          <w:tcPr>
            <w:tcW w:w="480" w:type="dxa"/>
            <w:vAlign w:val="bottom"/>
            <w:gridSpan w:val="2"/>
            <w:shd w:val="clear" w:color="auto" w:fill="C6F4F9"/>
          </w:tcPr>
          <w:p>
            <w:pPr>
              <w:jc w:val="right"/>
              <w:ind w:right="2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b w:val="1"/>
                <w:bCs w:val="1"/>
                <w:color w:val="auto"/>
              </w:rPr>
              <w:t>26,523</w:t>
            </w:r>
          </w:p>
        </w:tc>
        <w:tc>
          <w:tcPr>
            <w:tcW w:w="320" w:type="dxa"/>
            <w:vAlign w:val="bottom"/>
            <w:gridSpan w:val="2"/>
            <w:shd w:val="clear" w:color="auto" w:fill="C6F4F9"/>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6F4F9"/>
          </w:tcPr>
          <w:p>
            <w:pPr>
              <w:jc w:val="right"/>
              <w:ind w:right="200"/>
              <w:spacing w:after="0"/>
              <w:rPr>
                <w:sz w:val="20"/>
                <w:szCs w:val="20"/>
                <w:color w:val="auto"/>
              </w:rPr>
            </w:pPr>
            <w:r>
              <w:rPr>
                <w:rFonts w:ascii="Arial" w:cs="Arial" w:eastAsia="Arial" w:hAnsi="Arial"/>
                <w:sz w:val="18"/>
                <w:szCs w:val="18"/>
                <w:b w:val="1"/>
                <w:bCs w:val="1"/>
                <w:color w:val="auto"/>
              </w:rPr>
              <w:t>12,742</w:t>
            </w:r>
          </w:p>
        </w:tc>
        <w:tc>
          <w:tcPr>
            <w:tcW w:w="240" w:type="dxa"/>
            <w:vAlign w:val="bottom"/>
            <w:shd w:val="clear" w:color="auto" w:fill="C6F4F9"/>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b w:val="1"/>
                <w:bCs w:val="1"/>
                <w:color w:val="auto"/>
              </w:rPr>
              <w:t>7,792</w:t>
            </w:r>
          </w:p>
        </w:tc>
        <w:tc>
          <w:tcPr>
            <w:tcW w:w="200" w:type="dxa"/>
            <w:vAlign w:val="bottom"/>
            <w:gridSpan w:val="2"/>
            <w:shd w:val="clear" w:color="auto" w:fill="C6F4F9"/>
          </w:tcPr>
          <w:p>
            <w:pPr>
              <w:ind w:left="8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b w:val="1"/>
                <w:bCs w:val="1"/>
                <w:color w:val="auto"/>
              </w:rPr>
              <w:t>11,660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20"/>
              <w:spacing w:after="0"/>
              <w:rPr>
                <w:sz w:val="20"/>
                <w:szCs w:val="20"/>
                <w:color w:val="auto"/>
              </w:rPr>
            </w:pPr>
            <w:r>
              <w:rPr>
                <w:rFonts w:ascii="Arial" w:cs="Arial" w:eastAsia="Arial" w:hAnsi="Arial"/>
                <w:sz w:val="18"/>
                <w:szCs w:val="18"/>
                <w:color w:val="auto"/>
              </w:rPr>
              <w:t>add: Stock-based compensation expense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9,462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8,491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2,175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6F4F9"/>
          </w:tcPr>
          <w:p>
            <w:pPr>
              <w:ind w:left="320"/>
              <w:spacing w:after="0"/>
              <w:rPr>
                <w:sz w:val="20"/>
                <w:szCs w:val="20"/>
                <w:color w:val="auto"/>
              </w:rPr>
            </w:pPr>
            <w:r>
              <w:rPr>
                <w:rFonts w:ascii="Arial" w:cs="Arial" w:eastAsia="Arial" w:hAnsi="Arial"/>
                <w:sz w:val="18"/>
                <w:szCs w:val="18"/>
                <w:color w:val="auto"/>
                <w:w w:val="96"/>
              </w:rPr>
              <w:t>add: Amortization of acquisition-related intangibles (b)</w:t>
            </w:r>
          </w:p>
        </w:tc>
        <w:tc>
          <w:tcPr>
            <w:tcW w:w="180" w:type="dxa"/>
            <w:vAlign w:val="bottom"/>
            <w:shd w:val="clear" w:color="auto" w:fill="C6F4F9"/>
          </w:tcPr>
          <w:p>
            <w:pPr>
              <w:spacing w:after="0"/>
              <w:rPr>
                <w:sz w:val="18"/>
                <w:szCs w:val="18"/>
                <w:color w:val="auto"/>
              </w:rPr>
            </w:pPr>
          </w:p>
        </w:tc>
        <w:tc>
          <w:tcPr>
            <w:tcW w:w="26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4,329</w:t>
            </w:r>
          </w:p>
        </w:tc>
        <w:tc>
          <w:tcPr>
            <w:tcW w:w="120" w:type="dxa"/>
            <w:vAlign w:val="bottom"/>
            <w:shd w:val="clear" w:color="auto" w:fill="C6F4F9"/>
          </w:tcPr>
          <w:p>
            <w:pPr>
              <w:spacing w:after="0"/>
              <w:rPr>
                <w:sz w:val="18"/>
                <w:szCs w:val="18"/>
                <w:color w:val="auto"/>
              </w:rPr>
            </w:pPr>
          </w:p>
        </w:tc>
        <w:tc>
          <w:tcPr>
            <w:tcW w:w="360" w:type="dxa"/>
            <w:vAlign w:val="bottom"/>
            <w:shd w:val="clear" w:color="auto" w:fill="C6F4F9"/>
          </w:tcPr>
          <w:p>
            <w:pPr>
              <w:spacing w:after="0"/>
              <w:rPr>
                <w:sz w:val="18"/>
                <w:szCs w:val="18"/>
                <w:color w:val="auto"/>
              </w:rPr>
            </w:pPr>
          </w:p>
        </w:tc>
        <w:tc>
          <w:tcPr>
            <w:tcW w:w="92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100" w:type="dxa"/>
            <w:vAlign w:val="bottom"/>
            <w:gridSpan w:val="2"/>
            <w:shd w:val="clear" w:color="auto" w:fill="C6F4F9"/>
          </w:tcPr>
          <w:p>
            <w:pPr>
              <w:jc w:val="right"/>
              <w:ind w:right="200"/>
              <w:spacing w:after="0"/>
              <w:rPr>
                <w:sz w:val="20"/>
                <w:szCs w:val="20"/>
                <w:color w:val="auto"/>
              </w:rPr>
            </w:pPr>
            <w:r>
              <w:rPr>
                <w:rFonts w:ascii="Arial" w:cs="Arial" w:eastAsia="Arial" w:hAnsi="Arial"/>
                <w:sz w:val="18"/>
                <w:szCs w:val="18"/>
                <w:color w:val="auto"/>
              </w:rPr>
              <w:t>1,385</w:t>
            </w:r>
          </w:p>
        </w:tc>
        <w:tc>
          <w:tcPr>
            <w:tcW w:w="24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shd w:val="clear" w:color="auto" w:fill="C6F4F9"/>
          </w:tcPr>
          <w:p>
            <w:pPr>
              <w:spacing w:after="0"/>
              <w:rPr>
                <w:sz w:val="2"/>
                <w:szCs w:val="2"/>
                <w:color w:val="auto"/>
              </w:rPr>
            </w:pPr>
          </w:p>
        </w:tc>
        <w:tc>
          <w:tcPr>
            <w:tcW w:w="180" w:type="dxa"/>
            <w:vAlign w:val="bottom"/>
            <w:shd w:val="clear" w:color="auto" w:fill="C6F4F9"/>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6F4F9"/>
          </w:tcPr>
          <w:p>
            <w:pPr>
              <w:spacing w:after="0"/>
              <w:rPr>
                <w:sz w:val="2"/>
                <w:szCs w:val="2"/>
                <w:color w:val="auto"/>
              </w:rPr>
            </w:pPr>
          </w:p>
        </w:tc>
        <w:tc>
          <w:tcPr>
            <w:tcW w:w="120" w:type="dxa"/>
            <w:vAlign w:val="bottom"/>
            <w:shd w:val="clear" w:color="auto" w:fill="C6F4F9"/>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6F4F9"/>
          </w:tcPr>
          <w:p>
            <w:pPr>
              <w:spacing w:after="0"/>
              <w:rPr>
                <w:sz w:val="2"/>
                <w:szCs w:val="2"/>
                <w:color w:val="auto"/>
              </w:rPr>
            </w:pPr>
          </w:p>
        </w:tc>
        <w:tc>
          <w:tcPr>
            <w:tcW w:w="80" w:type="dxa"/>
            <w:vAlign w:val="bottom"/>
            <w:shd w:val="clear" w:color="auto" w:fill="C6F4F9"/>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6F4F9"/>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6F4F9"/>
          </w:tcPr>
          <w:p>
            <w:pPr>
              <w:spacing w:after="0"/>
              <w:rPr>
                <w:sz w:val="2"/>
                <w:szCs w:val="2"/>
                <w:color w:val="auto"/>
              </w:rPr>
            </w:pPr>
          </w:p>
        </w:tc>
        <w:tc>
          <w:tcPr>
            <w:tcW w:w="80" w:type="dxa"/>
            <w:vAlign w:val="bottom"/>
            <w:shd w:val="clear" w:color="auto" w:fill="C6F4F9"/>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6F4F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55,109</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37,038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16,302</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10,565</w:t>
            </w:r>
          </w:p>
        </w:tc>
        <w:tc>
          <w:tcPr>
            <w:tcW w:w="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15,215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6F4F9"/>
          </w:tcPr>
          <w:p>
            <w:pPr>
              <w:spacing w:after="0"/>
              <w:rPr>
                <w:sz w:val="20"/>
                <w:szCs w:val="20"/>
                <w:color w:val="auto"/>
              </w:rPr>
            </w:pPr>
            <w:r>
              <w:rPr>
                <w:rFonts w:ascii="Arial" w:cs="Arial" w:eastAsia="Arial" w:hAnsi="Arial"/>
                <w:sz w:val="18"/>
                <w:szCs w:val="18"/>
                <w:i w:val="1"/>
                <w:iCs w:val="1"/>
                <w:color w:val="auto"/>
              </w:rPr>
              <w:t>Adjusted operating income margin %</w:t>
            </w:r>
          </w:p>
        </w:tc>
        <w:tc>
          <w:tcPr>
            <w:tcW w:w="180" w:type="dxa"/>
            <w:vAlign w:val="bottom"/>
            <w:shd w:val="clear" w:color="auto" w:fill="C6F4F9"/>
          </w:tcPr>
          <w:p>
            <w:pPr>
              <w:spacing w:after="0"/>
              <w:rPr>
                <w:sz w:val="18"/>
                <w:szCs w:val="18"/>
                <w:color w:val="auto"/>
              </w:rPr>
            </w:pPr>
          </w:p>
        </w:tc>
        <w:tc>
          <w:tcPr>
            <w:tcW w:w="26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i w:val="1"/>
                <w:iCs w:val="1"/>
                <w:color w:val="auto"/>
              </w:rPr>
              <w:t>15.3%</w:t>
            </w:r>
          </w:p>
        </w:tc>
        <w:tc>
          <w:tcPr>
            <w:tcW w:w="120" w:type="dxa"/>
            <w:vAlign w:val="bottom"/>
            <w:shd w:val="clear" w:color="auto" w:fill="C6F4F9"/>
          </w:tcPr>
          <w:p>
            <w:pPr>
              <w:spacing w:after="0"/>
              <w:rPr>
                <w:sz w:val="18"/>
                <w:szCs w:val="18"/>
                <w:color w:val="auto"/>
              </w:rPr>
            </w:pPr>
          </w:p>
        </w:tc>
        <w:tc>
          <w:tcPr>
            <w:tcW w:w="360" w:type="dxa"/>
            <w:vAlign w:val="bottom"/>
            <w:shd w:val="clear" w:color="auto" w:fill="C6F4F9"/>
          </w:tcPr>
          <w:p>
            <w:pPr>
              <w:spacing w:after="0"/>
              <w:rPr>
                <w:sz w:val="18"/>
                <w:szCs w:val="18"/>
                <w:color w:val="auto"/>
              </w:rPr>
            </w:pPr>
          </w:p>
        </w:tc>
        <w:tc>
          <w:tcPr>
            <w:tcW w:w="92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i w:val="1"/>
                <w:iCs w:val="1"/>
                <w:color w:val="auto"/>
              </w:rPr>
              <w:t>14.7%</w:t>
            </w:r>
          </w:p>
        </w:tc>
        <w:tc>
          <w:tcPr>
            <w:tcW w:w="8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100" w:type="dxa"/>
            <w:vAlign w:val="bottom"/>
            <w:gridSpan w:val="2"/>
            <w:shd w:val="clear" w:color="auto" w:fill="C6F4F9"/>
          </w:tcPr>
          <w:p>
            <w:pPr>
              <w:jc w:val="right"/>
              <w:ind w:right="200"/>
              <w:spacing w:after="0"/>
              <w:rPr>
                <w:sz w:val="20"/>
                <w:szCs w:val="20"/>
                <w:color w:val="auto"/>
              </w:rPr>
            </w:pPr>
            <w:r>
              <w:rPr>
                <w:rFonts w:ascii="Arial" w:cs="Arial" w:eastAsia="Arial" w:hAnsi="Arial"/>
                <w:sz w:val="18"/>
                <w:szCs w:val="18"/>
                <w:i w:val="1"/>
                <w:iCs w:val="1"/>
                <w:color w:val="auto"/>
              </w:rPr>
              <w:t>15.9%</w:t>
            </w:r>
          </w:p>
        </w:tc>
        <w:tc>
          <w:tcPr>
            <w:tcW w:w="24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i w:val="1"/>
                <w:iCs w:val="1"/>
                <w:color w:val="auto"/>
              </w:rPr>
              <w:t>15.1%</w:t>
            </w:r>
          </w:p>
        </w:tc>
        <w:tc>
          <w:tcPr>
            <w:tcW w:w="8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i w:val="1"/>
                <w:iCs w:val="1"/>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20"/>
              <w:spacing w:after="0"/>
              <w:rPr>
                <w:sz w:val="20"/>
                <w:szCs w:val="20"/>
                <w:color w:val="auto"/>
              </w:rPr>
            </w:pPr>
            <w:r>
              <w:rPr>
                <w:rFonts w:ascii="Arial" w:cs="Arial" w:eastAsia="Arial" w:hAnsi="Arial"/>
                <w:sz w:val="18"/>
                <w:szCs w:val="18"/>
                <w:color w:val="auto"/>
              </w:rPr>
              <w:t>add: Depreciation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18,665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13,811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5,204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00" w:type="dxa"/>
            <w:vAlign w:val="bottom"/>
            <w:shd w:val="clear" w:color="auto" w:fill="C6F4F9"/>
          </w:tcPr>
          <w:p>
            <w:pPr>
              <w:spacing w:after="0"/>
              <w:rPr>
                <w:sz w:val="20"/>
                <w:szCs w:val="20"/>
                <w:color w:val="auto"/>
              </w:rPr>
            </w:pPr>
            <w:r>
              <w:rPr>
                <w:rFonts w:ascii="Arial" w:cs="Arial" w:eastAsia="Arial" w:hAnsi="Arial"/>
                <w:sz w:val="18"/>
                <w:szCs w:val="18"/>
                <w:b w:val="1"/>
                <w:bCs w:val="1"/>
                <w:color w:val="auto"/>
              </w:rPr>
              <w:t>Adjusted EBITDA (Non-GAAP)</w:t>
            </w:r>
          </w:p>
        </w:tc>
        <w:tc>
          <w:tcPr>
            <w:tcW w:w="180" w:type="dxa"/>
            <w:vAlign w:val="bottom"/>
            <w:shd w:val="clear" w:color="auto" w:fill="C6F4F9"/>
          </w:tcPr>
          <w:p>
            <w:pPr>
              <w:spacing w:after="0"/>
              <w:rPr>
                <w:sz w:val="20"/>
                <w:szCs w:val="20"/>
                <w:color w:val="auto"/>
              </w:rPr>
            </w:pPr>
          </w:p>
        </w:tc>
        <w:tc>
          <w:tcPr>
            <w:tcW w:w="260" w:type="dxa"/>
            <w:vAlign w:val="bottom"/>
            <w:shd w:val="clear" w:color="auto" w:fill="C6F4F9"/>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b w:val="1"/>
                <w:bCs w:val="1"/>
                <w:color w:val="auto"/>
              </w:rPr>
              <w:t>73,774</w:t>
            </w:r>
          </w:p>
        </w:tc>
        <w:tc>
          <w:tcPr>
            <w:tcW w:w="480" w:type="dxa"/>
            <w:vAlign w:val="bottom"/>
            <w:gridSpan w:val="2"/>
            <w:shd w:val="clear" w:color="auto" w:fill="C6F4F9"/>
          </w:tcPr>
          <w:p>
            <w:pPr>
              <w:jc w:val="right"/>
              <w:ind w:right="2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b w:val="1"/>
                <w:bCs w:val="1"/>
                <w:color w:val="auto"/>
              </w:rPr>
              <w:t>50,849</w:t>
            </w:r>
          </w:p>
        </w:tc>
        <w:tc>
          <w:tcPr>
            <w:tcW w:w="320" w:type="dxa"/>
            <w:vAlign w:val="bottom"/>
            <w:gridSpan w:val="2"/>
            <w:shd w:val="clear" w:color="auto" w:fill="C6F4F9"/>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6F4F9"/>
          </w:tcPr>
          <w:p>
            <w:pPr>
              <w:jc w:val="right"/>
              <w:ind w:right="200"/>
              <w:spacing w:after="0"/>
              <w:rPr>
                <w:sz w:val="20"/>
                <w:szCs w:val="20"/>
                <w:color w:val="auto"/>
              </w:rPr>
            </w:pPr>
            <w:r>
              <w:rPr>
                <w:rFonts w:ascii="Arial" w:cs="Arial" w:eastAsia="Arial" w:hAnsi="Arial"/>
                <w:sz w:val="18"/>
                <w:szCs w:val="18"/>
                <w:b w:val="1"/>
                <w:bCs w:val="1"/>
                <w:color w:val="auto"/>
              </w:rPr>
              <w:t>21,506</w:t>
            </w:r>
          </w:p>
        </w:tc>
        <w:tc>
          <w:tcPr>
            <w:tcW w:w="240" w:type="dxa"/>
            <w:vAlign w:val="bottom"/>
            <w:shd w:val="clear" w:color="auto" w:fill="C6F4F9"/>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b w:val="1"/>
                <w:bCs w:val="1"/>
                <w:color w:val="auto"/>
              </w:rPr>
              <w:t>14,616</w:t>
            </w:r>
          </w:p>
        </w:tc>
        <w:tc>
          <w:tcPr>
            <w:tcW w:w="200" w:type="dxa"/>
            <w:vAlign w:val="bottom"/>
            <w:gridSpan w:val="2"/>
            <w:shd w:val="clear" w:color="auto" w:fill="C6F4F9"/>
          </w:tcPr>
          <w:p>
            <w:pPr>
              <w:ind w:left="8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b w:val="1"/>
                <w:bCs w:val="1"/>
                <w:color w:val="auto"/>
              </w:rPr>
              <w:t>20,263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tcBorders>
              <w:top w:val="single" w:sz="8" w:color="C6F4F9"/>
            </w:tcBorders>
            <w:shd w:val="clear" w:color="auto" w:fill="C6F4F9"/>
          </w:tcPr>
          <w:p>
            <w:pPr>
              <w:spacing w:after="0" w:line="20" w:lineRule="exact"/>
              <w:rPr>
                <w:sz w:val="1"/>
                <w:szCs w:val="1"/>
                <w:color w:val="auto"/>
              </w:rPr>
            </w:pPr>
          </w:p>
        </w:tc>
        <w:tc>
          <w:tcPr>
            <w:tcW w:w="180" w:type="dxa"/>
            <w:vAlign w:val="bottom"/>
            <w:tcBorders>
              <w:top w:val="single" w:sz="8" w:color="C6F4F9"/>
            </w:tcBorders>
            <w:shd w:val="clear" w:color="auto" w:fill="C6F4F9"/>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6F4F9"/>
            </w:tcBorders>
            <w:shd w:val="clear" w:color="auto" w:fill="C6F4F9"/>
          </w:tcPr>
          <w:p>
            <w:pPr>
              <w:spacing w:after="0" w:line="20" w:lineRule="exact"/>
              <w:rPr>
                <w:sz w:val="1"/>
                <w:szCs w:val="1"/>
                <w:color w:val="auto"/>
              </w:rPr>
            </w:pPr>
          </w:p>
        </w:tc>
        <w:tc>
          <w:tcPr>
            <w:tcW w:w="120" w:type="dxa"/>
            <w:vAlign w:val="bottom"/>
            <w:tcBorders>
              <w:top w:val="single" w:sz="8" w:color="C6F4F9"/>
            </w:tcBorders>
            <w:shd w:val="clear" w:color="auto" w:fill="C6F4F9"/>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6F4F9"/>
            </w:tcBorders>
            <w:shd w:val="clear" w:color="auto" w:fill="C6F4F9"/>
          </w:tcPr>
          <w:p>
            <w:pPr>
              <w:spacing w:after="0" w:line="20" w:lineRule="exact"/>
              <w:rPr>
                <w:sz w:val="1"/>
                <w:szCs w:val="1"/>
                <w:color w:val="auto"/>
              </w:rPr>
            </w:pPr>
          </w:p>
        </w:tc>
        <w:tc>
          <w:tcPr>
            <w:tcW w:w="80" w:type="dxa"/>
            <w:vAlign w:val="bottom"/>
            <w:tcBorders>
              <w:top w:val="single" w:sz="8" w:color="C6F4F9"/>
            </w:tcBorders>
            <w:shd w:val="clear" w:color="auto" w:fill="C6F4F9"/>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6F4F9"/>
            </w:tcBorders>
            <w:shd w:val="clear" w:color="auto" w:fill="C6F4F9"/>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6F4F9"/>
            </w:tcBorders>
            <w:shd w:val="clear" w:color="auto" w:fill="C6F4F9"/>
          </w:tcPr>
          <w:p>
            <w:pPr>
              <w:spacing w:after="0" w:line="20" w:lineRule="exact"/>
              <w:rPr>
                <w:sz w:val="1"/>
                <w:szCs w:val="1"/>
                <w:color w:val="auto"/>
              </w:rPr>
            </w:pPr>
          </w:p>
        </w:tc>
        <w:tc>
          <w:tcPr>
            <w:tcW w:w="80" w:type="dxa"/>
            <w:vAlign w:val="bottom"/>
            <w:tcBorders>
              <w:top w:val="single" w:sz="8" w:color="C6F4F9"/>
            </w:tcBorders>
            <w:shd w:val="clear" w:color="auto" w:fill="C6F4F9"/>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6F4F9"/>
            </w:tcBorders>
            <w:shd w:val="clear" w:color="auto" w:fill="C6F4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i w:val="1"/>
                <w:iCs w:val="1"/>
                <w:color w:val="auto"/>
              </w:rPr>
              <w:t>Adjusted EBITDA margin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21.0%</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20.3%</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exclude stock-based compensation expense under ASC Topic 718.</w:t>
      </w:r>
    </w:p>
    <w:p>
      <w:pPr>
        <w:spacing w:after="0" w:line="21" w:lineRule="exact"/>
        <w:rPr>
          <w:rFonts w:ascii="Arial" w:cs="Arial" w:eastAsia="Arial" w:hAnsi="Arial"/>
          <w:sz w:val="14"/>
          <w:szCs w:val="14"/>
          <w:color w:val="auto"/>
        </w:rPr>
      </w:pP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exclude amortization of acquisition-related intangibles.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September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88"/>
              </w:rPr>
              <w:t>December 31,</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6F4F9"/>
          </w:tcPr>
          <w:p>
            <w:pPr>
              <w:spacing w:after="0"/>
              <w:rPr>
                <w:sz w:val="20"/>
                <w:szCs w:val="20"/>
                <w:color w:val="auto"/>
              </w:rPr>
            </w:pPr>
            <w:r>
              <w:rPr>
                <w:rFonts w:ascii="Arial" w:cs="Arial" w:eastAsia="Arial" w:hAnsi="Arial"/>
                <w:sz w:val="18"/>
                <w:szCs w:val="18"/>
                <w:b w:val="1"/>
                <w:bCs w:val="1"/>
                <w:color w:val="auto"/>
              </w:rPr>
              <w:t>Net income (GAAP)</w:t>
            </w:r>
          </w:p>
        </w:tc>
        <w:tc>
          <w:tcPr>
            <w:tcW w:w="440" w:type="dxa"/>
            <w:vAlign w:val="bottom"/>
            <w:gridSpan w:val="2"/>
            <w:shd w:val="clear" w:color="auto" w:fill="C6F4F9"/>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6F4F9"/>
          </w:tcPr>
          <w:p>
            <w:pPr>
              <w:jc w:val="right"/>
              <w:ind w:right="160"/>
              <w:spacing w:after="0"/>
              <w:rPr>
                <w:sz w:val="20"/>
                <w:szCs w:val="20"/>
                <w:color w:val="auto"/>
              </w:rPr>
            </w:pPr>
            <w:r>
              <w:rPr>
                <w:rFonts w:ascii="Arial" w:cs="Arial" w:eastAsia="Arial" w:hAnsi="Arial"/>
                <w:sz w:val="18"/>
                <w:szCs w:val="18"/>
                <w:b w:val="1"/>
                <w:bCs w:val="1"/>
                <w:color w:val="auto"/>
              </w:rPr>
              <w:t>34,780</w:t>
            </w:r>
          </w:p>
        </w:tc>
        <w:tc>
          <w:tcPr>
            <w:tcW w:w="460" w:type="dxa"/>
            <w:vAlign w:val="bottom"/>
            <w:gridSpan w:val="2"/>
            <w:shd w:val="clear" w:color="auto" w:fill="C6F4F9"/>
          </w:tcPr>
          <w:p>
            <w:pPr>
              <w:jc w:val="right"/>
              <w:ind w:right="2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b w:val="1"/>
                <w:bCs w:val="1"/>
                <w:color w:val="auto"/>
              </w:rPr>
              <w:t>26,592</w:t>
            </w:r>
          </w:p>
        </w:tc>
        <w:tc>
          <w:tcPr>
            <w:tcW w:w="320" w:type="dxa"/>
            <w:vAlign w:val="bottom"/>
            <w:gridSpan w:val="2"/>
            <w:shd w:val="clear" w:color="auto" w:fill="C6F4F9"/>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6F4F9"/>
          </w:tcPr>
          <w:p>
            <w:pPr>
              <w:jc w:val="right"/>
              <w:ind w:right="200"/>
              <w:spacing w:after="0"/>
              <w:rPr>
                <w:sz w:val="20"/>
                <w:szCs w:val="20"/>
                <w:color w:val="auto"/>
              </w:rPr>
            </w:pPr>
            <w:r>
              <w:rPr>
                <w:rFonts w:ascii="Arial" w:cs="Arial" w:eastAsia="Arial" w:hAnsi="Arial"/>
                <w:sz w:val="18"/>
                <w:szCs w:val="18"/>
                <w:b w:val="1"/>
                <w:bCs w:val="1"/>
                <w:color w:val="auto"/>
              </w:rPr>
              <w:t>9,553</w:t>
            </w:r>
          </w:p>
        </w:tc>
        <w:tc>
          <w:tcPr>
            <w:tcW w:w="120" w:type="dxa"/>
            <w:vAlign w:val="bottom"/>
            <w:shd w:val="clear" w:color="auto" w:fill="C6F4F9"/>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6F4F9"/>
          </w:tcPr>
          <w:p>
            <w:pPr>
              <w:spacing w:after="0"/>
              <w:rPr>
                <w:sz w:val="18"/>
                <w:szCs w:val="18"/>
                <w:color w:val="auto"/>
              </w:rPr>
            </w:pPr>
          </w:p>
        </w:tc>
        <w:tc>
          <w:tcPr>
            <w:tcW w:w="8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b w:val="1"/>
                <w:bCs w:val="1"/>
                <w:color w:val="auto"/>
              </w:rPr>
              <w:t>8,296</w:t>
            </w:r>
          </w:p>
        </w:tc>
        <w:tc>
          <w:tcPr>
            <w:tcW w:w="200" w:type="dxa"/>
            <w:vAlign w:val="bottom"/>
            <w:gridSpan w:val="2"/>
            <w:shd w:val="clear" w:color="auto" w:fill="C6F4F9"/>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b w:val="1"/>
                <w:bCs w:val="1"/>
                <w:color w:val="auto"/>
              </w:rPr>
              <w:t>8,391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20"/>
              <w:spacing w:after="0"/>
              <w:rPr>
                <w:sz w:val="20"/>
                <w:szCs w:val="20"/>
                <w:color w:val="auto"/>
              </w:rPr>
            </w:pPr>
            <w:r>
              <w:rPr>
                <w:rFonts w:ascii="Arial" w:cs="Arial" w:eastAsia="Arial" w:hAnsi="Arial"/>
                <w:sz w:val="18"/>
                <w:szCs w:val="18"/>
                <w:color w:val="auto"/>
              </w:rPr>
              <w:t>add: Stock-based compensation expense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9,462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8,491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6F4F9"/>
          </w:tcPr>
          <w:p>
            <w:pPr>
              <w:ind w:left="320"/>
              <w:spacing w:after="0"/>
              <w:rPr>
                <w:sz w:val="20"/>
                <w:szCs w:val="20"/>
                <w:color w:val="auto"/>
              </w:rPr>
            </w:pPr>
            <w:r>
              <w:rPr>
                <w:rFonts w:ascii="Arial" w:cs="Arial" w:eastAsia="Arial" w:hAnsi="Arial"/>
                <w:sz w:val="18"/>
                <w:szCs w:val="18"/>
                <w:color w:val="auto"/>
                <w:w w:val="96"/>
              </w:rPr>
              <w:t>add: Amortization of acquisition-related intangibles (b)</w:t>
            </w:r>
          </w:p>
        </w:tc>
        <w:tc>
          <w:tcPr>
            <w:tcW w:w="180" w:type="dxa"/>
            <w:vAlign w:val="bottom"/>
            <w:shd w:val="clear" w:color="auto" w:fill="C6F4F9"/>
          </w:tcPr>
          <w:p>
            <w:pPr>
              <w:spacing w:after="0"/>
              <w:rPr>
                <w:sz w:val="18"/>
                <w:szCs w:val="18"/>
                <w:color w:val="auto"/>
              </w:rPr>
            </w:pPr>
          </w:p>
        </w:tc>
        <w:tc>
          <w:tcPr>
            <w:tcW w:w="26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60"/>
              <w:spacing w:after="0"/>
              <w:rPr>
                <w:sz w:val="20"/>
                <w:szCs w:val="20"/>
                <w:color w:val="auto"/>
              </w:rPr>
            </w:pPr>
            <w:r>
              <w:rPr>
                <w:rFonts w:ascii="Arial" w:cs="Arial" w:eastAsia="Arial" w:hAnsi="Arial"/>
                <w:sz w:val="18"/>
                <w:szCs w:val="18"/>
                <w:color w:val="auto"/>
              </w:rPr>
              <w:t>4,329</w:t>
            </w:r>
          </w:p>
        </w:tc>
        <w:tc>
          <w:tcPr>
            <w:tcW w:w="100" w:type="dxa"/>
            <w:vAlign w:val="bottom"/>
            <w:shd w:val="clear" w:color="auto" w:fill="C6F4F9"/>
          </w:tcPr>
          <w:p>
            <w:pPr>
              <w:spacing w:after="0"/>
              <w:rPr>
                <w:sz w:val="18"/>
                <w:szCs w:val="18"/>
                <w:color w:val="auto"/>
              </w:rPr>
            </w:pPr>
          </w:p>
        </w:tc>
        <w:tc>
          <w:tcPr>
            <w:tcW w:w="360" w:type="dxa"/>
            <w:vAlign w:val="bottom"/>
            <w:shd w:val="clear" w:color="auto" w:fill="C6F4F9"/>
          </w:tcPr>
          <w:p>
            <w:pPr>
              <w:spacing w:after="0"/>
              <w:rPr>
                <w:sz w:val="18"/>
                <w:szCs w:val="18"/>
                <w:color w:val="auto"/>
              </w:rPr>
            </w:pPr>
          </w:p>
        </w:tc>
        <w:tc>
          <w:tcPr>
            <w:tcW w:w="92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100" w:type="dxa"/>
            <w:vAlign w:val="bottom"/>
            <w:gridSpan w:val="2"/>
            <w:shd w:val="clear" w:color="auto" w:fill="C6F4F9"/>
          </w:tcPr>
          <w:p>
            <w:pPr>
              <w:jc w:val="right"/>
              <w:ind w:right="200"/>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8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ind w:left="320"/>
              <w:spacing w:after="0" w:line="201" w:lineRule="exact"/>
              <w:rPr>
                <w:sz w:val="20"/>
                <w:szCs w:val="20"/>
                <w:color w:val="auto"/>
              </w:rPr>
            </w:pPr>
            <w:r>
              <w:rPr>
                <w:rFonts w:ascii="Arial" w:cs="Arial" w:eastAsia="Arial" w:hAnsi="Arial"/>
                <w:sz w:val="18"/>
                <w:szCs w:val="18"/>
                <w:color w:val="auto"/>
              </w:rPr>
              <w:t>subtract: Tax impact on stock-based compensation</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320"/>
              <w:spacing w:after="0"/>
              <w:rPr>
                <w:sz w:val="20"/>
                <w:szCs w:val="20"/>
                <w:color w:val="auto"/>
              </w:rPr>
            </w:pPr>
            <w:r>
              <w:rPr>
                <w:rFonts w:ascii="Arial" w:cs="Arial" w:eastAsia="Arial" w:hAnsi="Arial"/>
                <w:sz w:val="18"/>
                <w:szCs w:val="18"/>
                <w:color w:val="auto"/>
              </w:rPr>
              <w:t>expense</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(3,580)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(1,785)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6F4F9"/>
          </w:tcPr>
          <w:p>
            <w:pPr>
              <w:ind w:left="320"/>
              <w:spacing w:after="0" w:line="201" w:lineRule="exact"/>
              <w:rPr>
                <w:sz w:val="20"/>
                <w:szCs w:val="20"/>
                <w:color w:val="auto"/>
              </w:rPr>
            </w:pPr>
            <w:r>
              <w:rPr>
                <w:rFonts w:ascii="Arial" w:cs="Arial" w:eastAsia="Arial" w:hAnsi="Arial"/>
                <w:sz w:val="18"/>
                <w:szCs w:val="18"/>
                <w:color w:val="auto"/>
              </w:rPr>
              <w:t>subtract: Tax impact on amortization of acquisition-</w:t>
            </w:r>
          </w:p>
        </w:tc>
        <w:tc>
          <w:tcPr>
            <w:tcW w:w="18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900" w:type="dxa"/>
            <w:vAlign w:val="bottom"/>
            <w:shd w:val="clear" w:color="auto" w:fill="C6F4F9"/>
          </w:tcPr>
          <w:p>
            <w:pPr>
              <w:spacing w:after="0"/>
              <w:rPr>
                <w:sz w:val="17"/>
                <w:szCs w:val="17"/>
                <w:color w:val="auto"/>
              </w:rPr>
            </w:pPr>
          </w:p>
        </w:tc>
        <w:tc>
          <w:tcPr>
            <w:tcW w:w="160" w:type="dxa"/>
            <w:vAlign w:val="bottom"/>
            <w:shd w:val="clear" w:color="auto" w:fill="C6F4F9"/>
          </w:tcPr>
          <w:p>
            <w:pPr>
              <w:spacing w:after="0"/>
              <w:rPr>
                <w:sz w:val="17"/>
                <w:szCs w:val="17"/>
                <w:color w:val="auto"/>
              </w:rPr>
            </w:pPr>
          </w:p>
        </w:tc>
        <w:tc>
          <w:tcPr>
            <w:tcW w:w="100" w:type="dxa"/>
            <w:vAlign w:val="bottom"/>
            <w:shd w:val="clear" w:color="auto" w:fill="C6F4F9"/>
          </w:tcPr>
          <w:p>
            <w:pPr>
              <w:spacing w:after="0"/>
              <w:rPr>
                <w:sz w:val="17"/>
                <w:szCs w:val="17"/>
                <w:color w:val="auto"/>
              </w:rPr>
            </w:pPr>
          </w:p>
        </w:tc>
        <w:tc>
          <w:tcPr>
            <w:tcW w:w="360" w:type="dxa"/>
            <w:vAlign w:val="bottom"/>
            <w:shd w:val="clear" w:color="auto" w:fill="C6F4F9"/>
          </w:tcPr>
          <w:p>
            <w:pPr>
              <w:spacing w:after="0"/>
              <w:rPr>
                <w:sz w:val="17"/>
                <w:szCs w:val="17"/>
                <w:color w:val="auto"/>
              </w:rPr>
            </w:pPr>
          </w:p>
        </w:tc>
        <w:tc>
          <w:tcPr>
            <w:tcW w:w="78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8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900" w:type="dxa"/>
            <w:vAlign w:val="bottom"/>
            <w:shd w:val="clear" w:color="auto" w:fill="C6F4F9"/>
          </w:tcPr>
          <w:p>
            <w:pPr>
              <w:spacing w:after="0"/>
              <w:rPr>
                <w:sz w:val="17"/>
                <w:szCs w:val="17"/>
                <w:color w:val="auto"/>
              </w:rPr>
            </w:pPr>
          </w:p>
        </w:tc>
        <w:tc>
          <w:tcPr>
            <w:tcW w:w="200" w:type="dxa"/>
            <w:vAlign w:val="bottom"/>
            <w:shd w:val="clear" w:color="auto" w:fill="C6F4F9"/>
          </w:tcPr>
          <w:p>
            <w:pPr>
              <w:spacing w:after="0"/>
              <w:rPr>
                <w:sz w:val="17"/>
                <w:szCs w:val="17"/>
                <w:color w:val="auto"/>
              </w:rPr>
            </w:pPr>
          </w:p>
        </w:tc>
        <w:tc>
          <w:tcPr>
            <w:tcW w:w="12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72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80" w:type="dxa"/>
            <w:vAlign w:val="bottom"/>
            <w:shd w:val="clear" w:color="auto" w:fill="C6F4F9"/>
          </w:tcPr>
          <w:p>
            <w:pPr>
              <w:spacing w:after="0"/>
              <w:rPr>
                <w:sz w:val="17"/>
                <w:szCs w:val="17"/>
                <w:color w:val="auto"/>
              </w:rPr>
            </w:pPr>
          </w:p>
        </w:tc>
        <w:tc>
          <w:tcPr>
            <w:tcW w:w="120" w:type="dxa"/>
            <w:vAlign w:val="bottom"/>
            <w:shd w:val="clear" w:color="auto" w:fill="C6F4F9"/>
          </w:tcPr>
          <w:p>
            <w:pPr>
              <w:spacing w:after="0"/>
              <w:rPr>
                <w:sz w:val="17"/>
                <w:szCs w:val="17"/>
                <w:color w:val="auto"/>
              </w:rPr>
            </w:pPr>
          </w:p>
        </w:tc>
        <w:tc>
          <w:tcPr>
            <w:tcW w:w="1020" w:type="dxa"/>
            <w:vAlign w:val="bottom"/>
            <w:shd w:val="clear" w:color="auto" w:fill="C6F4F9"/>
          </w:tcPr>
          <w:p>
            <w:pPr>
              <w:spacing w:after="0"/>
              <w:rPr>
                <w:sz w:val="17"/>
                <w:szCs w:val="17"/>
                <w:color w:val="auto"/>
              </w:rPr>
            </w:pPr>
          </w:p>
        </w:tc>
        <w:tc>
          <w:tcPr>
            <w:tcW w:w="10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6F4F9"/>
          </w:tcPr>
          <w:p>
            <w:pPr>
              <w:ind w:left="320"/>
              <w:spacing w:after="0"/>
              <w:rPr>
                <w:sz w:val="20"/>
                <w:szCs w:val="20"/>
                <w:color w:val="auto"/>
              </w:rPr>
            </w:pPr>
            <w:r>
              <w:rPr>
                <w:rFonts w:ascii="Arial" w:cs="Arial" w:eastAsia="Arial" w:hAnsi="Arial"/>
                <w:sz w:val="18"/>
                <w:szCs w:val="18"/>
                <w:color w:val="auto"/>
              </w:rPr>
              <w:t>related intangibles</w:t>
            </w:r>
          </w:p>
        </w:tc>
        <w:tc>
          <w:tcPr>
            <w:tcW w:w="180" w:type="dxa"/>
            <w:vAlign w:val="bottom"/>
            <w:shd w:val="clear" w:color="auto" w:fill="C6F4F9"/>
          </w:tcPr>
          <w:p>
            <w:pPr>
              <w:spacing w:after="0"/>
              <w:rPr>
                <w:sz w:val="20"/>
                <w:szCs w:val="20"/>
                <w:color w:val="auto"/>
              </w:rPr>
            </w:pPr>
          </w:p>
        </w:tc>
        <w:tc>
          <w:tcPr>
            <w:tcW w:w="260" w:type="dxa"/>
            <w:vAlign w:val="bottom"/>
            <w:shd w:val="clear" w:color="auto" w:fill="C6F4F9"/>
          </w:tcPr>
          <w:p>
            <w:pPr>
              <w:spacing w:after="0"/>
              <w:rPr>
                <w:sz w:val="20"/>
                <w:szCs w:val="20"/>
                <w:color w:val="auto"/>
              </w:rPr>
            </w:pPr>
          </w:p>
        </w:tc>
        <w:tc>
          <w:tcPr>
            <w:tcW w:w="106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6F4F9"/>
          </w:tcPr>
          <w:p>
            <w:pPr>
              <w:spacing w:after="0"/>
              <w:rPr>
                <w:sz w:val="20"/>
                <w:szCs w:val="20"/>
                <w:color w:val="auto"/>
              </w:rPr>
            </w:pPr>
          </w:p>
        </w:tc>
        <w:tc>
          <w:tcPr>
            <w:tcW w:w="360" w:type="dxa"/>
            <w:vAlign w:val="bottom"/>
            <w:shd w:val="clear" w:color="auto" w:fill="C6F4F9"/>
          </w:tcPr>
          <w:p>
            <w:pPr>
              <w:spacing w:after="0"/>
              <w:rPr>
                <w:sz w:val="20"/>
                <w:szCs w:val="20"/>
                <w:color w:val="auto"/>
              </w:rPr>
            </w:pPr>
          </w:p>
        </w:tc>
        <w:tc>
          <w:tcPr>
            <w:tcW w:w="920" w:type="dxa"/>
            <w:vAlign w:val="bottom"/>
            <w:gridSpan w:val="2"/>
            <w:shd w:val="clear" w:color="auto" w:fill="C6F4F9"/>
          </w:tcPr>
          <w:p>
            <w:pPr>
              <w:jc w:val="right"/>
              <w:ind w:right="80"/>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6F4F9"/>
          </w:tcPr>
          <w:p>
            <w:pPr>
              <w:spacing w:after="0"/>
              <w:rPr>
                <w:sz w:val="20"/>
                <w:szCs w:val="20"/>
                <w:color w:val="auto"/>
              </w:rPr>
            </w:pPr>
          </w:p>
        </w:tc>
        <w:tc>
          <w:tcPr>
            <w:tcW w:w="240" w:type="dxa"/>
            <w:vAlign w:val="bottom"/>
            <w:shd w:val="clear" w:color="auto" w:fill="C6F4F9"/>
          </w:tcPr>
          <w:p>
            <w:pPr>
              <w:spacing w:after="0"/>
              <w:rPr>
                <w:sz w:val="20"/>
                <w:szCs w:val="20"/>
                <w:color w:val="auto"/>
              </w:rPr>
            </w:pPr>
          </w:p>
        </w:tc>
        <w:tc>
          <w:tcPr>
            <w:tcW w:w="110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6F4F9"/>
          </w:tcPr>
          <w:p>
            <w:pPr>
              <w:spacing w:after="0"/>
              <w:rPr>
                <w:sz w:val="20"/>
                <w:szCs w:val="20"/>
                <w:color w:val="auto"/>
              </w:rPr>
            </w:pPr>
          </w:p>
        </w:tc>
        <w:tc>
          <w:tcPr>
            <w:tcW w:w="300" w:type="dxa"/>
            <w:vAlign w:val="bottom"/>
            <w:shd w:val="clear" w:color="auto" w:fill="C6F4F9"/>
          </w:tcPr>
          <w:p>
            <w:pPr>
              <w:spacing w:after="0"/>
              <w:rPr>
                <w:sz w:val="20"/>
                <w:szCs w:val="20"/>
                <w:color w:val="auto"/>
              </w:rPr>
            </w:pPr>
          </w:p>
        </w:tc>
        <w:tc>
          <w:tcPr>
            <w:tcW w:w="860" w:type="dxa"/>
            <w:vAlign w:val="bottom"/>
            <w:gridSpan w:val="2"/>
            <w:shd w:val="clear" w:color="auto" w:fill="C6F4F9"/>
          </w:tcPr>
          <w:p>
            <w:pPr>
              <w:jc w:val="right"/>
              <w:ind w:right="8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6F4F9"/>
          </w:tcPr>
          <w:p>
            <w:pPr>
              <w:spacing w:after="0"/>
              <w:rPr>
                <w:sz w:val="20"/>
                <w:szCs w:val="20"/>
                <w:color w:val="auto"/>
              </w:rPr>
            </w:pPr>
          </w:p>
        </w:tc>
        <w:tc>
          <w:tcPr>
            <w:tcW w:w="120" w:type="dxa"/>
            <w:vAlign w:val="bottom"/>
            <w:shd w:val="clear" w:color="auto" w:fill="C6F4F9"/>
          </w:tcPr>
          <w:p>
            <w:pPr>
              <w:spacing w:after="0"/>
              <w:rPr>
                <w:sz w:val="20"/>
                <w:szCs w:val="20"/>
                <w:color w:val="auto"/>
              </w:rPr>
            </w:pPr>
          </w:p>
        </w:tc>
        <w:tc>
          <w:tcPr>
            <w:tcW w:w="1120" w:type="dxa"/>
            <w:vAlign w:val="bottom"/>
            <w:gridSpan w:val="2"/>
            <w:shd w:val="clear" w:color="auto" w:fill="C6F4F9"/>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shd w:val="clear" w:color="auto" w:fill="C6F4F9"/>
          </w:tcPr>
          <w:p>
            <w:pPr>
              <w:spacing w:after="0"/>
              <w:rPr>
                <w:sz w:val="2"/>
                <w:szCs w:val="2"/>
                <w:color w:val="auto"/>
              </w:rPr>
            </w:pPr>
          </w:p>
        </w:tc>
        <w:tc>
          <w:tcPr>
            <w:tcW w:w="180" w:type="dxa"/>
            <w:vAlign w:val="bottom"/>
            <w:shd w:val="clear" w:color="auto" w:fill="C6F4F9"/>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6F4F9"/>
          </w:tcPr>
          <w:p>
            <w:pPr>
              <w:spacing w:after="0"/>
              <w:rPr>
                <w:sz w:val="2"/>
                <w:szCs w:val="2"/>
                <w:color w:val="auto"/>
              </w:rPr>
            </w:pPr>
          </w:p>
        </w:tc>
        <w:tc>
          <w:tcPr>
            <w:tcW w:w="100" w:type="dxa"/>
            <w:vAlign w:val="bottom"/>
            <w:shd w:val="clear" w:color="auto" w:fill="C6F4F9"/>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6F4F9"/>
          </w:tcPr>
          <w:p>
            <w:pPr>
              <w:spacing w:after="0"/>
              <w:rPr>
                <w:sz w:val="2"/>
                <w:szCs w:val="2"/>
                <w:color w:val="auto"/>
              </w:rPr>
            </w:pPr>
          </w:p>
        </w:tc>
        <w:tc>
          <w:tcPr>
            <w:tcW w:w="80" w:type="dxa"/>
            <w:vAlign w:val="bottom"/>
            <w:shd w:val="clear" w:color="auto" w:fill="C6F4F9"/>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6F4F9"/>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6F4F9"/>
          </w:tcPr>
          <w:p>
            <w:pPr>
              <w:spacing w:after="0"/>
              <w:rPr>
                <w:sz w:val="2"/>
                <w:szCs w:val="2"/>
                <w:color w:val="auto"/>
              </w:rPr>
            </w:pPr>
          </w:p>
        </w:tc>
        <w:tc>
          <w:tcPr>
            <w:tcW w:w="80" w:type="dxa"/>
            <w:vAlign w:val="bottom"/>
            <w:shd w:val="clear" w:color="auto" w:fill="C6F4F9"/>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6F4F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43,889</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32,902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11,952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9,078</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10,914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6F4F9"/>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180" w:type="dxa"/>
            <w:vAlign w:val="bottom"/>
            <w:shd w:val="clear" w:color="auto" w:fill="C6F4F9"/>
          </w:tcPr>
          <w:p>
            <w:pPr>
              <w:spacing w:after="0"/>
              <w:rPr>
                <w:sz w:val="18"/>
                <w:szCs w:val="18"/>
                <w:color w:val="auto"/>
              </w:rPr>
            </w:pPr>
          </w:p>
        </w:tc>
        <w:tc>
          <w:tcPr>
            <w:tcW w:w="26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60"/>
              <w:spacing w:after="0"/>
              <w:rPr>
                <w:sz w:val="20"/>
                <w:szCs w:val="20"/>
                <w:color w:val="auto"/>
              </w:rPr>
            </w:pPr>
            <w:r>
              <w:rPr>
                <w:rFonts w:ascii="Arial" w:cs="Arial" w:eastAsia="Arial" w:hAnsi="Arial"/>
                <w:sz w:val="18"/>
                <w:szCs w:val="18"/>
                <w:b w:val="1"/>
                <w:bCs w:val="1"/>
                <w:color w:val="auto"/>
              </w:rPr>
              <w:t>1.39</w:t>
            </w:r>
          </w:p>
        </w:tc>
        <w:tc>
          <w:tcPr>
            <w:tcW w:w="100" w:type="dxa"/>
            <w:vAlign w:val="bottom"/>
            <w:shd w:val="clear" w:color="auto" w:fill="C6F4F9"/>
          </w:tcPr>
          <w:p>
            <w:pPr>
              <w:spacing w:after="0"/>
              <w:rPr>
                <w:sz w:val="18"/>
                <w:szCs w:val="18"/>
                <w:color w:val="auto"/>
              </w:rPr>
            </w:pPr>
          </w:p>
        </w:tc>
        <w:tc>
          <w:tcPr>
            <w:tcW w:w="360" w:type="dxa"/>
            <w:vAlign w:val="bottom"/>
            <w:shd w:val="clear" w:color="auto" w:fill="C6F4F9"/>
          </w:tcPr>
          <w:p>
            <w:pPr>
              <w:spacing w:after="0"/>
              <w:rPr>
                <w:sz w:val="18"/>
                <w:szCs w:val="18"/>
                <w:color w:val="auto"/>
              </w:rPr>
            </w:pPr>
          </w:p>
        </w:tc>
        <w:tc>
          <w:tcPr>
            <w:tcW w:w="92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b w:val="1"/>
                <w:bCs w:val="1"/>
                <w:color w:val="auto"/>
              </w:rPr>
              <w:t>1.08</w:t>
            </w:r>
          </w:p>
        </w:tc>
        <w:tc>
          <w:tcPr>
            <w:tcW w:w="8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100" w:type="dxa"/>
            <w:vAlign w:val="bottom"/>
            <w:gridSpan w:val="2"/>
            <w:shd w:val="clear" w:color="auto" w:fill="C6F4F9"/>
          </w:tcPr>
          <w:p>
            <w:pPr>
              <w:jc w:val="right"/>
              <w:ind w:right="200"/>
              <w:spacing w:after="0"/>
              <w:rPr>
                <w:sz w:val="20"/>
                <w:szCs w:val="20"/>
                <w:color w:val="auto"/>
              </w:rPr>
            </w:pPr>
            <w:r>
              <w:rPr>
                <w:rFonts w:ascii="Arial" w:cs="Arial" w:eastAsia="Arial" w:hAnsi="Arial"/>
                <w:sz w:val="18"/>
                <w:szCs w:val="18"/>
                <w:b w:val="1"/>
                <w:bCs w:val="1"/>
                <w:color w:val="auto"/>
              </w:rPr>
              <w:t>0.37</w:t>
            </w:r>
          </w:p>
        </w:tc>
        <w:tc>
          <w:tcPr>
            <w:tcW w:w="1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860" w:type="dxa"/>
            <w:vAlign w:val="bottom"/>
            <w:gridSpan w:val="2"/>
            <w:shd w:val="clear" w:color="auto" w:fill="C6F4F9"/>
          </w:tcPr>
          <w:p>
            <w:pPr>
              <w:jc w:val="right"/>
              <w:ind w:right="140"/>
              <w:spacing w:after="0"/>
              <w:rPr>
                <w:sz w:val="20"/>
                <w:szCs w:val="20"/>
                <w:color w:val="auto"/>
              </w:rPr>
            </w:pPr>
            <w:r>
              <w:rPr>
                <w:rFonts w:ascii="Arial" w:cs="Arial" w:eastAsia="Arial" w:hAnsi="Arial"/>
                <w:sz w:val="18"/>
                <w:szCs w:val="18"/>
                <w:b w:val="1"/>
                <w:bCs w:val="1"/>
                <w:color w:val="auto"/>
              </w:rPr>
              <w:t>0.29</w:t>
            </w:r>
          </w:p>
        </w:tc>
        <w:tc>
          <w:tcPr>
            <w:tcW w:w="8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b w:val="1"/>
                <w:bCs w:val="1"/>
                <w:color w:val="auto"/>
              </w:rPr>
              <w:t>0.35</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exclude stock-based compensation expense under ASC Topic 718.</w:t>
      </w:r>
    </w:p>
    <w:p>
      <w:pPr>
        <w:spacing w:after="0" w:line="21" w:lineRule="exact"/>
        <w:rPr>
          <w:rFonts w:ascii="Arial" w:cs="Arial" w:eastAsia="Arial" w:hAnsi="Arial"/>
          <w:sz w:val="14"/>
          <w:szCs w:val="14"/>
          <w:color w:val="auto"/>
        </w:rPr>
      </w:pPr>
    </w:p>
    <w:p>
      <w:pPr>
        <w:ind w:left="42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exclude amortization of acquisition-related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12"/>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2019-12-09T15:53:05Z</dcterms:created>
  <dcterms:modified xsi:type="dcterms:W3CDTF">2019-12-09T15:53:05Z</dcterms:modified>
</cp:coreProperties>
</file>