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5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5574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55740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34290"/>
                    </a:xfrm>
                    <a:prstGeom prst="rect">
                      <a:avLst/>
                    </a:prstGeom>
                    <a:noFill/>
                  </pic:spPr>
                </pic:pic>
              </a:graphicData>
            </a:graphic>
          </wp:anchor>
        </w:drawing>
        <w:t>UNITED STATES</w:t>
      </w:r>
    </w:p>
    <w:p>
      <w:pPr>
        <w:spacing w:after="0" w:line="21"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SECURITIES AND EXCHANGE COMMISSION</w:t>
      </w:r>
    </w:p>
    <w:p>
      <w:pPr>
        <w:spacing w:after="0" w:line="213"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1"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Securities Exchange Act of 1934</w:t>
      </w:r>
    </w:p>
    <w:p>
      <w:pPr>
        <w:spacing w:after="0" w:line="327" w:lineRule="exact"/>
        <w:rPr>
          <w:sz w:val="24"/>
          <w:szCs w:val="24"/>
          <w:color w:val="auto"/>
        </w:rPr>
      </w:pPr>
    </w:p>
    <w:p>
      <w:pPr>
        <w:ind w:left="1768"/>
        <w:spacing w:after="0"/>
        <w:rPr>
          <w:sz w:val="20"/>
          <w:szCs w:val="20"/>
          <w:color w:val="auto"/>
        </w:rPr>
      </w:pPr>
      <w:r>
        <w:rPr>
          <w:rFonts w:ascii="Arial" w:cs="Arial" w:eastAsia="Arial" w:hAnsi="Arial"/>
          <w:sz w:val="18"/>
          <w:szCs w:val="18"/>
          <w:color w:val="auto"/>
        </w:rPr>
        <w:t>Date of Report (Date of earliest event reported): August 22, 2007</w:t>
      </w:r>
    </w:p>
    <w:p>
      <w:pPr>
        <w:spacing w:after="0" w:line="327"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4"/>
          <w:szCs w:val="24"/>
          <w:color w:val="auto"/>
        </w:rPr>
      </w:pPr>
    </w:p>
    <w:p>
      <w:pPr>
        <w:jc w:val="center"/>
        <w:ind w:right="1751"/>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29" w:lineRule="exact"/>
        <w:rPr>
          <w:sz w:val="24"/>
          <w:szCs w:val="24"/>
          <w:color w:val="auto"/>
        </w:rPr>
      </w:pPr>
    </w:p>
    <w:tbl>
      <w:tblPr>
        <w:tblLayout w:type="fixed"/>
        <w:tblInd w:w="108" w:type="dxa"/>
        <w:tblCellMar>
          <w:top w:w="0" w:type="dxa"/>
          <w:left w:w="0" w:type="dxa"/>
          <w:bottom w:w="0" w:type="dxa"/>
          <w:right w:w="0" w:type="dxa"/>
        </w:tblCellMar>
      </w:tblPr>
      <w:tr>
        <w:trPr>
          <w:trHeight w:val="222"/>
        </w:trPr>
        <w:tc>
          <w:tcPr>
            <w:tcW w:w="2240" w:type="dxa"/>
            <w:vAlign w:val="bottom"/>
          </w:tcPr>
          <w:p>
            <w:pPr>
              <w:jc w:val="center"/>
              <w:ind w:right="312"/>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jc w:val="right"/>
              <w:ind w:right="1032"/>
              <w:spacing w:after="0"/>
              <w:rPr>
                <w:sz w:val="20"/>
                <w:szCs w:val="20"/>
                <w:color w:val="auto"/>
              </w:rPr>
            </w:pPr>
            <w:r>
              <w:rPr>
                <w:rFonts w:ascii="Arial" w:cs="Arial" w:eastAsia="Arial" w:hAnsi="Arial"/>
                <w:sz w:val="18"/>
                <w:szCs w:val="18"/>
                <w:b w:val="1"/>
                <w:bCs w:val="1"/>
                <w:color w:val="auto"/>
              </w:rPr>
              <w:t>001-33089</w:t>
            </w:r>
          </w:p>
        </w:tc>
        <w:tc>
          <w:tcPr>
            <w:tcW w:w="1860" w:type="dxa"/>
            <w:vAlign w:val="bottom"/>
          </w:tcPr>
          <w:p>
            <w:pPr>
              <w:jc w:val="center"/>
              <w:ind w:left="452"/>
              <w:spacing w:after="0"/>
              <w:rPr>
                <w:sz w:val="20"/>
                <w:szCs w:val="20"/>
                <w:color w:val="auto"/>
              </w:rPr>
            </w:pPr>
            <w:r>
              <w:rPr>
                <w:rFonts w:ascii="Arial" w:cs="Arial" w:eastAsia="Arial" w:hAnsi="Arial"/>
                <w:sz w:val="18"/>
                <w:szCs w:val="18"/>
                <w:b w:val="1"/>
                <w:bCs w:val="1"/>
                <w:color w:val="auto"/>
                <w:w w:val="87"/>
              </w:rPr>
              <w:t>82-0572194</w:t>
            </w:r>
          </w:p>
        </w:tc>
      </w:tr>
      <w:tr>
        <w:trPr>
          <w:trHeight w:val="216"/>
        </w:trPr>
        <w:tc>
          <w:tcPr>
            <w:tcW w:w="2240" w:type="dxa"/>
            <w:vAlign w:val="bottom"/>
          </w:tcPr>
          <w:p>
            <w:pPr>
              <w:jc w:val="center"/>
              <w:ind w:right="312"/>
              <w:spacing w:after="0"/>
              <w:rPr>
                <w:sz w:val="20"/>
                <w:szCs w:val="20"/>
                <w:color w:val="auto"/>
              </w:rPr>
            </w:pPr>
            <w:r>
              <w:rPr>
                <w:rFonts w:ascii="Arial" w:cs="Arial" w:eastAsia="Arial" w:hAnsi="Arial"/>
                <w:sz w:val="18"/>
                <w:szCs w:val="18"/>
                <w:color w:val="auto"/>
                <w:w w:val="89"/>
              </w:rPr>
              <w:t>(State or other jurisdiction</w:t>
            </w:r>
          </w:p>
        </w:tc>
        <w:tc>
          <w:tcPr>
            <w:tcW w:w="2880" w:type="dxa"/>
            <w:vAlign w:val="bottom"/>
          </w:tcPr>
          <w:p>
            <w:pPr>
              <w:jc w:val="center"/>
              <w:ind w:right="32"/>
              <w:spacing w:after="0"/>
              <w:rPr>
                <w:sz w:val="20"/>
                <w:szCs w:val="20"/>
                <w:color w:val="auto"/>
              </w:rPr>
            </w:pPr>
            <w:r>
              <w:rPr>
                <w:rFonts w:ascii="Arial" w:cs="Arial" w:eastAsia="Arial" w:hAnsi="Arial"/>
                <w:sz w:val="18"/>
                <w:szCs w:val="18"/>
                <w:color w:val="auto"/>
                <w:w w:val="91"/>
              </w:rPr>
              <w:t>(Commission File Number)</w:t>
            </w:r>
          </w:p>
        </w:tc>
        <w:tc>
          <w:tcPr>
            <w:tcW w:w="1860" w:type="dxa"/>
            <w:vAlign w:val="bottom"/>
          </w:tcPr>
          <w:p>
            <w:pPr>
              <w:jc w:val="center"/>
              <w:ind w:left="452"/>
              <w:spacing w:after="0"/>
              <w:rPr>
                <w:sz w:val="20"/>
                <w:szCs w:val="20"/>
                <w:color w:val="auto"/>
              </w:rPr>
            </w:pPr>
            <w:r>
              <w:rPr>
                <w:rFonts w:ascii="Arial" w:cs="Arial" w:eastAsia="Arial" w:hAnsi="Arial"/>
                <w:sz w:val="18"/>
                <w:szCs w:val="18"/>
                <w:color w:val="auto"/>
                <w:w w:val="90"/>
              </w:rPr>
              <w:t>(I.R.S. Employer</w:t>
            </w:r>
          </w:p>
        </w:tc>
      </w:tr>
      <w:tr>
        <w:trPr>
          <w:trHeight w:val="222"/>
        </w:trPr>
        <w:tc>
          <w:tcPr>
            <w:tcW w:w="2240" w:type="dxa"/>
            <w:vAlign w:val="bottom"/>
          </w:tcPr>
          <w:p>
            <w:pPr>
              <w:jc w:val="center"/>
              <w:ind w:right="312"/>
              <w:spacing w:after="0"/>
              <w:rPr>
                <w:sz w:val="20"/>
                <w:szCs w:val="20"/>
                <w:color w:val="auto"/>
              </w:rPr>
            </w:pPr>
            <w:r>
              <w:rPr>
                <w:rFonts w:ascii="Arial" w:cs="Arial" w:eastAsia="Arial" w:hAnsi="Arial"/>
                <w:sz w:val="18"/>
                <w:szCs w:val="18"/>
                <w:color w:val="auto"/>
                <w:w w:val="92"/>
              </w:rPr>
              <w:t>of incorporation)</w:t>
            </w:r>
          </w:p>
        </w:tc>
        <w:tc>
          <w:tcPr>
            <w:tcW w:w="2880" w:type="dxa"/>
            <w:vAlign w:val="bottom"/>
          </w:tcPr>
          <w:p>
            <w:pPr>
              <w:spacing w:after="0"/>
              <w:rPr>
                <w:sz w:val="19"/>
                <w:szCs w:val="19"/>
                <w:color w:val="auto"/>
              </w:rPr>
            </w:pPr>
          </w:p>
        </w:tc>
        <w:tc>
          <w:tcPr>
            <w:tcW w:w="1860" w:type="dxa"/>
            <w:vAlign w:val="bottom"/>
          </w:tcPr>
          <w:p>
            <w:pPr>
              <w:jc w:val="center"/>
              <w:ind w:left="452"/>
              <w:spacing w:after="0"/>
              <w:rPr>
                <w:sz w:val="20"/>
                <w:szCs w:val="20"/>
                <w:color w:val="auto"/>
              </w:rPr>
            </w:pPr>
            <w:r>
              <w:rPr>
                <w:rFonts w:ascii="Arial" w:cs="Arial" w:eastAsia="Arial" w:hAnsi="Arial"/>
                <w:sz w:val="18"/>
                <w:szCs w:val="18"/>
                <w:color w:val="auto"/>
                <w:w w:val="94"/>
              </w:rPr>
              <w:t>Identification No.)</w:t>
            </w:r>
          </w:p>
        </w:tc>
      </w:tr>
    </w:tbl>
    <w:p>
      <w:pPr>
        <w:spacing w:after="0" w:line="200" w:lineRule="exact"/>
        <w:rPr>
          <w:sz w:val="24"/>
          <w:szCs w:val="24"/>
          <w:color w:val="auto"/>
        </w:rPr>
      </w:pPr>
    </w:p>
    <w:p>
      <w:pPr>
        <w:spacing w:after="0" w:line="220" w:lineRule="exact"/>
        <w:rPr>
          <w:sz w:val="24"/>
          <w:szCs w:val="24"/>
          <w:color w:val="auto"/>
        </w:rPr>
      </w:pPr>
    </w:p>
    <w:p>
      <w:pPr>
        <w:jc w:val="center"/>
        <w:ind w:right="2591"/>
        <w:spacing w:after="0"/>
        <w:rPr>
          <w:sz w:val="20"/>
          <w:szCs w:val="20"/>
          <w:color w:val="auto"/>
        </w:rPr>
      </w:pPr>
      <w:r>
        <w:rPr>
          <w:rFonts w:ascii="Arial" w:cs="Arial" w:eastAsia="Arial" w:hAnsi="Arial"/>
          <w:sz w:val="18"/>
          <w:szCs w:val="18"/>
          <w:b w:val="1"/>
          <w:bCs w:val="1"/>
          <w:color w:val="auto"/>
        </w:rPr>
        <w:t>350 Park Avenue</w:t>
      </w:r>
    </w:p>
    <w:p>
      <w:pPr>
        <w:spacing w:after="0" w:line="21" w:lineRule="exact"/>
        <w:rPr>
          <w:sz w:val="24"/>
          <w:szCs w:val="24"/>
          <w:color w:val="auto"/>
        </w:rPr>
      </w:pPr>
    </w:p>
    <w:p>
      <w:pPr>
        <w:jc w:val="center"/>
        <w:ind w:right="2591"/>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4"/>
          <w:szCs w:val="24"/>
          <w:color w:val="auto"/>
        </w:rPr>
      </w:pPr>
    </w:p>
    <w:p>
      <w:pPr>
        <w:jc w:val="center"/>
        <w:ind w:right="2591"/>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9" w:lineRule="exact"/>
        <w:rPr>
          <w:sz w:val="24"/>
          <w:szCs w:val="24"/>
          <w:color w:val="auto"/>
        </w:rPr>
      </w:pPr>
    </w:p>
    <w:p>
      <w:pPr>
        <w:jc w:val="center"/>
        <w:ind w:right="1751"/>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277-7100</w:t>
      </w:r>
    </w:p>
    <w:p>
      <w:pPr>
        <w:spacing w:after="0" w:line="225" w:lineRule="exact"/>
        <w:rPr>
          <w:sz w:val="24"/>
          <w:szCs w:val="24"/>
          <w:color w:val="auto"/>
        </w:rPr>
      </w:pPr>
    </w:p>
    <w:p>
      <w:pPr>
        <w:jc w:val="center"/>
        <w:ind w:right="1751"/>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751"/>
        <w:spacing w:after="0"/>
        <w:rPr>
          <w:sz w:val="20"/>
          <w:szCs w:val="20"/>
          <w:color w:val="auto"/>
        </w:rPr>
      </w:pPr>
      <w:r>
        <w:rPr>
          <w:rFonts w:ascii="Arial" w:cs="Arial" w:eastAsia="Arial" w:hAnsi="Arial"/>
          <w:sz w:val="18"/>
          <w:szCs w:val="18"/>
          <w:color w:val="auto"/>
        </w:rPr>
        <w:t>(Former name or address, if changed since last report)</w:t>
      </w:r>
    </w:p>
    <w:p>
      <w:pPr>
        <w:spacing w:after="0" w:line="200" w:lineRule="exact"/>
        <w:rPr>
          <w:sz w:val="24"/>
          <w:szCs w:val="24"/>
          <w:color w:val="auto"/>
        </w:rPr>
      </w:pPr>
    </w:p>
    <w:p>
      <w:pPr>
        <w:spacing w:after="0" w:line="235" w:lineRule="exact"/>
        <w:rPr>
          <w:sz w:val="24"/>
          <w:szCs w:val="24"/>
          <w:color w:val="auto"/>
        </w:rPr>
      </w:pPr>
    </w:p>
    <w:p>
      <w:pPr>
        <w:ind w:left="28" w:right="1439" w:hanging="2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5" w:lineRule="exact"/>
        <w:rPr>
          <w:sz w:val="24"/>
          <w:szCs w:val="24"/>
          <w:color w:val="auto"/>
        </w:rPr>
      </w:pPr>
    </w:p>
    <w:p>
      <w:pPr>
        <w:ind w:left="408" w:hanging="408"/>
        <w:spacing w:after="0"/>
        <w:tabs>
          <w:tab w:leader="none" w:pos="408" w:val="left"/>
        </w:tabs>
        <w:numPr>
          <w:ilvl w:val="0"/>
          <w:numId w:val="1"/>
        </w:numPr>
        <w:rPr>
          <w:rFonts w:ascii="Arial" w:cs="Arial" w:eastAsia="Arial" w:hAnsi="Arial"/>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rFonts w:ascii="Arial" w:cs="Arial" w:eastAsia="Arial" w:hAnsi="Arial"/>
          <w:sz w:val="22"/>
          <w:szCs w:val="22"/>
          <w:color w:val="auto"/>
        </w:rPr>
      </w:pPr>
    </w:p>
    <w:p>
      <w:pPr>
        <w:ind w:left="408" w:hanging="408"/>
        <w:spacing w:after="0"/>
        <w:tabs>
          <w:tab w:leader="none" w:pos="408" w:val="left"/>
        </w:tabs>
        <w:numPr>
          <w:ilvl w:val="0"/>
          <w:numId w:val="1"/>
        </w:numPr>
        <w:rPr>
          <w:rFonts w:ascii="Arial" w:cs="Arial" w:eastAsia="Arial" w:hAnsi="Arial"/>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17" w:lineRule="exact"/>
        <w:rPr>
          <w:rFonts w:ascii="Arial" w:cs="Arial" w:eastAsia="Arial" w:hAnsi="Arial"/>
          <w:sz w:val="22"/>
          <w:szCs w:val="22"/>
          <w:color w:val="auto"/>
        </w:rPr>
      </w:pPr>
    </w:p>
    <w:p>
      <w:pPr>
        <w:ind w:left="328" w:hanging="328"/>
        <w:spacing w:after="0"/>
        <w:tabs>
          <w:tab w:leader="none" w:pos="328" w:val="left"/>
        </w:tabs>
        <w:numPr>
          <w:ilvl w:val="0"/>
          <w:numId w:val="1"/>
        </w:numPr>
        <w:rPr>
          <w:rFonts w:ascii="Arial" w:cs="Arial" w:eastAsia="Arial" w:hAnsi="Arial"/>
          <w:sz w:val="19"/>
          <w:szCs w:val="19"/>
          <w:color w:val="auto"/>
        </w:rPr>
      </w:pPr>
      <w:r>
        <w:rPr>
          <w:rFonts w:ascii="Arial" w:cs="Arial" w:eastAsia="Arial" w:hAnsi="Arial"/>
          <w:sz w:val="16"/>
          <w:szCs w:val="16"/>
          <w:color w:val="auto"/>
        </w:rPr>
        <w:t>Pre-commencement communications pursuant to Rule 14d-2(b) under the Exchange Act (17 CFR 240.14d-2(b))</w:t>
      </w:r>
    </w:p>
    <w:p>
      <w:pPr>
        <w:spacing w:after="0" w:line="240" w:lineRule="exact"/>
        <w:rPr>
          <w:rFonts w:ascii="Arial" w:cs="Arial" w:eastAsia="Arial" w:hAnsi="Arial"/>
          <w:sz w:val="19"/>
          <w:szCs w:val="19"/>
          <w:color w:val="auto"/>
        </w:rPr>
      </w:pPr>
    </w:p>
    <w:p>
      <w:pPr>
        <w:ind w:left="328" w:hanging="328"/>
        <w:spacing w:after="0"/>
        <w:tabs>
          <w:tab w:leader="none" w:pos="328" w:val="left"/>
        </w:tabs>
        <w:numPr>
          <w:ilvl w:val="0"/>
          <w:numId w:val="1"/>
        </w:numPr>
        <w:rPr>
          <w:rFonts w:ascii="Arial" w:cs="Arial" w:eastAsia="Arial" w:hAnsi="Arial"/>
          <w:sz w:val="19"/>
          <w:szCs w:val="19"/>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-205105</wp:posOffset>
            </wp:positionH>
            <wp:positionV relativeFrom="paragraph">
              <wp:posOffset>466725</wp:posOffset>
            </wp:positionV>
            <wp:extent cx="557403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4030" cy="3429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449580</wp:posOffset>
            </wp:positionV>
            <wp:extent cx="5574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4030" cy="88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1013460</wp:posOffset>
            </wp:positionV>
            <wp:extent cx="559562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95620" cy="21590"/>
                    </a:xfrm>
                    <a:prstGeom prst="rect">
                      <a:avLst/>
                    </a:prstGeom>
                    <a:noFill/>
                  </pic:spPr>
                </pic:pic>
              </a:graphicData>
            </a:graphic>
          </wp:anchor>
        </w:drawing>
      </w:r>
    </w:p>
    <w:p>
      <w:pPr>
        <w:sectPr>
          <w:pgSz w:w="11900" w:h="16838" w:orient="portrait"/>
          <w:cols w:equalWidth="0" w:num="1">
            <w:col w:w="9887"/>
          </w:cols>
          <w:pgMar w:left="572" w:top="1030" w:right="1440"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231" w:lineRule="exact"/>
        <w:rPr>
          <w:sz w:val="20"/>
          <w:szCs w:val="20"/>
          <w:color w:val="auto"/>
        </w:rPr>
      </w:pPr>
    </w:p>
    <w:p>
      <w:pPr>
        <w:ind w:right="1459"/>
        <w:spacing w:after="0" w:line="253" w:lineRule="auto"/>
        <w:rPr>
          <w:sz w:val="20"/>
          <w:szCs w:val="20"/>
          <w:color w:val="auto"/>
        </w:rPr>
      </w:pPr>
      <w:r>
        <w:rPr>
          <w:rFonts w:ascii="Arial" w:cs="Arial" w:eastAsia="Arial" w:hAnsi="Arial"/>
          <w:sz w:val="18"/>
          <w:szCs w:val="18"/>
          <w:color w:val="auto"/>
        </w:rPr>
        <w:t>ExlService Holdings, Inc. (Nasdaq: EXLS) (the “Company”), a recognized provider of offshore solutions, including business process outsourcing, research and analytics and advisory services, announced that one of its clients, a non-prime mortgage lender, announced a strategic restructuring in response to the on-going turmoil in the non-prime mortgage industry as a result of which it would cease to originate new loans but continue to service existing loans. The client, which accounted for approximately 2% of the Company’s revenues for the first six months of calendar year 2007, has notified the Company to reduce the volume of the services provided to the Company’s client by approximately 60% effective from September 1, 2007.</w:t>
      </w:r>
    </w:p>
    <w:p>
      <w:pPr>
        <w:spacing w:after="0" w:line="201" w:lineRule="exact"/>
        <w:rPr>
          <w:sz w:val="20"/>
          <w:szCs w:val="20"/>
          <w:color w:val="auto"/>
        </w:rPr>
      </w:pPr>
    </w:p>
    <w:p>
      <w:pPr>
        <w:ind w:right="1599"/>
        <w:spacing w:after="0" w:line="259" w:lineRule="auto"/>
        <w:rPr>
          <w:sz w:val="20"/>
          <w:szCs w:val="20"/>
          <w:color w:val="auto"/>
        </w:rPr>
      </w:pPr>
      <w:r>
        <w:rPr>
          <w:rFonts w:ascii="Arial" w:cs="Arial" w:eastAsia="Arial" w:hAnsi="Arial"/>
          <w:sz w:val="18"/>
          <w:szCs w:val="18"/>
          <w:color w:val="auto"/>
        </w:rPr>
        <w:t>The reduction in the volume of services provided to the Company’s client is not material and will not have a material adverse impact on the Company’s operations or financial condition. Accordingly, the Company is confirming the guidance for calendar year 2007 that was communicated on August 8, 2007.</w:t>
      </w:r>
    </w:p>
    <w:p>
      <w:pPr>
        <w:spacing w:after="0" w:line="194" w:lineRule="exact"/>
        <w:rPr>
          <w:sz w:val="20"/>
          <w:szCs w:val="20"/>
          <w:color w:val="auto"/>
        </w:rPr>
      </w:pPr>
    </w:p>
    <w:p>
      <w:pPr>
        <w:ind w:right="1459"/>
        <w:spacing w:after="0" w:line="285" w:lineRule="auto"/>
        <w:rPr>
          <w:sz w:val="20"/>
          <w:szCs w:val="20"/>
          <w:color w:val="auto"/>
        </w:rPr>
      </w:pPr>
      <w:r>
        <w:rPr>
          <w:rFonts w:ascii="Arial" w:cs="Arial" w:eastAsia="Arial" w:hAnsi="Arial"/>
          <w:sz w:val="16"/>
          <w:szCs w:val="16"/>
          <w:i w:val="1"/>
          <w:iCs w:val="1"/>
          <w:color w:val="auto"/>
        </w:rPr>
        <w:t>This Report contains forward-looking statements. You should not place undue reliance on those statements because they are subject to numerous uncertainties and factors relating to the Company’s operations and business environment, all of which are difficult to predict and many of which are beyond the Company’s control. Forward-looking statements include information concerning the Company’s possible or assumed future results of operations, including descriptions of its business strategy. These statements often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the Company believes that these forward-looking statements are based on reasonable assumptions, you should be aware that many factors could affect the Company’s actual financial results or results of operations and could cause actual results to differ materially from those in the forward-looking statements. These factors are discussed in more details in the Company’s filings with the Securities and Exchange Commission, including the Company’s Annual Report on Form 10-K for the year ended December 31, 2006. These risks could cause actual results to differ materially from those implied by forward-looking statements in this release.</w:t>
      </w:r>
    </w:p>
    <w:p>
      <w:pPr>
        <w:spacing w:after="0" w:line="180" w:lineRule="exact"/>
        <w:rPr>
          <w:sz w:val="20"/>
          <w:szCs w:val="20"/>
          <w:color w:val="auto"/>
        </w:rPr>
      </w:pPr>
    </w:p>
    <w:p>
      <w:pPr>
        <w:ind w:right="1519"/>
        <w:spacing w:after="0" w:line="256" w:lineRule="auto"/>
        <w:rPr>
          <w:sz w:val="20"/>
          <w:szCs w:val="20"/>
          <w:color w:val="auto"/>
        </w:rPr>
      </w:pPr>
      <w:r>
        <w:rPr>
          <w:rFonts w:ascii="Arial" w:cs="Arial" w:eastAsia="Arial" w:hAnsi="Arial"/>
          <w:sz w:val="18"/>
          <w:szCs w:val="18"/>
          <w:i w:val="1"/>
          <w:iCs w:val="1"/>
          <w:color w:val="auto"/>
        </w:rPr>
        <w:t>You should keep in mind that any forward-looking statement made herein, or elsewhere, speaks only as of the date on which it is made. New risks and uncertainties come up from time to time, and it is impossible to predict these events or how they may affect the Company. The Company has no obligation to update any forward-looking statements after the date hereof, except as required by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351790</wp:posOffset>
            </wp:positionV>
            <wp:extent cx="559562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95620" cy="21590"/>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2" w:name="page3"/>
    <w:bookmarkEnd w:id="2"/>
    <w:p>
      <w:pPr>
        <w:ind w:left="38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1639"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EXLSERVICE HOLDINGS, INC.</w:t>
      </w:r>
    </w:p>
    <w:p>
      <w:pPr>
        <w:spacing w:after="0" w:line="21"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26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20" w:type="dxa"/>
            <w:vAlign w:val="bottom"/>
            <w:gridSpan w:val="2"/>
          </w:tcPr>
          <w:p>
            <w:pPr>
              <w:ind w:left="80"/>
              <w:spacing w:after="0"/>
              <w:rPr>
                <w:sz w:val="20"/>
                <w:szCs w:val="20"/>
                <w:color w:val="auto"/>
              </w:rPr>
            </w:pPr>
            <w:r>
              <w:rPr>
                <w:rFonts w:ascii="Arial" w:cs="Arial" w:eastAsia="Arial" w:hAnsi="Arial"/>
                <w:sz w:val="18"/>
                <w:szCs w:val="18"/>
                <w:color w:val="auto"/>
              </w:rPr>
              <w:t>(Registrant)</w:t>
            </w:r>
          </w:p>
        </w:tc>
      </w:tr>
      <w:tr>
        <w:trPr>
          <w:trHeight w:val="819"/>
        </w:trPr>
        <w:tc>
          <w:tcPr>
            <w:tcW w:w="2660" w:type="dxa"/>
            <w:vAlign w:val="bottom"/>
          </w:tcPr>
          <w:p>
            <w:pPr>
              <w:spacing w:after="0"/>
              <w:rPr>
                <w:sz w:val="20"/>
                <w:szCs w:val="20"/>
                <w:color w:val="auto"/>
              </w:rPr>
            </w:pPr>
            <w:r>
              <w:rPr>
                <w:rFonts w:ascii="Arial" w:cs="Arial" w:eastAsia="Arial" w:hAnsi="Arial"/>
                <w:sz w:val="18"/>
                <w:szCs w:val="18"/>
                <w:color w:val="auto"/>
              </w:rPr>
              <w:t>Date: August 22, 2007</w:t>
            </w:r>
          </w:p>
        </w:tc>
        <w:tc>
          <w:tcPr>
            <w:tcW w:w="4160" w:type="dxa"/>
            <w:vAlign w:val="bottom"/>
            <w:gridSpan w:val="3"/>
          </w:tcPr>
          <w:p>
            <w:pPr>
              <w:ind w:left="1080"/>
              <w:spacing w:after="0"/>
              <w:rPr>
                <w:sz w:val="20"/>
                <w:szCs w:val="20"/>
                <w:color w:val="auto"/>
              </w:rPr>
            </w:pPr>
            <w:r>
              <w:rPr>
                <w:rFonts w:ascii="Arial" w:cs="Arial" w:eastAsia="Arial" w:hAnsi="Arial"/>
                <w:sz w:val="18"/>
                <w:szCs w:val="18"/>
                <w:color w:val="auto"/>
              </w:rPr>
              <w:t>By:  /s/ Matthew Appel</w:t>
            </w:r>
          </w:p>
        </w:tc>
      </w:tr>
      <w:tr>
        <w:trPr>
          <w:trHeight w:val="20"/>
        </w:trPr>
        <w:tc>
          <w:tcPr>
            <w:tcW w:w="26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r>
      <w:tr>
        <w:trPr>
          <w:trHeight w:val="228"/>
        </w:trPr>
        <w:tc>
          <w:tcPr>
            <w:tcW w:w="26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Name:</w:t>
            </w:r>
          </w:p>
        </w:tc>
        <w:tc>
          <w:tcPr>
            <w:tcW w:w="2400" w:type="dxa"/>
            <w:vAlign w:val="bottom"/>
          </w:tcPr>
          <w:p>
            <w:pPr>
              <w:ind w:left="100"/>
              <w:spacing w:after="0"/>
              <w:rPr>
                <w:sz w:val="20"/>
                <w:szCs w:val="20"/>
                <w:color w:val="auto"/>
              </w:rPr>
            </w:pPr>
            <w:r>
              <w:rPr>
                <w:rFonts w:ascii="Arial" w:cs="Arial" w:eastAsia="Arial" w:hAnsi="Arial"/>
                <w:sz w:val="18"/>
                <w:szCs w:val="18"/>
                <w:color w:val="auto"/>
              </w:rPr>
              <w:t>Matthew Appel</w:t>
            </w:r>
          </w:p>
        </w:tc>
      </w:tr>
      <w:tr>
        <w:trPr>
          <w:trHeight w:val="222"/>
        </w:trPr>
        <w:tc>
          <w:tcPr>
            <w:tcW w:w="2660" w:type="dxa"/>
            <w:vAlign w:val="bottom"/>
          </w:tcPr>
          <w:p>
            <w:pPr>
              <w:spacing w:after="0"/>
              <w:rPr>
                <w:sz w:val="19"/>
                <w:szCs w:val="19"/>
                <w:color w:val="auto"/>
              </w:rPr>
            </w:pPr>
          </w:p>
        </w:tc>
        <w:tc>
          <w:tcPr>
            <w:tcW w:w="1760" w:type="dxa"/>
            <w:vAlign w:val="bottom"/>
            <w:gridSpan w:val="2"/>
          </w:tcPr>
          <w:p>
            <w:pPr>
              <w:ind w:left="1200"/>
              <w:spacing w:after="0"/>
              <w:rPr>
                <w:sz w:val="20"/>
                <w:szCs w:val="20"/>
                <w:color w:val="auto"/>
              </w:rPr>
            </w:pPr>
            <w:r>
              <w:rPr>
                <w:rFonts w:ascii="Arial" w:cs="Arial" w:eastAsia="Arial" w:hAnsi="Arial"/>
                <w:sz w:val="18"/>
                <w:szCs w:val="18"/>
                <w:color w:val="auto"/>
              </w:rPr>
              <w:t>Title:</w:t>
            </w:r>
          </w:p>
        </w:tc>
        <w:tc>
          <w:tcPr>
            <w:tcW w:w="2400" w:type="dxa"/>
            <w:vAlign w:val="bottom"/>
          </w:tcPr>
          <w:p>
            <w:pPr>
              <w:ind w:left="1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0219"/>
      </w:cols>
      <w:pgMar w:left="24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2019-12-12T03:43:29Z</dcterms:created>
  <dcterms:modified xsi:type="dcterms:W3CDTF">2019-12-12T03:43:29Z</dcterms:modified>
</cp:coreProperties>
</file>