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4"/>
        <w:spacing w:after="0"/>
        <w:rPr>
          <w:sz w:val="20"/>
          <w:szCs w:val="20"/>
          <w:color w:val="auto"/>
        </w:rPr>
      </w:pPr>
      <w:r>
        <w:rPr>
          <w:rFonts w:ascii="Arial" w:cs="Arial" w:eastAsia="Arial" w:hAnsi="Arial"/>
          <w:sz w:val="17"/>
          <w:szCs w:val="17"/>
          <w:color w:val="0000FF"/>
        </w:rPr>
        <w:t>CEO &amp; Vice Chairman</w:t>
      </w:r>
    </w:p>
    <w:p>
      <w:pPr>
        <w:spacing w:after="0" w:line="265" w:lineRule="exact"/>
        <w:rPr>
          <w:sz w:val="24"/>
          <w:szCs w:val="24"/>
          <w:color w:val="auto"/>
        </w:rPr>
      </w:pPr>
    </w:p>
    <w:p>
      <w:pPr>
        <w:sectPr>
          <w:pgSz w:w="11900" w:h="16838" w:orient="portrait"/>
          <w:cols w:equalWidth="0" w:num="3">
            <w:col w:w="3180" w:space="720"/>
            <w:col w:w="3106" w:space="720"/>
            <w:col w:w="3354"/>
          </w:cols>
          <w:pgMar w:left="460" w:top="222" w:right="359" w:bottom="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tcBorders>
              <w:right w:val="single" w:sz="8" w:color="9A9A9A"/>
            </w:tcBorders>
            <w:shd w:val="clear" w:color="auto" w:fill="9A9A9A"/>
          </w:tcPr>
          <w:p>
            <w:pPr>
              <w:spacing w:after="0"/>
              <w:rPr>
                <w:sz w:val="2"/>
                <w:szCs w:val="2"/>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2"/>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00"/>
              <w:spacing w:after="0" w:line="148"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20"/>
              <w:spacing w:after="0"/>
              <w:rPr>
                <w:sz w:val="20"/>
                <w:szCs w:val="20"/>
                <w:color w:val="auto"/>
              </w:rPr>
            </w:pPr>
            <w:r>
              <w:rPr>
                <w:rFonts w:ascii="Arial" w:cs="Arial" w:eastAsia="Arial" w:hAnsi="Arial"/>
                <w:sz w:val="17"/>
                <w:szCs w:val="17"/>
                <w:color w:val="0000FF"/>
              </w:rPr>
              <w:t>10022</w:t>
            </w: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0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304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0000FF"/>
              </w:rPr>
              <w:t>02/23/2021</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Pr>
          <w:p>
            <w:pPr>
              <w:ind w:left="280"/>
              <w:spacing w:after="0"/>
              <w:rPr>
                <w:sz w:val="20"/>
                <w:szCs w:val="20"/>
                <w:color w:val="auto"/>
              </w:rPr>
            </w:pPr>
            <w:r>
              <w:rPr>
                <w:rFonts w:ascii="Arial" w:cs="Arial" w:eastAsia="Arial" w:hAnsi="Arial"/>
                <w:sz w:val="17"/>
                <w:szCs w:val="17"/>
                <w:color w:val="0000FF"/>
                <w:w w:val="89"/>
              </w:rPr>
              <w:t>7,973</w:t>
            </w:r>
          </w:p>
        </w:tc>
        <w:tc>
          <w:tcPr>
            <w:tcW w:w="660" w:type="dxa"/>
            <w:vAlign w:val="bottom"/>
          </w:tcPr>
          <w:p>
            <w:pPr>
              <w:ind w:left="380"/>
              <w:spacing w:after="0"/>
              <w:rPr>
                <w:sz w:val="20"/>
                <w:szCs w:val="20"/>
                <w:color w:val="auto"/>
              </w:rPr>
            </w:pPr>
            <w:r>
              <w:rPr>
                <w:rFonts w:ascii="Arial" w:cs="Arial" w:eastAsia="Arial" w:hAnsi="Arial"/>
                <w:sz w:val="17"/>
                <w:szCs w:val="17"/>
                <w:color w:val="0000FF"/>
              </w:rPr>
              <w:t>A</w:t>
            </w:r>
          </w:p>
        </w:tc>
        <w:tc>
          <w:tcPr>
            <w:tcW w:w="500" w:type="dxa"/>
            <w:vAlign w:val="bottom"/>
          </w:tcPr>
          <w:p>
            <w:pPr>
              <w:ind w:left="260"/>
              <w:spacing w:after="0"/>
              <w:rPr>
                <w:sz w:val="20"/>
                <w:szCs w:val="20"/>
                <w:color w:val="auto"/>
              </w:rPr>
            </w:pPr>
            <w:r>
              <w:rPr>
                <w:rFonts w:ascii="Arial" w:cs="Arial" w:eastAsia="Arial" w:hAnsi="Arial"/>
                <w:sz w:val="11"/>
                <w:szCs w:val="11"/>
                <w:color w:val="008000"/>
              </w:rPr>
              <w:t>(1)</w:t>
            </w:r>
          </w:p>
        </w:tc>
        <w:tc>
          <w:tcPr>
            <w:tcW w:w="1320" w:type="dxa"/>
            <w:vAlign w:val="bottom"/>
            <w:gridSpan w:val="4"/>
          </w:tcPr>
          <w:p>
            <w:pPr>
              <w:jc w:val="center"/>
              <w:spacing w:after="0"/>
              <w:rPr>
                <w:sz w:val="20"/>
                <w:szCs w:val="20"/>
                <w:color w:val="auto"/>
              </w:rPr>
            </w:pPr>
            <w:r>
              <w:rPr>
                <w:rFonts w:ascii="Arial" w:cs="Arial" w:eastAsia="Arial" w:hAnsi="Arial"/>
                <w:sz w:val="17"/>
                <w:szCs w:val="17"/>
                <w:color w:val="0000FF"/>
                <w:w w:val="87"/>
              </w:rPr>
              <w:t>236,080</w:t>
            </w:r>
          </w:p>
        </w:tc>
        <w:tc>
          <w:tcPr>
            <w:tcW w:w="30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183,185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177,134</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(7)</w:t>
            </w: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7,973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02/23/2021</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Arial" w:cs="Arial" w:eastAsia="Arial" w:hAnsi="Arial"/>
                <w:sz w:val="13"/>
                <w:szCs w:val="13"/>
                <w:color w:val="0000FF"/>
              </w:rPr>
              <w:t>7,973</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ind w:left="380"/>
              <w:spacing w:after="0" w:line="143"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60" w:type="dxa"/>
            <w:vAlign w:val="bottom"/>
          </w:tcPr>
          <w:p>
            <w:pPr>
              <w:ind w:left="36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-5075555</wp:posOffset>
            </wp:positionV>
            <wp:extent cx="7033260" cy="511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511810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convert into common stock, par value $0.001 per share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2017, the reporting person was granted 31,889 restricted stock units, 25 percent of the restricted stock units became vested on February 23, 2018, an additional 25 percent of the restricted stock units became vested on February 23, 2019, an additional 25 percent of the restricted stock units became vested February 23, 2020, and the remaining balance of 25 percent of the restricted stock units became vested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2021-02-25T17:04:05Z</dcterms:created>
  <dcterms:modified xsi:type="dcterms:W3CDTF">2021-02-25T17:04:05Z</dcterms:modified>
</cp:coreProperties>
</file>