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Global Head of Client Mgmt</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6"/>
          </w:tcPr>
          <w:p>
            <w:pPr>
              <w:jc w:val="right"/>
              <w:ind w:right="114"/>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840" w:type="dxa"/>
            <w:vAlign w:val="bottom"/>
            <w:gridSpan w:val="11"/>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3"/>
          </w:tcPr>
          <w:p>
            <w:pPr>
              <w:ind w:left="3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8"/>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40" w:type="dxa"/>
            <w:vAlign w:val="bottom"/>
            <w:tcBorders>
              <w:bottom w:val="single" w:sz="8" w:color="2C2C2C"/>
            </w:tcBorders>
            <w:gridSpan w:val="7"/>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center"/>
              <w:ind w:left="7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right"/>
              <w:ind w:right="72"/>
              <w:spacing w:after="0"/>
              <w:rPr>
                <w:sz w:val="20"/>
                <w:szCs w:val="20"/>
                <w:color w:val="auto"/>
              </w:rPr>
            </w:pPr>
            <w:r>
              <w:rPr>
                <w:rFonts w:ascii="Arial" w:cs="Arial" w:eastAsia="Arial" w:hAnsi="Arial"/>
                <w:sz w:val="18"/>
                <w:szCs w:val="18"/>
                <w:color w:val="0000FF"/>
              </w:rPr>
              <w:t>04/24/2011</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4"/>
                <w:szCs w:val="14"/>
                <w:color w:val="0000FF"/>
              </w:rPr>
              <w:t>M</w:t>
            </w:r>
          </w:p>
        </w:tc>
        <w:tc>
          <w:tcPr>
            <w:tcW w:w="720" w:type="dxa"/>
            <w:vAlign w:val="bottom"/>
          </w:tcPr>
          <w:p>
            <w:pPr>
              <w:jc w:val="right"/>
              <w:ind w:right="13"/>
              <w:spacing w:after="0"/>
              <w:rPr>
                <w:sz w:val="20"/>
                <w:szCs w:val="20"/>
                <w:color w:val="auto"/>
              </w:rPr>
            </w:pPr>
            <w:r>
              <w:rPr>
                <w:rFonts w:ascii="Arial" w:cs="Arial" w:eastAsia="Arial" w:hAnsi="Arial"/>
                <w:sz w:val="18"/>
                <w:szCs w:val="18"/>
                <w:color w:val="0000FF"/>
              </w:rPr>
              <w:t>1,200</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ind w:right="73"/>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2,467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72"/>
              <w:spacing w:after="0"/>
              <w:rPr>
                <w:sz w:val="20"/>
                <w:szCs w:val="20"/>
                <w:color w:val="auto"/>
              </w:rPr>
            </w:pPr>
            <w:r>
              <w:rPr>
                <w:rFonts w:ascii="Arial" w:cs="Arial" w:eastAsia="Arial" w:hAnsi="Arial"/>
                <w:sz w:val="18"/>
                <w:szCs w:val="18"/>
                <w:color w:val="0000FF"/>
              </w:rPr>
              <w:t>04/24/2011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right"/>
              <w:ind w:right="93"/>
              <w:spacing w:after="0"/>
              <w:rPr>
                <w:sz w:val="20"/>
                <w:szCs w:val="20"/>
                <w:color w:val="auto"/>
              </w:rPr>
            </w:pPr>
            <w:r>
              <w:rPr>
                <w:rFonts w:ascii="Arial" w:cs="Arial" w:eastAsia="Arial" w:hAnsi="Arial"/>
                <w:sz w:val="18"/>
                <w:szCs w:val="18"/>
                <w:color w:val="0000FF"/>
              </w:rPr>
              <w:t>426</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19.155</w:t>
            </w:r>
            <w:r>
              <w:rPr>
                <w:rFonts w:ascii="Arial" w:cs="Arial" w:eastAsia="Arial" w:hAnsi="Arial"/>
                <w:sz w:val="22"/>
                <w:szCs w:val="22"/>
                <w:color w:val="008000"/>
                <w:w w:val="84"/>
                <w:vertAlign w:val="superscript"/>
              </w:rPr>
              <w:t>(2)</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2,041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tcPr>
          <w:p>
            <w:pPr>
              <w:jc w:val="right"/>
              <w:ind w:right="114"/>
              <w:spacing w:after="0" w:line="149" w:lineRule="exact"/>
              <w:rPr>
                <w:sz w:val="20"/>
                <w:szCs w:val="20"/>
                <w:color w:val="auto"/>
              </w:rPr>
            </w:pPr>
            <w:r>
              <w:rPr>
                <w:rFonts w:ascii="Arial" w:cs="Arial" w:eastAsia="Arial" w:hAnsi="Arial"/>
                <w:sz w:val="14"/>
                <w:szCs w:val="14"/>
                <w:color w:val="0000FF"/>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1,200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29"/>
              <w:spacing w:after="0" w:line="149" w:lineRule="exact"/>
              <w:rPr>
                <w:sz w:val="20"/>
                <w:szCs w:val="20"/>
                <w:color w:val="auto"/>
              </w:rPr>
            </w:pPr>
            <w:r>
              <w:rPr>
                <w:rFonts w:ascii="Arial" w:cs="Arial" w:eastAsia="Arial" w:hAnsi="Arial"/>
                <w:sz w:val="14"/>
                <w:szCs w:val="14"/>
                <w:color w:val="0000FF"/>
              </w:rPr>
              <w:t>04/24/2011</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1,200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1,600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4"/>
                <w:szCs w:val="14"/>
                <w:color w:val="0000FF"/>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2011, ExlService Holdings, Inc. (the "Company") issued 1,200 shares of common stock, par value $0.001 per share,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24, 2011.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1,200 shares of restricted stock vested on April 24, 2011; and remaining 1,600 shares of restricted stock will vest on April 24,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2019-12-16T15:04:02Z</dcterms:created>
  <dcterms:modified xsi:type="dcterms:W3CDTF">2019-12-16T15:04:02Z</dcterms:modified>
</cp:coreProperties>
</file>