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104" w:lineRule="exact"/>
        <w:rPr>
          <w:sz w:val="24"/>
          <w:szCs w:val="24"/>
          <w:color w:val="auto"/>
        </w:rPr>
      </w:pPr>
    </w:p>
    <w:p>
      <w:pPr>
        <w:sectPr>
          <w:pgSz w:w="11900" w:h="16863"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Shashank Amit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6"/>
        <w:spacing w:after="0"/>
        <w:rPr>
          <w:sz w:val="20"/>
          <w:szCs w:val="20"/>
          <w:color w:val="auto"/>
        </w:rPr>
      </w:pPr>
      <w:r>
        <w:rPr>
          <w:rFonts w:ascii="Arial" w:cs="Arial" w:eastAsia="Arial" w:hAnsi="Arial"/>
          <w:sz w:val="17"/>
          <w:szCs w:val="17"/>
          <w:color w:val="0000FF"/>
        </w:rPr>
        <w:t>EVP &amp; Gen. Counsel/Corp. Sec'y</w:t>
      </w:r>
    </w:p>
    <w:p>
      <w:pPr>
        <w:spacing w:after="0" w:line="333" w:lineRule="exact"/>
        <w:rPr>
          <w:sz w:val="24"/>
          <w:szCs w:val="24"/>
          <w:color w:val="auto"/>
        </w:rPr>
      </w:pPr>
    </w:p>
    <w:p>
      <w:pPr>
        <w:sectPr>
          <w:pgSz w:w="11900" w:h="16863"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63"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jc w:val="center"/>
              <w:ind w:left="383"/>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08/05/2013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30,000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6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42,984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08/05/2013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30,000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vMerge w:val="restart"/>
          </w:tcPr>
          <w:p>
            <w:pPr>
              <w:jc w:val="center"/>
              <w:ind w:lef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28.32</w:t>
            </w:r>
            <w:r>
              <w:rPr>
                <w:rFonts w:ascii="Arial" w:cs="Arial" w:eastAsia="Arial" w:hAnsi="Arial"/>
                <w:sz w:val="22"/>
                <w:szCs w:val="22"/>
                <w:color w:val="008000"/>
                <w:w w:val="88"/>
                <w:vertAlign w:val="superscript"/>
              </w:rPr>
              <w:t>(2)</w:t>
            </w:r>
          </w:p>
        </w:tc>
        <w:tc>
          <w:tcPr>
            <w:tcW w:w="140" w:type="dxa"/>
            <w:vAlign w:val="bottom"/>
          </w:tcPr>
          <w:p>
            <w:pPr>
              <w:spacing w:after="0"/>
              <w:rPr>
                <w:sz w:val="22"/>
                <w:szCs w:val="22"/>
                <w:color w:val="auto"/>
              </w:rPr>
            </w:pP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12,984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5,500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6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18,484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5,500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28.4213</w:t>
            </w:r>
            <w:r>
              <w:rPr>
                <w:rFonts w:ascii="Arial" w:cs="Arial" w:eastAsia="Arial" w:hAnsi="Arial"/>
                <w:sz w:val="22"/>
                <w:szCs w:val="22"/>
                <w:color w:val="008000"/>
                <w:w w:val="90"/>
                <w:vertAlign w:val="superscript"/>
              </w:rPr>
              <w:t>(5)</w:t>
            </w: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12,984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8,000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6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20,984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8,000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28.4213</w:t>
            </w:r>
            <w:r>
              <w:rPr>
                <w:rFonts w:ascii="Arial" w:cs="Arial" w:eastAsia="Arial" w:hAnsi="Arial"/>
                <w:sz w:val="22"/>
                <w:szCs w:val="22"/>
                <w:color w:val="008000"/>
                <w:w w:val="90"/>
                <w:vertAlign w:val="superscript"/>
              </w:rPr>
              <w:t>(5)</w:t>
            </w: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12,984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2,730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4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19.76</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15,714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2,730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28.4213</w:t>
            </w:r>
            <w:r>
              <w:rPr>
                <w:rFonts w:ascii="Arial" w:cs="Arial" w:eastAsia="Arial" w:hAnsi="Arial"/>
                <w:sz w:val="22"/>
                <w:szCs w:val="22"/>
                <w:color w:val="008000"/>
                <w:w w:val="90"/>
                <w:vertAlign w:val="superscript"/>
              </w:rPr>
              <w:t>(5)</w:t>
            </w: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12,984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910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4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24.77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13,894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910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28.4213</w:t>
            </w:r>
            <w:r>
              <w:rPr>
                <w:rFonts w:ascii="Arial" w:cs="Arial" w:eastAsia="Arial" w:hAnsi="Arial"/>
                <w:sz w:val="22"/>
                <w:szCs w:val="22"/>
                <w:color w:val="008000"/>
                <w:w w:val="90"/>
                <w:vertAlign w:val="superscript"/>
              </w:rPr>
              <w:t>(5)</w:t>
            </w: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12,984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3"/>
              <w:spacing w:after="0"/>
              <w:rPr>
                <w:sz w:val="20"/>
                <w:szCs w:val="20"/>
                <w:color w:val="auto"/>
              </w:rPr>
            </w:pPr>
            <w:r>
              <w:rPr>
                <w:rFonts w:ascii="Arial" w:cs="Arial" w:eastAsia="Arial" w:hAnsi="Arial"/>
                <w:sz w:val="17"/>
                <w:szCs w:val="17"/>
                <w:color w:val="0000FF"/>
                <w:w w:val="93"/>
              </w:rPr>
              <w:t>08/06/2013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2,860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28.4213</w:t>
            </w:r>
            <w:r>
              <w:rPr>
                <w:rFonts w:ascii="Arial" w:cs="Arial" w:eastAsia="Arial" w:hAnsi="Arial"/>
                <w:sz w:val="22"/>
                <w:szCs w:val="22"/>
                <w:color w:val="008000"/>
                <w:w w:val="90"/>
                <w:vertAlign w:val="superscript"/>
              </w:rPr>
              <w:t>(5)</w:t>
            </w:r>
          </w:p>
        </w:tc>
        <w:tc>
          <w:tcPr>
            <w:tcW w:w="1220" w:type="dxa"/>
            <w:vAlign w:val="bottom"/>
            <w:gridSpan w:val="2"/>
            <w:vMerge w:val="restart"/>
          </w:tcPr>
          <w:p>
            <w:pPr>
              <w:jc w:val="right"/>
              <w:ind w:right="318"/>
              <w:spacing w:after="0"/>
              <w:rPr>
                <w:sz w:val="20"/>
                <w:szCs w:val="20"/>
                <w:color w:val="auto"/>
              </w:rPr>
            </w:pPr>
            <w:r>
              <w:rPr>
                <w:rFonts w:ascii="Arial" w:cs="Arial" w:eastAsia="Arial" w:hAnsi="Arial"/>
                <w:sz w:val="17"/>
                <w:szCs w:val="17"/>
                <w:color w:val="0000FF"/>
              </w:rPr>
              <w:t>10,124</w:t>
            </w:r>
          </w:p>
        </w:tc>
        <w:tc>
          <w:tcPr>
            <w:tcW w:w="28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76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2"/>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3"/>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jc w:val="right"/>
              <w:ind w:right="1"/>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80" w:type="dxa"/>
            <w:vAlign w:val="bottom"/>
          </w:tcPr>
          <w:p>
            <w:pPr>
              <w:jc w:val="right"/>
              <w:ind w:right="233"/>
              <w:spacing w:after="0" w:line="148" w:lineRule="exact"/>
              <w:rPr>
                <w:sz w:val="20"/>
                <w:szCs w:val="20"/>
                <w:color w:val="auto"/>
              </w:rPr>
            </w:pPr>
            <w:r>
              <w:rPr>
                <w:rFonts w:ascii="Arial" w:cs="Arial" w:eastAsia="Arial" w:hAnsi="Arial"/>
                <w:sz w:val="13"/>
                <w:szCs w:val="13"/>
                <w:color w:val="0000FF"/>
              </w:rPr>
              <w:t>08/05/2013</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0000FF"/>
              </w:rPr>
              <w:t>30,000</w:t>
            </w:r>
          </w:p>
        </w:tc>
        <w:tc>
          <w:tcPr>
            <w:tcW w:w="820" w:type="dxa"/>
            <w:vAlign w:val="bottom"/>
            <w:vMerge w:val="continue"/>
          </w:tcPr>
          <w:p>
            <w:pPr>
              <w:spacing w:after="0"/>
              <w:rPr>
                <w:sz w:val="12"/>
                <w:szCs w:val="12"/>
                <w:color w:val="auto"/>
              </w:rPr>
            </w:pPr>
          </w:p>
        </w:tc>
        <w:tc>
          <w:tcPr>
            <w:tcW w:w="800" w:type="dxa"/>
            <w:vAlign w:val="bottom"/>
          </w:tcPr>
          <w:p>
            <w:pPr>
              <w:ind w:left="120"/>
              <w:spacing w:after="0" w:line="148" w:lineRule="exact"/>
              <w:rPr>
                <w:sz w:val="20"/>
                <w:szCs w:val="20"/>
                <w:color w:val="auto"/>
              </w:rPr>
            </w:pPr>
            <w:r>
              <w:rPr>
                <w:rFonts w:ascii="Arial" w:cs="Arial" w:eastAsia="Arial" w:hAnsi="Arial"/>
                <w:sz w:val="13"/>
                <w:szCs w:val="13"/>
                <w:color w:val="0000FF"/>
              </w:rPr>
              <w:t>02/10/2019</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0000FF"/>
              </w:rPr>
              <w:t>5,500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jc w:val="right"/>
              <w:ind w:right="41"/>
              <w:spacing w:after="0"/>
              <w:rPr>
                <w:sz w:val="20"/>
                <w:szCs w:val="20"/>
                <w:color w:val="auto"/>
              </w:rPr>
            </w:pPr>
            <w:r>
              <w:rPr>
                <w:rFonts w:ascii="Arial" w:cs="Arial" w:eastAsia="Arial" w:hAnsi="Arial"/>
                <w:sz w:val="17"/>
                <w:szCs w:val="17"/>
                <w:color w:val="0000FF"/>
              </w:rPr>
              <w:t>5,500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80" w:type="dxa"/>
            <w:vAlign w:val="bottom"/>
          </w:tcPr>
          <w:p>
            <w:pPr>
              <w:jc w:val="right"/>
              <w:ind w:right="233"/>
              <w:spacing w:after="0" w:line="148" w:lineRule="exact"/>
              <w:rPr>
                <w:sz w:val="20"/>
                <w:szCs w:val="20"/>
                <w:color w:val="auto"/>
              </w:rPr>
            </w:pPr>
            <w:r>
              <w:rPr>
                <w:rFonts w:ascii="Arial" w:cs="Arial" w:eastAsia="Arial" w:hAnsi="Arial"/>
                <w:sz w:val="13"/>
                <w:szCs w:val="13"/>
                <w:color w:val="0000FF"/>
              </w:rPr>
              <w:t>08/06/2013</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0000FF"/>
              </w:rPr>
              <w:t>5,500</w:t>
            </w:r>
          </w:p>
        </w:tc>
        <w:tc>
          <w:tcPr>
            <w:tcW w:w="820" w:type="dxa"/>
            <w:vAlign w:val="bottom"/>
            <w:vMerge w:val="continue"/>
          </w:tcPr>
          <w:p>
            <w:pPr>
              <w:spacing w:after="0"/>
              <w:rPr>
                <w:sz w:val="12"/>
                <w:szCs w:val="12"/>
                <w:color w:val="auto"/>
              </w:rPr>
            </w:pPr>
          </w:p>
        </w:tc>
        <w:tc>
          <w:tcPr>
            <w:tcW w:w="800" w:type="dxa"/>
            <w:vAlign w:val="bottom"/>
          </w:tcPr>
          <w:p>
            <w:pPr>
              <w:ind w:left="120"/>
              <w:spacing w:after="0" w:line="148" w:lineRule="exact"/>
              <w:rPr>
                <w:sz w:val="20"/>
                <w:szCs w:val="20"/>
                <w:color w:val="auto"/>
              </w:rPr>
            </w:pPr>
            <w:r>
              <w:rPr>
                <w:rFonts w:ascii="Arial" w:cs="Arial" w:eastAsia="Arial" w:hAnsi="Arial"/>
                <w:sz w:val="13"/>
                <w:szCs w:val="13"/>
                <w:color w:val="0000FF"/>
              </w:rPr>
              <w:t>02/10/2019</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98"/>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-2796540</wp:posOffset>
            </wp:positionV>
            <wp:extent cx="24765" cy="2820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820670"/>
                    </a:xfrm>
                    <a:prstGeom prst="rect">
                      <a:avLst/>
                    </a:prstGeom>
                    <a:noFill/>
                  </pic:spPr>
                </pic:pic>
              </a:graphicData>
            </a:graphic>
          </wp:anchor>
        </w:drawing>
      </w:r>
    </w:p>
    <w:p>
      <w:pPr>
        <w:sectPr>
          <w:pgSz w:w="11900" w:h="16863" w:orient="portrait"/>
          <w:cols w:equalWidth="0" w:num="1">
            <w:col w:w="11520"/>
          </w:cols>
          <w:pgMar w:left="240" w:top="225"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3385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3455" cy="3385185"/>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13.5</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5"/>
              </w:rPr>
              <w:t>08/06/2013</w:t>
            </w: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tcPr>
          <w:p>
            <w:pPr>
              <w:jc w:val="center"/>
              <w:ind w:left="258"/>
              <w:spacing w:after="0" w:line="148" w:lineRule="exact"/>
              <w:rPr>
                <w:sz w:val="20"/>
                <w:szCs w:val="20"/>
                <w:color w:val="auto"/>
              </w:rPr>
            </w:pPr>
            <w:r>
              <w:rPr>
                <w:rFonts w:ascii="Arial" w:cs="Arial" w:eastAsia="Arial" w:hAnsi="Arial"/>
                <w:sz w:val="13"/>
                <w:szCs w:val="13"/>
                <w:color w:val="0000FF"/>
                <w:w w:val="92"/>
              </w:rPr>
              <w:t>8,000</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0000FF"/>
                <w:w w:val="95"/>
              </w:rPr>
              <w:t>10/19/2010</w:t>
            </w: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10/18/2016</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line="14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2,730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19.76</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5"/>
              </w:rPr>
              <w:t>08/06/2013</w:t>
            </w: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tcPr>
          <w:p>
            <w:pPr>
              <w:jc w:val="center"/>
              <w:ind w:left="258"/>
              <w:spacing w:after="0" w:line="148" w:lineRule="exact"/>
              <w:rPr>
                <w:sz w:val="20"/>
                <w:szCs w:val="20"/>
                <w:color w:val="auto"/>
              </w:rPr>
            </w:pPr>
            <w:r>
              <w:rPr>
                <w:rFonts w:ascii="Arial" w:cs="Arial" w:eastAsia="Arial" w:hAnsi="Arial"/>
                <w:sz w:val="13"/>
                <w:szCs w:val="13"/>
                <w:color w:val="0000FF"/>
                <w:w w:val="92"/>
              </w:rPr>
              <w:t>2,730</w:t>
            </w: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line="14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910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24.77</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5"/>
              </w:rPr>
              <w:t>08/06/2013</w:t>
            </w: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tcPr>
          <w:p>
            <w:pPr>
              <w:jc w:val="center"/>
              <w:ind w:left="278"/>
              <w:spacing w:after="0" w:line="148" w:lineRule="exact"/>
              <w:rPr>
                <w:sz w:val="20"/>
                <w:szCs w:val="20"/>
                <w:color w:val="auto"/>
              </w:rPr>
            </w:pPr>
            <w:r>
              <w:rPr>
                <w:rFonts w:ascii="Arial" w:cs="Arial" w:eastAsia="Arial" w:hAnsi="Arial"/>
                <w:sz w:val="13"/>
                <w:szCs w:val="13"/>
                <w:color w:val="0000FF"/>
                <w:w w:val="92"/>
              </w:rPr>
              <w:t>910</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0000FF"/>
                <w:w w:val="95"/>
              </w:rPr>
              <w:t>02/07/2013</w:t>
            </w: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line="14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5, 2013 the reporting person exercised previously issued options to purchase an aggregate of 30,000 shares of common stock of ExlService Holdings, Inc.</w:t>
      </w:r>
    </w:p>
    <w:p>
      <w:pPr>
        <w:spacing w:after="0" w:line="51" w:lineRule="exact"/>
        <w:rPr>
          <w:rFonts w:ascii="Arial" w:cs="Arial" w:eastAsia="Arial" w:hAnsi="Arial"/>
          <w:sz w:val="13"/>
          <w:szCs w:val="13"/>
          <w:color w:val="008000"/>
        </w:rPr>
      </w:pPr>
    </w:p>
    <w:p>
      <w:pPr>
        <w:jc w:val="both"/>
        <w:ind w:left="20" w:right="260" w:firstLine="8"/>
        <w:spacing w:after="0" w:line="303" w:lineRule="auto"/>
        <w:tabs>
          <w:tab w:leader="none" w:pos="15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$28.20 to $28.32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20" w:right="320" w:firstLine="8"/>
        <w:spacing w:after="0" w:line="272" w:lineRule="auto"/>
        <w:tabs>
          <w:tab w:leader="none" w:pos="15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representing a right to purchase a total of 35,500 shares, became exercisable as follows: (i) 4,000 options became exercisable on February 10, 2011; (ii) 13,500 options became exercisable on February 10, 2012; and (iii) 18,000 options became exercisable on February 10, 2013.</w:t>
      </w:r>
    </w:p>
    <w:p>
      <w:pPr>
        <w:spacing w:after="0" w:line="9"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6, 2013 the reporting person exercised previously issued options to purchase an aggregate of 17,140 shares of common stock of ExlService Holdings, Inc.</w:t>
      </w:r>
    </w:p>
    <w:p>
      <w:pPr>
        <w:spacing w:after="0" w:line="51" w:lineRule="exact"/>
        <w:rPr>
          <w:rFonts w:ascii="Arial" w:cs="Arial" w:eastAsia="Arial" w:hAnsi="Arial"/>
          <w:sz w:val="13"/>
          <w:szCs w:val="13"/>
          <w:color w:val="008000"/>
        </w:rPr>
      </w:pPr>
    </w:p>
    <w:p>
      <w:pPr>
        <w:jc w:val="both"/>
        <w:ind w:left="20" w:right="260" w:firstLine="8"/>
        <w:spacing w:after="0" w:line="303" w:lineRule="auto"/>
        <w:tabs>
          <w:tab w:leader="none" w:pos="15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$28.40 to $28.50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20" w:right="380" w:firstLine="8"/>
        <w:spacing w:after="0" w:line="272" w:lineRule="auto"/>
        <w:tabs>
          <w:tab w:leader="none" w:pos="15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representing a right to purchase a total of 2,730 shares, became exercisable as follows: (i) 910 options became exercisable on February 3, 2012; and (ii) 1,820 options became exercisable on February 3, 2013.</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08/07/2013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2019-12-16T15:17:25Z</dcterms:created>
  <dcterms:modified xsi:type="dcterms:W3CDTF">2019-12-16T15:17:25Z</dcterms:modified>
</cp:coreProperties>
</file>