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29845</wp:posOffset>
            </wp:positionV>
            <wp:extent cx="6967220" cy="163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3004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Jetley Vivek</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4"/>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02/23/2021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6"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36"/>
        <w:spacing w:after="0"/>
        <w:rPr>
          <w:sz w:val="20"/>
          <w:szCs w:val="20"/>
          <w:color w:val="auto"/>
        </w:rPr>
      </w:pPr>
      <w:r>
        <w:rPr>
          <w:rFonts w:ascii="Arial" w:cs="Arial" w:eastAsia="Arial" w:hAnsi="Arial"/>
          <w:sz w:val="17"/>
          <w:szCs w:val="17"/>
          <w:color w:val="0000FF"/>
        </w:rPr>
        <w:t>EVP and Head of Analytics</w:t>
      </w:r>
    </w:p>
    <w:p>
      <w:pPr>
        <w:spacing w:after="0" w:line="314"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153670</wp:posOffset>
            </wp:positionV>
            <wp:extent cx="6967220" cy="1315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5720"/>
                    </a:xfrm>
                    <a:prstGeom prst="rect">
                      <a:avLst/>
                    </a:prstGeom>
                    <a:noFill/>
                  </pic:spPr>
                </pic:pic>
              </a:graphicData>
            </a:graphic>
          </wp:anchor>
        </w:drawing>
      </w:r>
    </w:p>
    <w:p>
      <w:pPr>
        <w:spacing w:after="0" w:line="303"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0000FF"/>
              </w:rPr>
              <w:t>02/23/2021</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39"/>
              <w:spacing w:after="0"/>
              <w:rPr>
                <w:sz w:val="20"/>
                <w:szCs w:val="20"/>
                <w:color w:val="auto"/>
              </w:rPr>
            </w:pPr>
            <w:r>
              <w:rPr>
                <w:rFonts w:ascii="Arial" w:cs="Arial" w:eastAsia="Arial" w:hAnsi="Arial"/>
                <w:sz w:val="13"/>
                <w:szCs w:val="13"/>
                <w:color w:val="0000FF"/>
                <w:w w:val="91"/>
              </w:rPr>
              <w:t>M</w:t>
            </w:r>
          </w:p>
        </w:tc>
        <w:tc>
          <w:tcPr>
            <w:tcW w:w="660" w:type="dxa"/>
            <w:vAlign w:val="bottom"/>
          </w:tcPr>
          <w:p>
            <w:pPr>
              <w:jc w:val="right"/>
              <w:ind w:right="35"/>
              <w:spacing w:after="0"/>
              <w:rPr>
                <w:sz w:val="20"/>
                <w:szCs w:val="20"/>
                <w:color w:val="auto"/>
              </w:rPr>
            </w:pPr>
            <w:r>
              <w:rPr>
                <w:rFonts w:ascii="Arial" w:cs="Arial" w:eastAsia="Arial" w:hAnsi="Arial"/>
                <w:sz w:val="17"/>
                <w:szCs w:val="17"/>
                <w:color w:val="0000FF"/>
              </w:rPr>
              <w:t>938</w:t>
            </w:r>
          </w:p>
        </w:tc>
        <w:tc>
          <w:tcPr>
            <w:tcW w:w="700" w:type="dxa"/>
            <w:vAlign w:val="bottom"/>
          </w:tcPr>
          <w:p>
            <w:pPr>
              <w:jc w:val="right"/>
              <w:ind w:right="156"/>
              <w:spacing w:after="0"/>
              <w:rPr>
                <w:sz w:val="20"/>
                <w:szCs w:val="20"/>
                <w:color w:val="auto"/>
              </w:rPr>
            </w:pPr>
            <w:r>
              <w:rPr>
                <w:rFonts w:ascii="Arial" w:cs="Arial" w:eastAsia="Arial" w:hAnsi="Arial"/>
                <w:sz w:val="17"/>
                <w:szCs w:val="17"/>
                <w:color w:val="0000FF"/>
              </w:rPr>
              <w:t>A</w:t>
            </w:r>
          </w:p>
        </w:tc>
        <w:tc>
          <w:tcPr>
            <w:tcW w:w="520" w:type="dxa"/>
            <w:vAlign w:val="bottom"/>
          </w:tcPr>
          <w:p>
            <w:pPr>
              <w:jc w:val="right"/>
              <w:ind w:right="56"/>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Arial" w:cs="Arial" w:eastAsia="Arial" w:hAnsi="Arial"/>
                <w:sz w:val="17"/>
                <w:szCs w:val="17"/>
                <w:color w:val="0000FF"/>
              </w:rPr>
              <w:t>41,932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Borders>
              <w:bottom w:val="single" w:sz="8" w:color="2C2C2C"/>
            </w:tcBorders>
            <w:gridSpan w:val="4"/>
          </w:tcPr>
          <w:p>
            <w:pPr>
              <w:spacing w:after="0"/>
              <w:rPr>
                <w:sz w:val="5"/>
                <w:szCs w:val="5"/>
                <w:color w:val="auto"/>
              </w:rPr>
            </w:pPr>
          </w:p>
        </w:tc>
        <w:tc>
          <w:tcPr>
            <w:tcW w:w="106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0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0000FF"/>
              </w:rPr>
              <w:t>02/23/2021</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9"/>
              <w:spacing w:after="0"/>
              <w:rPr>
                <w:sz w:val="20"/>
                <w:szCs w:val="20"/>
                <w:color w:val="auto"/>
              </w:rPr>
            </w:pPr>
            <w:r>
              <w:rPr>
                <w:rFonts w:ascii="Arial" w:cs="Arial" w:eastAsia="Arial" w:hAnsi="Arial"/>
                <w:sz w:val="13"/>
                <w:szCs w:val="13"/>
                <w:color w:val="0000FF"/>
                <w:w w:val="74"/>
              </w:rPr>
              <w:t>F</w:t>
            </w:r>
          </w:p>
        </w:tc>
        <w:tc>
          <w:tcPr>
            <w:tcW w:w="660" w:type="dxa"/>
            <w:vAlign w:val="bottom"/>
            <w:tcBorders>
              <w:bottom w:val="single" w:sz="8" w:color="2C2C2C"/>
            </w:tcBorders>
          </w:tcPr>
          <w:p>
            <w:pPr>
              <w:jc w:val="right"/>
              <w:ind w:right="35"/>
              <w:spacing w:after="0"/>
              <w:rPr>
                <w:sz w:val="20"/>
                <w:szCs w:val="20"/>
                <w:color w:val="auto"/>
              </w:rPr>
            </w:pPr>
            <w:r>
              <w:rPr>
                <w:rFonts w:ascii="Arial" w:cs="Arial" w:eastAsia="Arial" w:hAnsi="Arial"/>
                <w:sz w:val="17"/>
                <w:szCs w:val="17"/>
                <w:color w:val="0000FF"/>
              </w:rPr>
              <w:t>359</w:t>
            </w:r>
          </w:p>
        </w:tc>
        <w:tc>
          <w:tcPr>
            <w:tcW w:w="700" w:type="dxa"/>
            <w:vAlign w:val="bottom"/>
            <w:tcBorders>
              <w:bottom w:val="single" w:sz="8" w:color="2C2C2C"/>
            </w:tcBorders>
          </w:tcPr>
          <w:p>
            <w:pPr>
              <w:jc w:val="right"/>
              <w:ind w:right="156"/>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80.46</w:t>
            </w:r>
            <w:r>
              <w:rPr>
                <w:rFonts w:ascii="Arial" w:cs="Arial" w:eastAsia="Arial" w:hAnsi="Arial"/>
                <w:sz w:val="21"/>
                <w:szCs w:val="21"/>
                <w:color w:val="008000"/>
                <w:w w:val="89"/>
                <w:vertAlign w:val="superscript"/>
              </w:rPr>
              <w:t>(2)</w:t>
            </w:r>
          </w:p>
        </w:tc>
        <w:tc>
          <w:tcPr>
            <w:tcW w:w="116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41,573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4"/>
          </w:tcPr>
          <w:p>
            <w:pPr>
              <w:jc w:val="center"/>
              <w:ind w:left="8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00" w:type="dxa"/>
            <w:vAlign w:val="bottom"/>
            <w:gridSpan w:val="10"/>
          </w:tcPr>
          <w:p>
            <w:pPr>
              <w:jc w:val="center"/>
              <w:ind w:right="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jc w:val="right"/>
              <w:ind w:right="215"/>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6"/>
              <w:spacing w:after="0" w:line="144"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938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right"/>
              <w:ind w:right="195"/>
              <w:spacing w:after="0" w:line="144" w:lineRule="exact"/>
              <w:rPr>
                <w:sz w:val="20"/>
                <w:szCs w:val="20"/>
                <w:color w:val="auto"/>
              </w:rPr>
            </w:pPr>
            <w:r>
              <w:rPr>
                <w:rFonts w:ascii="Arial" w:cs="Arial" w:eastAsia="Arial" w:hAnsi="Arial"/>
                <w:sz w:val="13"/>
                <w:szCs w:val="13"/>
                <w:color w:val="0000FF"/>
              </w:rPr>
              <w:t>02/23/2021</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ind w:left="140"/>
              <w:spacing w:after="0" w:line="144" w:lineRule="exact"/>
              <w:rPr>
                <w:sz w:val="20"/>
                <w:szCs w:val="20"/>
                <w:color w:val="auto"/>
              </w:rPr>
            </w:pPr>
            <w:r>
              <w:rPr>
                <w:rFonts w:ascii="Arial" w:cs="Arial" w:eastAsia="Arial" w:hAnsi="Arial"/>
                <w:sz w:val="13"/>
                <w:szCs w:val="13"/>
                <w:color w:val="0000FF"/>
              </w:rPr>
              <w:t>M</w:t>
            </w:r>
          </w:p>
        </w:tc>
        <w:tc>
          <w:tcPr>
            <w:tcW w:w="340" w:type="dxa"/>
            <w:vAlign w:val="bottom"/>
          </w:tcPr>
          <w:p>
            <w:pPr>
              <w:spacing w:after="0"/>
              <w:rPr>
                <w:sz w:val="12"/>
                <w:szCs w:val="12"/>
                <w:color w:val="auto"/>
              </w:rPr>
            </w:pPr>
          </w:p>
        </w:tc>
        <w:tc>
          <w:tcPr>
            <w:tcW w:w="760" w:type="dxa"/>
            <w:vAlign w:val="bottom"/>
          </w:tcPr>
          <w:p>
            <w:pPr>
              <w:ind w:left="440"/>
              <w:spacing w:after="0" w:line="144" w:lineRule="exact"/>
              <w:rPr>
                <w:sz w:val="20"/>
                <w:szCs w:val="20"/>
                <w:color w:val="auto"/>
              </w:rPr>
            </w:pPr>
            <w:r>
              <w:rPr>
                <w:rFonts w:ascii="Arial" w:cs="Arial" w:eastAsia="Arial" w:hAnsi="Arial"/>
                <w:sz w:val="13"/>
                <w:szCs w:val="13"/>
                <w:color w:val="0000FF"/>
              </w:rPr>
              <w:t>938</w:t>
            </w:r>
          </w:p>
        </w:tc>
        <w:tc>
          <w:tcPr>
            <w:tcW w:w="8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ind w:left="80"/>
              <w:spacing w:after="0" w:line="144"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tcPr>
          <w:p>
            <w:pPr>
              <w:ind w:left="440"/>
              <w:spacing w:after="0" w:line="144"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jc w:val="right"/>
              <w:ind w:right="136"/>
              <w:spacing w:after="0" w:line="144"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-2249170</wp:posOffset>
            </wp:positionV>
            <wp:extent cx="7033260" cy="2291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91715"/>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40" w:firstLine="3"/>
        <w:spacing w:after="0" w:line="29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23, 2021. Pursuant to the ExlService Holdings, Inc. 2016 Omnibus Incentive Plan, pursuant to which such restricted stock units were granted, the closing price of the Common Stock on the Nasdaq Global Select Market on the preceding day is used for purposes of computing tax reporting and withholding.</w:t>
      </w:r>
    </w:p>
    <w:p>
      <w:pPr>
        <w:jc w:val="both"/>
        <w:ind w:left="40" w:right="3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23, 2017, the reporting person was granted 3,750 restricted stock units, 25 percent of the restricted stock units became vested on February 23, 2018, an additional 25 percent of the restricted stock units became vested on February 23, 2019, an additional 25 percent of the restricted stock units became vested February 23, 2020, and the remaining balance of 25 percent of the restricted stock units became vested on February 23, 2021.</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26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3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98124"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2021-02-25T17:05:22Z</dcterms:created>
  <dcterms:modified xsi:type="dcterms:W3CDTF">2021-02-25T17:05:22Z</dcterms:modified>
</cp:coreProperties>
</file>