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5" w:lineRule="exact"/>
        <w:rPr>
          <w:sz w:val="24"/>
          <w:szCs w:val="24"/>
          <w:color w:val="auto"/>
        </w:rPr>
      </w:pPr>
    </w:p>
    <w:p>
      <w:pPr>
        <w:ind w:left="306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9" w:lineRule="exact"/>
        <w:rPr>
          <w:sz w:val="24"/>
          <w:szCs w:val="24"/>
          <w:color w:val="auto"/>
        </w:rPr>
      </w:pPr>
    </w:p>
    <w:p>
      <w:pPr>
        <w:ind w:left="306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CURRENT REPORT</w:t>
      </w:r>
    </w:p>
    <w:p>
      <w:pPr>
        <w:spacing w:after="0" w:line="262" w:lineRule="exact"/>
        <w:rPr>
          <w:sz w:val="24"/>
          <w:szCs w:val="24"/>
          <w:color w:val="auto"/>
        </w:rPr>
      </w:pPr>
    </w:p>
    <w:p>
      <w:pPr>
        <w:ind w:left="3180"/>
        <w:spacing w:after="0"/>
        <w:rPr>
          <w:sz w:val="20"/>
          <w:szCs w:val="20"/>
          <w:color w:val="auto"/>
        </w:rPr>
      </w:pPr>
      <w:r>
        <w:rPr>
          <w:rFonts w:ascii="Arial" w:cs="Arial" w:eastAsia="Arial" w:hAnsi="Arial"/>
          <w:sz w:val="16"/>
          <w:szCs w:val="16"/>
          <w:b w:val="1"/>
          <w:bCs w:val="1"/>
          <w:color w:val="auto"/>
        </w:rPr>
        <w:t>Pursuant to Sections 13 or 15(d) of the Securities Exchange Act of 1934</w:t>
      </w:r>
    </w:p>
    <w:p>
      <w:pPr>
        <w:spacing w:after="0" w:line="77" w:lineRule="exact"/>
        <w:rPr>
          <w:sz w:val="24"/>
          <w:szCs w:val="24"/>
          <w:color w:val="auto"/>
        </w:rPr>
      </w:pPr>
    </w:p>
    <w:p>
      <w:pPr>
        <w:ind w:left="3480"/>
        <w:spacing w:after="0"/>
        <w:rPr>
          <w:sz w:val="20"/>
          <w:szCs w:val="20"/>
          <w:color w:val="auto"/>
        </w:rPr>
      </w:pPr>
      <w:r>
        <w:rPr>
          <w:rFonts w:ascii="Arial" w:cs="Arial" w:eastAsia="Arial" w:hAnsi="Arial"/>
          <w:sz w:val="16"/>
          <w:szCs w:val="16"/>
          <w:color w:val="auto"/>
        </w:rPr>
        <w:t>Date of Report (Date of earliest event reported): October 26, 2023</w:t>
      </w:r>
    </w:p>
    <w:p>
      <w:pPr>
        <w:spacing w:after="0" w:line="51" w:lineRule="exact"/>
        <w:rPr>
          <w:sz w:val="24"/>
          <w:szCs w:val="24"/>
          <w:color w:val="auto"/>
        </w:rPr>
      </w:pPr>
    </w:p>
    <w:p>
      <w:pPr>
        <w:ind w:left="308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EXLSERVICE HOLDINGS,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8" w:lineRule="exact"/>
        <w:rPr>
          <w:sz w:val="24"/>
          <w:szCs w:val="24"/>
          <w:color w:val="auto"/>
        </w:rPr>
      </w:pPr>
    </w:p>
    <w:p>
      <w:pPr>
        <w:ind w:left="306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ectPr>
          <w:pgSz w:w="11900" w:h="16838" w:orient="portrait"/>
          <w:cols w:equalWidth="0" w:num="1">
            <w:col w:w="11240"/>
          </w:cols>
          <w:pgMar w:left="320" w:top="1174" w:right="339" w:bottom="1440" w:gutter="0" w:footer="0" w:header="0"/>
        </w:sectPr>
      </w:pPr>
    </w:p>
    <w:p>
      <w:pPr>
        <w:spacing w:after="0" w:line="134" w:lineRule="exact"/>
        <w:rPr>
          <w:sz w:val="24"/>
          <w:szCs w:val="24"/>
          <w:color w:val="auto"/>
        </w:rPr>
      </w:pPr>
    </w:p>
    <w:p>
      <w:pPr>
        <w:ind w:left="1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2300"/>
        <w:spacing w:after="0"/>
        <w:rPr>
          <w:sz w:val="20"/>
          <w:szCs w:val="20"/>
          <w:color w:val="auto"/>
        </w:rPr>
      </w:pPr>
      <w:r>
        <w:rPr>
          <w:rFonts w:ascii="Arial" w:cs="Arial" w:eastAsia="Arial" w:hAnsi="Arial"/>
          <w:sz w:val="14"/>
          <w:szCs w:val="14"/>
          <w:b w:val="1"/>
          <w:bCs w:val="1"/>
          <w:color w:val="auto"/>
        </w:rPr>
        <w:t>001-33089</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82-0572194</w:t>
      </w:r>
    </w:p>
    <w:p>
      <w:pPr>
        <w:spacing w:after="0" w:line="51" w:lineRule="exact"/>
        <w:rPr>
          <w:sz w:val="24"/>
          <w:szCs w:val="24"/>
          <w:color w:val="auto"/>
        </w:rPr>
      </w:pPr>
    </w:p>
    <w:p>
      <w:pPr>
        <w:sectPr>
          <w:pgSz w:w="11900" w:h="16838" w:orient="portrait"/>
          <w:cols w:equalWidth="0" w:num="3">
            <w:col w:w="4540" w:space="720"/>
            <w:col w:w="3000" w:space="720"/>
            <w:col w:w="2260"/>
          </w:cols>
          <w:pgMar w:left="320" w:top="1174" w:right="339" w:bottom="1440" w:gutter="0" w:footer="0" w:header="0"/>
          <w:type w:val="continuous"/>
        </w:sectPr>
      </w:pPr>
    </w:p>
    <w:p>
      <w:pPr>
        <w:jc w:val="center"/>
        <w:ind w:right="260"/>
        <w:spacing w:after="0"/>
        <w:rPr>
          <w:sz w:val="20"/>
          <w:szCs w:val="20"/>
          <w:color w:val="auto"/>
        </w:rPr>
      </w:pPr>
      <w:r>
        <w:rPr>
          <w:rFonts w:ascii="Arial" w:cs="Arial" w:eastAsia="Arial" w:hAnsi="Arial"/>
          <w:sz w:val="16"/>
          <w:szCs w:val="16"/>
          <w:color w:val="auto"/>
        </w:rPr>
        <w:t>(State or other jurisdiction</w:t>
      </w:r>
    </w:p>
    <w:p>
      <w:pPr>
        <w:jc w:val="center"/>
        <w:ind w:right="260"/>
        <w:spacing w:after="0"/>
        <w:rPr>
          <w:sz w:val="20"/>
          <w:szCs w:val="20"/>
          <w:color w:val="auto"/>
        </w:rPr>
      </w:pPr>
      <w:r>
        <w:rPr>
          <w:rFonts w:ascii="Arial" w:cs="Arial" w:eastAsia="Arial" w:hAnsi="Arial"/>
          <w:sz w:val="15"/>
          <w:szCs w:val="15"/>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5"/>
          <w:szCs w:val="15"/>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5"/>
          <w:szCs w:val="15"/>
          <w:color w:val="auto"/>
        </w:rPr>
        <w:t>Identification No.)</w:t>
      </w:r>
    </w:p>
    <w:p>
      <w:pPr>
        <w:spacing w:after="0" w:line="200" w:lineRule="exact"/>
        <w:rPr>
          <w:sz w:val="24"/>
          <w:szCs w:val="24"/>
          <w:color w:val="auto"/>
        </w:rPr>
      </w:pPr>
    </w:p>
    <w:p>
      <w:pPr>
        <w:sectPr>
          <w:pgSz w:w="11900" w:h="16838" w:orient="portrait"/>
          <w:cols w:equalWidth="0" w:num="3">
            <w:col w:w="4000" w:space="720"/>
            <w:col w:w="3320" w:space="720"/>
            <w:col w:w="2480"/>
          </w:cols>
          <w:pgMar w:left="320" w:top="1174" w:right="339" w:bottom="1440" w:gutter="0" w:footer="0" w:header="0"/>
          <w:type w:val="continuous"/>
        </w:sectPr>
      </w:pPr>
    </w:p>
    <w:p>
      <w:pPr>
        <w:spacing w:after="0" w:line="190" w:lineRule="exact"/>
        <w:rPr>
          <w:sz w:val="24"/>
          <w:szCs w:val="24"/>
          <w:color w:val="auto"/>
        </w:rPr>
      </w:pPr>
    </w:p>
    <w:p>
      <w:pPr>
        <w:ind w:left="4480"/>
        <w:spacing w:after="0"/>
        <w:rPr>
          <w:sz w:val="20"/>
          <w:szCs w:val="20"/>
          <w:color w:val="auto"/>
        </w:rPr>
      </w:pPr>
      <w:r>
        <w:rPr>
          <w:rFonts w:ascii="Arial" w:cs="Arial" w:eastAsia="Arial" w:hAnsi="Arial"/>
          <w:sz w:val="14"/>
          <w:szCs w:val="14"/>
          <w:b w:val="1"/>
          <w:bCs w:val="1"/>
          <w:color w:val="auto"/>
        </w:rPr>
        <w:t>320 Park Avenue, 29th Floor,</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10022</w:t>
      </w:r>
    </w:p>
    <w:p>
      <w:pPr>
        <w:spacing w:after="0" w:line="55" w:lineRule="exact"/>
        <w:rPr>
          <w:sz w:val="24"/>
          <w:szCs w:val="24"/>
          <w:color w:val="auto"/>
        </w:rPr>
      </w:pPr>
    </w:p>
    <w:p>
      <w:pPr>
        <w:sectPr>
          <w:pgSz w:w="11900" w:h="16838" w:orient="portrait"/>
          <w:cols w:equalWidth="0" w:num="2">
            <w:col w:w="7620" w:space="720"/>
            <w:col w:w="2900"/>
          </w:cols>
          <w:pgMar w:left="320" w:top="1174" w:right="339" w:bottom="1440" w:gutter="0" w:footer="0" w:header="0"/>
          <w:type w:val="continuous"/>
        </w:sectPr>
      </w:pPr>
    </w:p>
    <w:p>
      <w:pPr>
        <w:ind w:left="4960"/>
        <w:spacing w:after="0"/>
        <w:rPr>
          <w:sz w:val="20"/>
          <w:szCs w:val="20"/>
          <w:color w:val="auto"/>
        </w:rPr>
      </w:pPr>
      <w:r>
        <w:rPr>
          <w:rFonts w:ascii="Arial" w:cs="Arial" w:eastAsia="Arial" w:hAnsi="Arial"/>
          <w:sz w:val="15"/>
          <w:szCs w:val="15"/>
          <w:b w:val="1"/>
          <w:bCs w:val="1"/>
          <w:color w:val="auto"/>
        </w:rPr>
        <w:t>New York, New York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(Zip code)</w:t>
      </w:r>
    </w:p>
    <w:p>
      <w:pPr>
        <w:spacing w:after="0" w:line="44" w:lineRule="exact"/>
        <w:rPr>
          <w:sz w:val="24"/>
          <w:szCs w:val="24"/>
          <w:color w:val="auto"/>
        </w:rPr>
      </w:pPr>
    </w:p>
    <w:p>
      <w:pPr>
        <w:sectPr>
          <w:pgSz w:w="11900" w:h="16838" w:orient="portrait"/>
          <w:cols w:equalWidth="0" w:num="2">
            <w:col w:w="7480" w:space="720"/>
            <w:col w:w="3040"/>
          </w:cols>
          <w:pgMar w:left="320" w:top="1174" w:right="339" w:bottom="1440" w:gutter="0" w:footer="0" w:header="0"/>
          <w:type w:val="continuous"/>
        </w:sectPr>
      </w:pPr>
    </w:p>
    <w:p>
      <w:pPr>
        <w:ind w:left="4580"/>
        <w:spacing w:after="0"/>
        <w:rPr>
          <w:sz w:val="20"/>
          <w:szCs w:val="20"/>
          <w:color w:val="auto"/>
        </w:rPr>
      </w:pPr>
      <w:r>
        <w:rPr>
          <w:rFonts w:ascii="Arial" w:cs="Arial" w:eastAsia="Arial" w:hAnsi="Arial"/>
          <w:sz w:val="16"/>
          <w:szCs w:val="16"/>
          <w:color w:val="auto"/>
        </w:rPr>
        <w:t>(Address of principal executive offices)</w:t>
      </w:r>
    </w:p>
    <w:p>
      <w:pPr>
        <w:spacing w:after="0" w:line="163" w:lineRule="exact"/>
        <w:rPr>
          <w:sz w:val="24"/>
          <w:szCs w:val="24"/>
          <w:color w:val="auto"/>
        </w:rPr>
      </w:pPr>
    </w:p>
    <w:p>
      <w:pPr>
        <w:ind w:left="342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(212) 277-7100</w:t>
      </w:r>
    </w:p>
    <w:p>
      <w:pPr>
        <w:spacing w:after="0" w:line="29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address, if changed since last report)</w:t>
      </w:r>
    </w:p>
    <w:p>
      <w:pPr>
        <w:spacing w:after="0" w:line="8" w:lineRule="exact"/>
        <w:rPr>
          <w:sz w:val="24"/>
          <w:szCs w:val="24"/>
          <w:color w:val="auto"/>
        </w:rPr>
      </w:pPr>
    </w:p>
    <w:p>
      <w:pPr>
        <w:ind w:left="3640"/>
        <w:spacing w:after="0"/>
        <w:rPr>
          <w:sz w:val="20"/>
          <w:szCs w:val="20"/>
          <w:color w:val="auto"/>
        </w:rPr>
      </w:pPr>
      <w:r>
        <w:rPr>
          <w:rFonts w:ascii="Arial" w:cs="Arial" w:eastAsia="Arial" w:hAnsi="Arial"/>
          <w:sz w:val="17"/>
          <w:szCs w:val="17"/>
          <w:b w:val="1"/>
          <w:bCs w:val="1"/>
          <w:color w:val="auto"/>
        </w:rPr>
        <w:t>____________________________________________</w:t>
      </w:r>
    </w:p>
    <w:p>
      <w:pPr>
        <w:sectPr>
          <w:pgSz w:w="11900" w:h="16838" w:orient="portrait"/>
          <w:cols w:equalWidth="0" w:num="1">
            <w:col w:w="11240"/>
          </w:cols>
          <w:pgMar w:left="320" w:top="1174" w:right="339" w:bottom="1440" w:gutter="0" w:footer="0" w:header="0"/>
          <w:type w:val="continuous"/>
        </w:sectPr>
      </w:pPr>
    </w:p>
    <w:p>
      <w:pPr>
        <w:spacing w:after="0" w:line="273"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35" w:lineRule="exact"/>
        <w:rPr>
          <w:sz w:val="24"/>
          <w:szCs w:val="24"/>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16"/>
          <w:szCs w:val="16"/>
          <w:color w:val="auto"/>
        </w:rPr>
        <w:t>Written communication pursuant to Rule 425 under the Securities Act (17 CFR 230.425)</w:t>
      </w:r>
    </w:p>
    <w:p>
      <w:pPr>
        <w:spacing w:after="0" w:line="168" w:lineRule="exact"/>
        <w:rPr>
          <w:rFonts w:ascii="MS PGothic" w:cs="MS PGothic" w:eastAsia="MS PGothic" w:hAnsi="MS PGothic"/>
          <w:sz w:val="22"/>
          <w:szCs w:val="22"/>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16"/>
          <w:szCs w:val="16"/>
          <w:color w:val="auto"/>
        </w:rPr>
        <w:t>Soliciting material pursuant to Rule 14a-12 under the Exchange Act (17 CFR 240.14a-12)</w:t>
      </w:r>
    </w:p>
    <w:p>
      <w:pPr>
        <w:spacing w:after="0" w:line="155" w:lineRule="exact"/>
        <w:rPr>
          <w:rFonts w:ascii="MS PGothic" w:cs="MS PGothic" w:eastAsia="MS PGothic" w:hAnsi="MS PGothic"/>
          <w:sz w:val="22"/>
          <w:szCs w:val="22"/>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16"/>
          <w:szCs w:val="16"/>
          <w:color w:val="auto"/>
        </w:rPr>
        <w:t>Pre-commencement communications pursuant to Rule 14d-2(b) under the Exchange Act (17 CFR 240.14d-2(b))</w:t>
      </w:r>
    </w:p>
    <w:p>
      <w:pPr>
        <w:spacing w:after="0" w:line="168" w:lineRule="exact"/>
        <w:rPr>
          <w:rFonts w:ascii="MS PGothic" w:cs="MS PGothic" w:eastAsia="MS PGothic" w:hAnsi="MS PGothic"/>
          <w:sz w:val="22"/>
          <w:szCs w:val="22"/>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16"/>
          <w:szCs w:val="16"/>
          <w:color w:val="auto"/>
        </w:rPr>
        <w:t>Pre-commencement communications pursuant to Rule 13e-4(c) under the Exchange Act (17 CFR 240.13e-4(c))</w:t>
      </w:r>
    </w:p>
    <w:p>
      <w:pPr>
        <w:spacing w:after="0" w:line="388"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3" w:lineRule="exact"/>
        <w:rPr>
          <w:sz w:val="24"/>
          <w:szCs w:val="24"/>
          <w:color w:val="auto"/>
        </w:rPr>
      </w:pPr>
    </w:p>
    <w:p>
      <w:pPr>
        <w:ind w:left="620" w:hanging="594"/>
        <w:spacing w:after="0"/>
        <w:tabs>
          <w:tab w:leader="none" w:pos="620" w:val="left"/>
        </w:tabs>
        <w:numPr>
          <w:ilvl w:val="0"/>
          <w:numId w:val="2"/>
        </w:numPr>
        <w:rPr>
          <w:rFonts w:ascii="MS PGothic" w:cs="MS PGothic" w:eastAsia="MS PGothic" w:hAnsi="MS PGothic"/>
          <w:sz w:val="22"/>
          <w:szCs w:val="22"/>
          <w:color w:val="auto"/>
        </w:rPr>
      </w:pPr>
      <w:r>
        <w:rPr>
          <w:rFonts w:ascii="Arial" w:cs="Arial" w:eastAsia="Arial" w:hAnsi="Arial"/>
          <w:sz w:val="16"/>
          <w:szCs w:val="16"/>
          <w:color w:val="auto"/>
        </w:rPr>
        <w:t>Emerging growth company</w:t>
      </w:r>
    </w:p>
    <w:p>
      <w:pPr>
        <w:spacing w:after="0" w:line="225" w:lineRule="exact"/>
        <w:rPr>
          <w:rFonts w:ascii="MS PGothic" w:cs="MS PGothic" w:eastAsia="MS PGothic" w:hAnsi="MS PGothic"/>
          <w:sz w:val="22"/>
          <w:szCs w:val="22"/>
          <w:color w:val="auto"/>
        </w:rPr>
      </w:pPr>
    </w:p>
    <w:p>
      <w:pPr>
        <w:ind w:left="620" w:right="480" w:hanging="594"/>
        <w:spacing w:after="0" w:line="217" w:lineRule="auto"/>
        <w:tabs>
          <w:tab w:leader="none" w:pos="620" w:val="left"/>
        </w:tabs>
        <w:numPr>
          <w:ilvl w:val="0"/>
          <w:numId w:val="2"/>
        </w:numPr>
        <w:rPr>
          <w:rFonts w:ascii="MS PGothic" w:cs="MS PGothic" w:eastAsia="MS PGothic" w:hAnsi="MS PGothic"/>
          <w:sz w:val="22"/>
          <w:szCs w:val="22"/>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81280</wp:posOffset>
            </wp:positionV>
            <wp:extent cx="7123430"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445770"/>
                    </a:xfrm>
                    <a:prstGeom prst="rect">
                      <a:avLst/>
                    </a:prstGeom>
                    <a:noFill/>
                  </pic:spPr>
                </pic:pic>
              </a:graphicData>
            </a:graphic>
          </wp:anchor>
        </w:drawing>
      </w:r>
    </w:p>
    <w:p>
      <w:pPr>
        <w:spacing w:after="0" w:line="1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3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9"/>
        </w:trPr>
        <w:tc>
          <w:tcPr>
            <w:tcW w:w="20" w:type="dxa"/>
            <w:vAlign w:val="bottom"/>
          </w:tcPr>
          <w:p>
            <w:pPr>
              <w:spacing w:after="0"/>
              <w:rPr>
                <w:sz w:val="18"/>
                <w:szCs w:val="18"/>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$0.001 par value per share</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EXLS</w:t>
            </w: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NASDAQ</w:t>
            </w:r>
          </w:p>
        </w:tc>
      </w:tr>
      <w:tr>
        <w:trPr>
          <w:trHeight w:val="348"/>
        </w:trPr>
        <w:tc>
          <w:tcPr>
            <w:tcW w:w="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973"/>
        </w:trPr>
        <w:tc>
          <w:tcPr>
            <w:tcW w:w="2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26, 2023, ExlService Holdings, Inc. (the “Company”) reported its results of operations for the three months ended September 30, 2023. A copy of the press release issued by the Company concerning the foregoing is furnished herewith as Exhibit 99.1 and is incorporated herein by reference. The information provided in Item 2.02 of this report, including Exhibit 99.1, shall not be deemed to be “filed” for purposes of Section 18 of the Securities Exchange Act of 1934, as amended.</w:t>
      </w: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020" w:type="dxa"/>
            <w:vAlign w:val="bottom"/>
            <w:gridSpan w:val="2"/>
          </w:tcPr>
          <w:p>
            <w:pPr>
              <w:ind w:left="160"/>
              <w:spacing w:after="0"/>
              <w:rPr>
                <w:sz w:val="20"/>
                <w:szCs w:val="20"/>
                <w:color w:val="auto"/>
              </w:rPr>
            </w:pPr>
            <w:r>
              <w:rPr>
                <w:rFonts w:ascii="Arial" w:cs="Arial" w:eastAsia="Arial" w:hAnsi="Arial"/>
                <w:sz w:val="18"/>
                <w:szCs w:val="18"/>
                <w:color w:val="auto"/>
              </w:rPr>
              <w:t>(d) Exhibits</w:t>
            </w:r>
          </w:p>
        </w:tc>
        <w:tc>
          <w:tcPr>
            <w:tcW w:w="8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820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2140" w:type="dxa"/>
            <w:vAlign w:val="bottom"/>
          </w:tcPr>
          <w:p>
            <w:pPr>
              <w:spacing w:after="0"/>
              <w:rPr>
                <w:sz w:val="18"/>
                <w:szCs w:val="18"/>
                <w:color w:val="auto"/>
              </w:rPr>
            </w:pPr>
          </w:p>
        </w:tc>
        <w:tc>
          <w:tcPr>
            <w:tcW w:w="52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8"/>
              </w:rPr>
              <w:t>Press Release, dated October 26, 2023 (furnished pursuant to Item 2.02).</w:t>
            </w:r>
          </w:p>
        </w:tc>
        <w:tc>
          <w:tcPr>
            <w:tcW w:w="296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8200" w:type="dxa"/>
            <w:vAlign w:val="bottom"/>
            <w:gridSpan w:val="3"/>
          </w:tcPr>
          <w:p>
            <w:pPr>
              <w:spacing w:after="0" w:line="196" w:lineRule="exact"/>
              <w:rPr>
                <w:sz w:val="20"/>
                <w:szCs w:val="20"/>
                <w:color w:val="auto"/>
              </w:rPr>
            </w:pPr>
            <w:r>
              <w:rPr>
                <w:rFonts w:ascii="Arial" w:cs="Arial" w:eastAsia="Arial" w:hAnsi="Arial"/>
                <w:sz w:val="18"/>
                <w:szCs w:val="18"/>
                <w:color w:val="auto"/>
              </w:rPr>
              <w:t>Cover Page Interactive Data File (the cover page XBRL tags are embedded within the inline</w:t>
            </w:r>
          </w:p>
        </w:tc>
      </w:tr>
      <w:tr>
        <w:trPr>
          <w:trHeight w:val="243"/>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2140" w:type="dxa"/>
            <w:vAlign w:val="bottom"/>
          </w:tcPr>
          <w:p>
            <w:pPr>
              <w:spacing w:after="0"/>
              <w:rPr>
                <w:sz w:val="21"/>
                <w:szCs w:val="21"/>
                <w:color w:val="auto"/>
              </w:rPr>
            </w:pPr>
          </w:p>
        </w:tc>
        <w:tc>
          <w:tcPr>
            <w:tcW w:w="8200" w:type="dxa"/>
            <w:vAlign w:val="bottom"/>
            <w:gridSpan w:val="3"/>
          </w:tcPr>
          <w:p>
            <w:pPr>
              <w:spacing w:after="0"/>
              <w:rPr>
                <w:sz w:val="20"/>
                <w:szCs w:val="20"/>
                <w:color w:val="auto"/>
              </w:rPr>
            </w:pPr>
            <w:r>
              <w:rPr>
                <w:rFonts w:ascii="Arial" w:cs="Arial" w:eastAsia="Arial" w:hAnsi="Arial"/>
                <w:sz w:val="18"/>
                <w:szCs w:val="18"/>
                <w:color w:val="auto"/>
              </w:rPr>
              <w:t>XBRL document)</w:t>
            </w:r>
          </w:p>
        </w:tc>
      </w:tr>
      <w:tr>
        <w:trPr>
          <w:trHeight w:val="439"/>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120" w:type="dxa"/>
            <w:vAlign w:val="bottom"/>
          </w:tcPr>
          <w:p>
            <w:pPr>
              <w:spacing w:after="0"/>
              <w:rPr>
                <w:sz w:val="17"/>
                <w:szCs w:val="17"/>
                <w:color w:val="auto"/>
              </w:rPr>
            </w:pPr>
          </w:p>
        </w:tc>
        <w:tc>
          <w:tcPr>
            <w:tcW w:w="8100" w:type="dxa"/>
            <w:vAlign w:val="bottom"/>
            <w:gridSpan w:val="2"/>
          </w:tcPr>
          <w:p>
            <w:pPr>
              <w:ind w:left="186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120" w:type="dxa"/>
            <w:vAlign w:val="bottom"/>
          </w:tcPr>
          <w:p>
            <w:pPr>
              <w:spacing w:after="0"/>
              <w:rPr>
                <w:sz w:val="20"/>
                <w:szCs w:val="20"/>
                <w:color w:val="auto"/>
              </w:rPr>
            </w:pPr>
          </w:p>
        </w:tc>
        <w:tc>
          <w:tcPr>
            <w:tcW w:w="3140" w:type="dxa"/>
            <w:vAlign w:val="bottom"/>
          </w:tcPr>
          <w:p>
            <w:pPr>
              <w:ind w:left="1860"/>
              <w:spacing w:after="0"/>
              <w:rPr>
                <w:sz w:val="20"/>
                <w:szCs w:val="20"/>
                <w:color w:val="auto"/>
              </w:rPr>
            </w:pPr>
            <w:r>
              <w:rPr>
                <w:rFonts w:ascii="Arial" w:cs="Arial" w:eastAsia="Arial" w:hAnsi="Arial"/>
                <w:sz w:val="18"/>
                <w:szCs w:val="18"/>
                <w:color w:val="auto"/>
              </w:rPr>
              <w:t>(Registrant)</w:t>
            </w:r>
          </w:p>
        </w:tc>
        <w:tc>
          <w:tcPr>
            <w:tcW w:w="4960" w:type="dxa"/>
            <w:vAlign w:val="bottom"/>
          </w:tcPr>
          <w:p>
            <w:pPr>
              <w:spacing w:after="0"/>
              <w:rPr>
                <w:sz w:val="20"/>
                <w:szCs w:val="20"/>
                <w:color w:val="auto"/>
              </w:rPr>
            </w:pPr>
          </w:p>
        </w:tc>
      </w:tr>
      <w:tr>
        <w:trPr>
          <w:trHeight w:val="755"/>
        </w:trPr>
        <w:tc>
          <w:tcPr>
            <w:tcW w:w="3120" w:type="dxa"/>
            <w:vAlign w:val="bottom"/>
          </w:tcPr>
          <w:p>
            <w:pPr>
              <w:spacing w:after="0"/>
              <w:rPr>
                <w:sz w:val="20"/>
                <w:szCs w:val="20"/>
                <w:color w:val="auto"/>
              </w:rPr>
            </w:pPr>
            <w:r>
              <w:rPr>
                <w:rFonts w:ascii="Arial" w:cs="Arial" w:eastAsia="Arial" w:hAnsi="Arial"/>
                <w:sz w:val="18"/>
                <w:szCs w:val="18"/>
                <w:color w:val="auto"/>
              </w:rPr>
              <w:t>October 26, 2023</w:t>
            </w:r>
          </w:p>
        </w:tc>
        <w:tc>
          <w:tcPr>
            <w:tcW w:w="3140" w:type="dxa"/>
            <w:vAlign w:val="bottom"/>
          </w:tcPr>
          <w:p>
            <w:pPr>
              <w:ind w:left="1860"/>
              <w:spacing w:after="0"/>
              <w:rPr>
                <w:sz w:val="20"/>
                <w:szCs w:val="20"/>
                <w:color w:val="auto"/>
              </w:rPr>
            </w:pPr>
            <w:r>
              <w:rPr>
                <w:rFonts w:ascii="Arial" w:cs="Arial" w:eastAsia="Arial" w:hAnsi="Arial"/>
                <w:sz w:val="18"/>
                <w:szCs w:val="18"/>
                <w:color w:val="auto"/>
              </w:rPr>
              <w:t>By:</w:t>
            </w:r>
          </w:p>
        </w:tc>
        <w:tc>
          <w:tcPr>
            <w:tcW w:w="4960" w:type="dxa"/>
            <w:vAlign w:val="bottom"/>
          </w:tcPr>
          <w:p>
            <w:pPr>
              <w:ind w:left="20"/>
              <w:spacing w:after="0"/>
              <w:rPr>
                <w:sz w:val="20"/>
                <w:szCs w:val="20"/>
                <w:color w:val="auto"/>
              </w:rPr>
            </w:pPr>
            <w:r>
              <w:rPr>
                <w:rFonts w:ascii="Arial" w:cs="Arial" w:eastAsia="Arial" w:hAnsi="Arial"/>
                <w:sz w:val="18"/>
                <w:szCs w:val="18"/>
                <w:color w:val="auto"/>
              </w:rPr>
              <w:t>/s/ Ajay Ayyappan</w:t>
            </w:r>
          </w:p>
        </w:tc>
      </w:tr>
      <w:tr>
        <w:trPr>
          <w:trHeight w:val="27"/>
        </w:trPr>
        <w:tc>
          <w:tcPr>
            <w:tcW w:w="31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r>
      <w:tr>
        <w:trPr>
          <w:trHeight w:val="236"/>
        </w:trPr>
        <w:tc>
          <w:tcPr>
            <w:tcW w:w="3120" w:type="dxa"/>
            <w:vAlign w:val="bottom"/>
          </w:tcPr>
          <w:p>
            <w:pPr>
              <w:spacing w:after="0"/>
              <w:rPr>
                <w:sz w:val="20"/>
                <w:szCs w:val="20"/>
                <w:color w:val="auto"/>
              </w:rPr>
            </w:pPr>
          </w:p>
        </w:tc>
        <w:tc>
          <w:tcPr>
            <w:tcW w:w="3140" w:type="dxa"/>
            <w:vAlign w:val="bottom"/>
          </w:tcPr>
          <w:p>
            <w:pPr>
              <w:ind w:left="1860"/>
              <w:spacing w:after="0"/>
              <w:rPr>
                <w:sz w:val="20"/>
                <w:szCs w:val="20"/>
                <w:color w:val="auto"/>
              </w:rPr>
            </w:pPr>
            <w:r>
              <w:rPr>
                <w:rFonts w:ascii="Arial" w:cs="Arial" w:eastAsia="Arial" w:hAnsi="Arial"/>
                <w:sz w:val="18"/>
                <w:szCs w:val="18"/>
                <w:color w:val="auto"/>
              </w:rPr>
              <w:t>Name:</w:t>
            </w:r>
          </w:p>
        </w:tc>
        <w:tc>
          <w:tcPr>
            <w:tcW w:w="4960" w:type="dxa"/>
            <w:vAlign w:val="bottom"/>
          </w:tcPr>
          <w:p>
            <w:pPr>
              <w:ind w:left="20"/>
              <w:spacing w:after="0"/>
              <w:rPr>
                <w:sz w:val="20"/>
                <w:szCs w:val="20"/>
                <w:color w:val="auto"/>
              </w:rPr>
            </w:pPr>
            <w:r>
              <w:rPr>
                <w:rFonts w:ascii="Arial" w:cs="Arial" w:eastAsia="Arial" w:hAnsi="Arial"/>
                <w:sz w:val="18"/>
                <w:szCs w:val="18"/>
                <w:color w:val="auto"/>
              </w:rPr>
              <w:t>Ajay Ayyappan</w:t>
            </w:r>
          </w:p>
        </w:tc>
      </w:tr>
      <w:tr>
        <w:trPr>
          <w:trHeight w:val="230"/>
        </w:trPr>
        <w:tc>
          <w:tcPr>
            <w:tcW w:w="3120" w:type="dxa"/>
            <w:vAlign w:val="bottom"/>
          </w:tcPr>
          <w:p>
            <w:pPr>
              <w:spacing w:after="0"/>
              <w:rPr>
                <w:sz w:val="20"/>
                <w:szCs w:val="20"/>
                <w:color w:val="auto"/>
              </w:rPr>
            </w:pPr>
          </w:p>
        </w:tc>
        <w:tc>
          <w:tcPr>
            <w:tcW w:w="3140" w:type="dxa"/>
            <w:vAlign w:val="bottom"/>
          </w:tcPr>
          <w:p>
            <w:pPr>
              <w:ind w:left="1860"/>
              <w:spacing w:after="0"/>
              <w:rPr>
                <w:sz w:val="20"/>
                <w:szCs w:val="20"/>
                <w:color w:val="auto"/>
              </w:rPr>
            </w:pPr>
            <w:r>
              <w:rPr>
                <w:rFonts w:ascii="Arial" w:cs="Arial" w:eastAsia="Arial" w:hAnsi="Arial"/>
                <w:sz w:val="18"/>
                <w:szCs w:val="18"/>
                <w:color w:val="auto"/>
              </w:rPr>
              <w:t>Title:</w:t>
            </w:r>
          </w:p>
        </w:tc>
        <w:tc>
          <w:tcPr>
            <w:tcW w:w="4960" w:type="dxa"/>
            <w:vAlign w:val="bottom"/>
          </w:tcPr>
          <w:p>
            <w:pPr>
              <w:ind w:left="20"/>
              <w:spacing w:after="0"/>
              <w:rPr>
                <w:sz w:val="20"/>
                <w:szCs w:val="20"/>
                <w:color w:val="auto"/>
              </w:rPr>
            </w:pPr>
            <w:r>
              <w:rPr>
                <w:rFonts w:ascii="Arial" w:cs="Arial" w:eastAsia="Arial" w:hAnsi="Arial"/>
                <w:sz w:val="18"/>
                <w:szCs w:val="18"/>
                <w:color w:val="auto"/>
              </w:rPr>
              <w:t>General Counsel and Corporate Secretary</w:t>
            </w:r>
          </w:p>
        </w:tc>
      </w:tr>
    </w:tbl>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EXL REPORTS 2023 THIRD QUARTER RESULTS</w:t>
      </w:r>
      <w:r>
        <w:rPr>
          <w:rFonts w:ascii="Arial" w:cs="Arial" w:eastAsia="Arial" w:hAnsi="Arial"/>
          <w:sz w:val="28"/>
          <w:szCs w:val="28"/>
          <w:b w:val="1"/>
          <w:bCs w:val="1"/>
          <w:color w:val="auto"/>
          <w:vertAlign w:val="superscript"/>
        </w:rPr>
        <w:t>(1)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2023 Third Quarter Revenue of $411.0 Million, up 13.7% year-over-year</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Q3 Diluted EPS (GAAP) of $0.26, up 13.0% from $0.23 in Q3 of 2022</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 xml:space="preserve">Q3 Adjusted Diluted EPS (Non-GAAP) </w:t>
      </w:r>
      <w:r>
        <w:rPr>
          <w:rFonts w:ascii="Arial" w:cs="Arial" w:eastAsia="Arial" w:hAnsi="Arial"/>
          <w:sz w:val="28"/>
          <w:szCs w:val="28"/>
          <w:b w:val="1"/>
          <w:bCs w:val="1"/>
          <w:i w:val="1"/>
          <w:iCs w:val="1"/>
          <w:color w:val="auto"/>
          <w:vertAlign w:val="superscript"/>
        </w:rPr>
        <w:t>(2)</w:t>
      </w:r>
      <w:r>
        <w:rPr>
          <w:rFonts w:ascii="Arial" w:cs="Arial" w:eastAsia="Arial" w:hAnsi="Arial"/>
          <w:sz w:val="22"/>
          <w:szCs w:val="22"/>
          <w:b w:val="1"/>
          <w:bCs w:val="1"/>
          <w:i w:val="1"/>
          <w:iCs w:val="1"/>
          <w:color w:val="auto"/>
        </w:rPr>
        <w:t xml:space="preserve"> of $0.37, up 21.3% from $0.31 in Q3 of 2022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
        <w:spacing w:after="0" w:line="340" w:lineRule="auto"/>
        <w:rPr>
          <w:sz w:val="20"/>
          <w:szCs w:val="20"/>
          <w:color w:val="auto"/>
        </w:rPr>
      </w:pPr>
      <w:r>
        <w:rPr>
          <w:rFonts w:ascii="Arial" w:cs="Arial" w:eastAsia="Arial" w:hAnsi="Arial"/>
          <w:sz w:val="18"/>
          <w:szCs w:val="18"/>
          <w:color w:val="auto"/>
        </w:rPr>
        <w:t>New York – October 26, 2023 (GLOBE NEWSWIRE) - ExlService Holdings, Inc. (NASDAQ: EXLS), a leading data analytics and digital operations and solutions company, today announced its financial results for the quarter ended September 30, 2023.</w:t>
      </w:r>
    </w:p>
    <w:p>
      <w:pPr>
        <w:spacing w:after="0" w:line="183" w:lineRule="exact"/>
        <w:rPr>
          <w:sz w:val="20"/>
          <w:szCs w:val="20"/>
          <w:color w:val="auto"/>
        </w:rPr>
      </w:pPr>
    </w:p>
    <w:p>
      <w:pPr>
        <w:jc w:val="both"/>
        <w:spacing w:after="0" w:line="326" w:lineRule="auto"/>
        <w:rPr>
          <w:sz w:val="20"/>
          <w:szCs w:val="20"/>
          <w:color w:val="auto"/>
        </w:rPr>
      </w:pPr>
      <w:r>
        <w:rPr>
          <w:rFonts w:ascii="Arial" w:cs="Arial" w:eastAsia="Arial" w:hAnsi="Arial"/>
          <w:sz w:val="18"/>
          <w:szCs w:val="18"/>
          <w:color w:val="auto"/>
        </w:rPr>
        <w:t>Vice Chairman and Chief Executive Officer Rohit Kapoor, said, “We achieved another robust quarter, with year-over-year revenue growth of 13.7% and adjusted diluted EPS growth of 21.3%. Our data-led strategy and balanced portfolio of businesses, bolstered by our unique digital/AI capabilities, position us well to deliver superior growth in an unpredictable environment.”</w:t>
      </w:r>
    </w:p>
    <w:p>
      <w:pPr>
        <w:spacing w:after="0" w:line="200" w:lineRule="exact"/>
        <w:rPr>
          <w:sz w:val="20"/>
          <w:szCs w:val="20"/>
          <w:color w:val="auto"/>
        </w:rPr>
      </w:pPr>
    </w:p>
    <w:p>
      <w:pPr>
        <w:spacing w:after="0" w:line="253" w:lineRule="exact"/>
        <w:rPr>
          <w:sz w:val="20"/>
          <w:szCs w:val="20"/>
          <w:color w:val="auto"/>
        </w:rPr>
      </w:pPr>
    </w:p>
    <w:p>
      <w:pPr>
        <w:jc w:val="both"/>
        <w:spacing w:after="0" w:line="340" w:lineRule="auto"/>
        <w:rPr>
          <w:sz w:val="20"/>
          <w:szCs w:val="20"/>
          <w:color w:val="auto"/>
        </w:rPr>
      </w:pPr>
      <w:r>
        <w:rPr>
          <w:rFonts w:ascii="Arial" w:cs="Arial" w:eastAsia="Arial" w:hAnsi="Arial"/>
          <w:sz w:val="17"/>
          <w:szCs w:val="17"/>
          <w:color w:val="auto"/>
        </w:rPr>
        <w:t>Chief Financial Officer Maurizio Nicolelli, said, “While we remain prudent in our outlook given the current uncertain environment, we are increasing our revenue and EPS guidance for the full year 2023 based on our strong momentum year to date and current visibility for the remainder of the year. We now expect revenue to be in the range of $1.620 billion to $1.628 billion, up from our prior guidance of $1.605 billion to $1.625 billion. The updated revenue guidance factors in a $2.0 million currency headwind from prior guidance. This revenue guidance represents 15% year-over-year growth on a reported basis and 15% to 16% growth on a constant currency basis. We are also increasing our adjusted diluted earnings per share guidance for 2023 to $1.40 to $1.42, representing growth of 16% to 18% over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__________________________________________________________</w:t>
      </w:r>
    </w:p>
    <w:p>
      <w:pPr>
        <w:spacing w:after="0" w:line="336" w:lineRule="exact"/>
        <w:rPr>
          <w:sz w:val="20"/>
          <w:szCs w:val="20"/>
          <w:color w:val="auto"/>
        </w:rPr>
      </w:pPr>
    </w:p>
    <w:p>
      <w:pPr>
        <w:ind w:left="340" w:hanging="332"/>
        <w:spacing w:after="0" w:line="266" w:lineRule="auto"/>
        <w:tabs>
          <w:tab w:leader="none" w:pos="338" w:val="left"/>
        </w:tabs>
        <w:numPr>
          <w:ilvl w:val="0"/>
          <w:numId w:val="3"/>
        </w:numPr>
        <w:rPr>
          <w:rFonts w:ascii="Arial" w:cs="Arial" w:eastAsia="Arial" w:hAnsi="Arial"/>
          <w:sz w:val="14"/>
          <w:szCs w:val="14"/>
          <w:color w:val="auto"/>
        </w:rPr>
      </w:pPr>
      <w:r>
        <w:rPr>
          <w:rFonts w:ascii="Arial" w:cs="Arial" w:eastAsia="Arial" w:hAnsi="Arial"/>
          <w:sz w:val="14"/>
          <w:szCs w:val="14"/>
          <w:color w:val="auto"/>
        </w:rPr>
        <w:t>Prior period informaton has been adjusted to refect the 5-for-1 forward stock split of our common stock efected in August 2023. See Note 19 – Capital Structure to our quarterly report on Form 10-Q for the quarter ended September 30, 2023 for further details.</w:t>
      </w:r>
    </w:p>
    <w:p>
      <w:pPr>
        <w:jc w:val="both"/>
        <w:ind w:left="340" w:hanging="332"/>
        <w:spacing w:after="0" w:line="272" w:lineRule="auto"/>
        <w:tabs>
          <w:tab w:leader="none" w:pos="338" w:val="left"/>
        </w:tabs>
        <w:numPr>
          <w:ilvl w:val="0"/>
          <w:numId w:val="3"/>
        </w:numPr>
        <w:rPr>
          <w:rFonts w:ascii="Arial" w:cs="Arial" w:eastAsia="Arial" w:hAnsi="Arial"/>
          <w:sz w:val="14"/>
          <w:szCs w:val="14"/>
          <w:color w:val="auto"/>
        </w:rPr>
      </w:pPr>
      <w:r>
        <w:rPr>
          <w:rFonts w:ascii="Arial" w:cs="Arial" w:eastAsia="Arial" w:hAnsi="Arial"/>
          <w:sz w:val="14"/>
          <w:szCs w:val="14"/>
          <w:color w:val="auto"/>
        </w:rPr>
        <w:t>Reconciliatons of adjusted (non-GAAP) fnancial measures to the most directly comparable GAAP measures, where applicable, are included at the end of this release under “Reconciliaton of Adjusted Financial Measures to GAAP Measures.” These non-GAAP measures, including adjusted diluted EPS and constant currency measures, are not measures of fnancial performance prepared in accordance with GAAP.</w:t>
      </w:r>
    </w:p>
    <w:p>
      <w:pPr>
        <w:sectPr>
          <w:pgSz w:w="11900" w:h="16838" w:orient="portrait"/>
          <w:cols w:equalWidth="0" w:num="1">
            <w:col w:w="11240"/>
          </w:cols>
          <w:pgMar w:left="320" w:top="89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Financial Highlights: Third Quarter 2023</w:t>
      </w:r>
    </w:p>
    <w:p>
      <w:pPr>
        <w:spacing w:after="0" w:line="200" w:lineRule="exact"/>
        <w:rPr>
          <w:sz w:val="20"/>
          <w:szCs w:val="20"/>
          <w:color w:val="auto"/>
        </w:rPr>
      </w:pPr>
    </w:p>
    <w:p>
      <w:pPr>
        <w:spacing w:after="0" w:line="218" w:lineRule="exact"/>
        <w:rPr>
          <w:sz w:val="20"/>
          <w:szCs w:val="20"/>
          <w:color w:val="auto"/>
        </w:rPr>
      </w:pPr>
    </w:p>
    <w:p>
      <w:pPr>
        <w:jc w:val="both"/>
        <w:ind w:left="660" w:right="20" w:hanging="328"/>
        <w:spacing w:after="0" w:line="31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for the quarter ended September 30, 2023 increased to $411.0 million compared to $361.4 million for the third quarter of 2022, an increase of 13.7% on a reported basis and 13.2% on a constant currency basis. Revenue increased by 1.5% sequentially on a reported basis and constant currency basis, from the second quarter of 2023.</w:t>
      </w:r>
    </w:p>
    <w:p>
      <w:pPr>
        <w:spacing w:after="0" w:line="76" w:lineRule="exact"/>
        <w:rPr>
          <w:sz w:val="20"/>
          <w:szCs w:val="20"/>
          <w:color w:val="auto"/>
        </w:rPr>
      </w:pPr>
    </w:p>
    <w:tbl>
      <w:tblPr>
        <w:tblLayout w:type="fixed"/>
        <w:tblInd w:w="660" w:type="dxa"/>
        <w:tblCellMar>
          <w:top w:w="0" w:type="dxa"/>
          <w:left w:w="0" w:type="dxa"/>
          <w:bottom w:w="0" w:type="dxa"/>
          <w:right w:w="0" w:type="dxa"/>
        </w:tblCellMar>
      </w:tblPr>
      <w:tr>
        <w:trPr>
          <w:trHeight w:val="213"/>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6"/>
                <w:szCs w:val="16"/>
                <w:b w:val="1"/>
                <w:bCs w:val="1"/>
                <w:color w:val="auto"/>
                <w:w w:val="89"/>
              </w:rPr>
              <w:t>Revenue</w:t>
            </w: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w w:val="93"/>
              </w:rPr>
              <w:t>Gross Margin</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7"/>
          </w:tcPr>
          <w:p>
            <w:pPr>
              <w:jc w:val="center"/>
              <w:ind w:left="333"/>
              <w:spacing w:after="0"/>
              <w:rPr>
                <w:sz w:val="20"/>
                <w:szCs w:val="20"/>
                <w:color w:val="auto"/>
              </w:rPr>
            </w:pPr>
            <w:r>
              <w:rPr>
                <w:rFonts w:ascii="Arial" w:cs="Arial" w:eastAsia="Arial" w:hAnsi="Arial"/>
                <w:sz w:val="16"/>
                <w:szCs w:val="16"/>
                <w:b w:val="1"/>
                <w:bCs w:val="1"/>
                <w:color w:val="auto"/>
                <w:w w:val="90"/>
              </w:rPr>
              <w:t>Three months ended</w:t>
            </w: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w w:val="91"/>
              </w:rPr>
              <w:t>Three months ended</w:t>
            </w:r>
          </w:p>
        </w:tc>
        <w:tc>
          <w:tcPr>
            <w:tcW w:w="9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6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Reportable Segments</w:t>
            </w:r>
          </w:p>
        </w:tc>
        <w:tc>
          <w:tcPr>
            <w:tcW w:w="118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w:t>
            </w:r>
          </w:p>
        </w:tc>
        <w:tc>
          <w:tcPr>
            <w:tcW w:w="1160" w:type="dxa"/>
            <w:vAlign w:val="bottom"/>
            <w:gridSpan w:val="4"/>
          </w:tcPr>
          <w:p>
            <w:pPr>
              <w:ind w:left="20"/>
              <w:spacing w:after="0"/>
              <w:rPr>
                <w:sz w:val="20"/>
                <w:szCs w:val="20"/>
                <w:color w:val="auto"/>
              </w:rPr>
            </w:pPr>
            <w:r>
              <w:rPr>
                <w:rFonts w:ascii="Arial" w:cs="Arial" w:eastAsia="Arial" w:hAnsi="Arial"/>
                <w:sz w:val="16"/>
                <w:szCs w:val="16"/>
                <w:b w:val="1"/>
                <w:bCs w:val="1"/>
                <w:color w:val="auto"/>
              </w:rPr>
              <w:t>September 30,</w:t>
            </w:r>
          </w:p>
        </w:tc>
        <w:tc>
          <w:tcPr>
            <w:tcW w:w="108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June 30, 2023</w:t>
            </w: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3"/>
          </w:tcPr>
          <w:p>
            <w:pPr>
              <w:ind w:left="140"/>
              <w:spacing w:after="0"/>
              <w:rPr>
                <w:sz w:val="20"/>
                <w:szCs w:val="20"/>
                <w:color w:val="auto"/>
              </w:rPr>
            </w:pPr>
            <w:r>
              <w:rPr>
                <w:rFonts w:ascii="Arial" w:cs="Arial" w:eastAsia="Arial" w:hAnsi="Arial"/>
                <w:sz w:val="16"/>
                <w:szCs w:val="16"/>
                <w:b w:val="1"/>
                <w:bCs w:val="1"/>
                <w:color w:val="auto"/>
              </w:rPr>
              <w:t>September 30,</w:t>
            </w:r>
          </w:p>
        </w:tc>
        <w:tc>
          <w:tcPr>
            <w:tcW w:w="11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7"/>
              </w:rPr>
              <w:t>June 30, 2023</w:t>
            </w:r>
          </w:p>
        </w:tc>
        <w:tc>
          <w:tcPr>
            <w:tcW w:w="0" w:type="dxa"/>
            <w:vAlign w:val="bottom"/>
          </w:tcPr>
          <w:p>
            <w:pPr>
              <w:spacing w:after="0"/>
              <w:rPr>
                <w:sz w:val="1"/>
                <w:szCs w:val="1"/>
                <w:color w:val="auto"/>
              </w:rPr>
            </w:pPr>
          </w:p>
        </w:tc>
      </w:tr>
      <w:tr>
        <w:trPr>
          <w:trHeight w:val="213"/>
        </w:trPr>
        <w:tc>
          <w:tcPr>
            <w:tcW w:w="26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3"/>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73"/>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980" w:type="dxa"/>
            <w:vAlign w:val="bottom"/>
          </w:tcPr>
          <w:p>
            <w:pPr>
              <w:jc w:val="right"/>
              <w:ind w:right="133"/>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18"/>
                <w:szCs w:val="18"/>
                <w:color w:val="auto"/>
              </w:rPr>
            </w:pPr>
          </w:p>
        </w:tc>
        <w:tc>
          <w:tcPr>
            <w:tcW w:w="1220" w:type="dxa"/>
            <w:vAlign w:val="bottom"/>
            <w:gridSpan w:val="3"/>
          </w:tcPr>
          <w:p>
            <w:pPr>
              <w:jc w:val="right"/>
              <w:ind w:right="216"/>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100" w:type="dxa"/>
            <w:vAlign w:val="bottom"/>
            <w:tcBorders>
              <w:top w:val="single" w:sz="8" w:color="auto"/>
              <w:bottom w:val="single" w:sz="8" w:color="auto"/>
            </w:tcBorders>
            <w:gridSpan w:val="6"/>
          </w:tcPr>
          <w:p>
            <w:pPr>
              <w:jc w:val="center"/>
              <w:ind w:left="653"/>
              <w:spacing w:after="0"/>
              <w:rPr>
                <w:sz w:val="20"/>
                <w:szCs w:val="20"/>
                <w:color w:val="auto"/>
              </w:rPr>
            </w:pPr>
            <w:r>
              <w:rPr>
                <w:rFonts w:ascii="Arial" w:cs="Arial" w:eastAsia="Arial" w:hAnsi="Arial"/>
                <w:sz w:val="16"/>
                <w:szCs w:val="16"/>
                <w:b w:val="1"/>
                <w:bCs w:val="1"/>
                <w:color w:val="auto"/>
                <w:w w:val="92"/>
              </w:rPr>
              <w:t>(dollars in millions)</w:t>
            </w:r>
          </w:p>
        </w:tc>
        <w:tc>
          <w:tcPr>
            <w:tcW w:w="3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Insurance</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600" w:type="dxa"/>
            <w:vAlign w:val="bottom"/>
            <w:gridSpan w:val="2"/>
          </w:tcPr>
          <w:p>
            <w:pPr>
              <w:ind w:left="2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Emerging Business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600" w:type="dxa"/>
            <w:vAlign w:val="bottom"/>
            <w:gridSpan w:val="2"/>
          </w:tcPr>
          <w:p>
            <w:pPr>
              <w:ind w:left="20"/>
              <w:spacing w:after="0"/>
              <w:rPr>
                <w:sz w:val="20"/>
                <w:szCs w:val="20"/>
                <w:color w:val="auto"/>
              </w:rPr>
            </w:pPr>
            <w:r>
              <w:rPr>
                <w:rFonts w:ascii="Arial" w:cs="Arial" w:eastAsia="Arial" w:hAnsi="Arial"/>
                <w:sz w:val="16"/>
                <w:szCs w:val="16"/>
                <w:color w:val="auto"/>
              </w:rPr>
              <w:t>Analytics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182.2</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36.3</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8"/>
        </w:trPr>
        <w:tc>
          <w:tcPr>
            <w:tcW w:w="2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Revenues, net</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37.7 %</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36.2 %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37.5 %</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left="660" w:hanging="328"/>
        <w:spacing w:after="0" w:line="32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income margin for the quarter ended September 30, 2023 was 14.7%, compared to 13.9% for the third quarter of 2022 and 16.0% for the second quarter of 2023. Adjusted operating income margin for the quarter ended September 30, 2023 was 20.0%, compared to 18.5% for the third quarter of 2022 and 20.0% for the second quarter of 2023.</w:t>
      </w:r>
    </w:p>
    <w:p>
      <w:pPr>
        <w:spacing w:after="0" w:line="209" w:lineRule="exact"/>
        <w:rPr>
          <w:rFonts w:ascii="Arial" w:cs="Arial" w:eastAsia="Arial" w:hAnsi="Arial"/>
          <w:sz w:val="18"/>
          <w:szCs w:val="18"/>
          <w:color w:val="auto"/>
        </w:rPr>
      </w:pPr>
    </w:p>
    <w:p>
      <w:pPr>
        <w:jc w:val="both"/>
        <w:ind w:left="660" w:hanging="328"/>
        <w:spacing w:after="0" w:line="32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Diluted earnings per share for the quarter ended September 30, 2023 was $0.26, compared to $0.23 for the third quarter of 2022 and $0.29 for the second quarter of 2023. Adjusted diluted earnings per share for the quarter ended September 30, 2023 was $0.37, compared to $0.31 for the third quarter of 2022 and $0.36 for the second quarter of 2023.</w:t>
      </w:r>
    </w:p>
    <w:p>
      <w:pPr>
        <w:sectPr>
          <w:pgSz w:w="11900" w:h="16838" w:orient="portrait"/>
          <w:cols w:equalWidth="0" w:num="1">
            <w:col w:w="11240"/>
          </w:cols>
          <w:pgMar w:left="320" w:top="103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Business Highlights: Third Quarter 2023</w:t>
      </w:r>
    </w:p>
    <w:p>
      <w:pPr>
        <w:spacing w:after="0" w:line="189"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Won 16 new clients in the third quarter of 2023, with five in digital operations and solutions business and 11 in data analytics.</w:t>
      </w:r>
    </w:p>
    <w:p>
      <w:pPr>
        <w:spacing w:after="0" w:line="171" w:lineRule="exact"/>
        <w:rPr>
          <w:rFonts w:ascii="Arial" w:cs="Arial" w:eastAsia="Arial" w:hAnsi="Arial"/>
          <w:sz w:val="18"/>
          <w:szCs w:val="18"/>
          <w:color w:val="auto"/>
        </w:rPr>
      </w:pPr>
    </w:p>
    <w:p>
      <w:pPr>
        <w:ind w:left="260" w:hanging="252"/>
        <w:spacing w:after="0" w:line="340"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Established a headquarters for international business in Dublin, and formed new centers of excellence to develop best practices and improve efficiencies.</w:t>
      </w:r>
    </w:p>
    <w:p>
      <w:pPr>
        <w:spacing w:after="0" w:line="57"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Recognized as a </w:t>
      </w:r>
      <w:r>
        <w:rPr>
          <w:rFonts w:ascii="Arial" w:cs="Arial" w:eastAsia="Arial" w:hAnsi="Arial"/>
          <w:sz w:val="17"/>
          <w:szCs w:val="17"/>
          <w:b w:val="1"/>
          <w:bCs w:val="1"/>
          <w:color w:val="auto"/>
        </w:rPr>
        <w:t>Leader</w:t>
      </w:r>
      <w:r>
        <w:rPr>
          <w:rFonts w:ascii="Arial" w:cs="Arial" w:eastAsia="Arial" w:hAnsi="Arial"/>
          <w:sz w:val="17"/>
          <w:szCs w:val="17"/>
          <w:color w:val="auto"/>
        </w:rPr>
        <w:t xml:space="preserve"> and </w:t>
      </w:r>
      <w:r>
        <w:rPr>
          <w:rFonts w:ascii="Arial" w:cs="Arial" w:eastAsia="Arial" w:hAnsi="Arial"/>
          <w:sz w:val="17"/>
          <w:szCs w:val="17"/>
          <w:b w:val="1"/>
          <w:bCs w:val="1"/>
          <w:color w:val="auto"/>
        </w:rPr>
        <w:t>Star Performer</w:t>
      </w:r>
      <w:r>
        <w:rPr>
          <w:rFonts w:ascii="Arial" w:cs="Arial" w:eastAsia="Arial" w:hAnsi="Arial"/>
          <w:sz w:val="17"/>
          <w:szCs w:val="17"/>
          <w:color w:val="auto"/>
        </w:rPr>
        <w:t xml:space="preserve"> in Everest Group’s Property and Casualty (P&amp;C) Insurance BPS PEAK Matrix® Assessment 2023.</w:t>
      </w:r>
    </w:p>
    <w:p>
      <w:pPr>
        <w:spacing w:after="0" w:line="182" w:lineRule="exact"/>
        <w:rPr>
          <w:rFonts w:ascii="Arial" w:cs="Arial" w:eastAsia="Arial" w:hAnsi="Arial"/>
          <w:sz w:val="17"/>
          <w:szCs w:val="17"/>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Recognized as a </w:t>
      </w:r>
      <w:r>
        <w:rPr>
          <w:rFonts w:ascii="Arial" w:cs="Arial" w:eastAsia="Arial" w:hAnsi="Arial"/>
          <w:sz w:val="18"/>
          <w:szCs w:val="18"/>
          <w:b w:val="1"/>
          <w:bCs w:val="1"/>
          <w:color w:val="auto"/>
        </w:rPr>
        <w:t>Leader</w:t>
      </w:r>
      <w:r>
        <w:rPr>
          <w:rFonts w:ascii="Arial" w:cs="Arial" w:eastAsia="Arial" w:hAnsi="Arial"/>
          <w:sz w:val="18"/>
          <w:szCs w:val="18"/>
          <w:color w:val="auto"/>
        </w:rPr>
        <w:t xml:space="preserve"> in Everest Group’s Clinical and Care Management Operations – Services PEAK Matrix® Assessment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Guidance</w:t>
      </w:r>
    </w:p>
    <w:p>
      <w:pPr>
        <w:spacing w:after="0" w:line="121" w:lineRule="exact"/>
        <w:rPr>
          <w:sz w:val="20"/>
          <w:szCs w:val="20"/>
          <w:color w:val="auto"/>
        </w:rPr>
      </w:pPr>
    </w:p>
    <w:p>
      <w:pPr>
        <w:jc w:val="both"/>
        <w:ind w:right="20"/>
        <w:spacing w:after="0" w:line="395" w:lineRule="auto"/>
        <w:rPr>
          <w:sz w:val="20"/>
          <w:szCs w:val="20"/>
          <w:color w:val="auto"/>
        </w:rPr>
      </w:pPr>
      <w:r>
        <w:rPr>
          <w:rFonts w:ascii="Arial" w:cs="Arial" w:eastAsia="Arial" w:hAnsi="Arial"/>
          <w:sz w:val="16"/>
          <w:szCs w:val="16"/>
          <w:color w:val="auto"/>
        </w:rPr>
        <w:t>Based on current visibility, and a U.S. dollar to Indian rupee exchange rate of 83.0, U.K. pound sterling to U.S. dollar exchange rate of 1.23, U.S. dollar to the Philippine peso exchange rate of 56.5 and all other currencies at current exchange rates, we are providing the following guidance for the full year 2023:</w:t>
      </w:r>
    </w:p>
    <w:p>
      <w:pPr>
        <w:spacing w:after="0" w:line="204" w:lineRule="exact"/>
        <w:rPr>
          <w:sz w:val="20"/>
          <w:szCs w:val="20"/>
          <w:color w:val="auto"/>
        </w:rPr>
      </w:pPr>
    </w:p>
    <w:p>
      <w:pPr>
        <w:ind w:left="660" w:hanging="328"/>
        <w:spacing w:after="0" w:line="286"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Revenue of $1.620 billion to $1.628 billion, representing growth of 15% on a reported basis and 15% to 16% on a constant currency basis from 2022.</w:t>
      </w:r>
    </w:p>
    <w:p>
      <w:pPr>
        <w:spacing w:after="0" w:line="221" w:lineRule="exact"/>
        <w:rPr>
          <w:rFonts w:ascii="Arial" w:cs="Arial" w:eastAsia="Arial" w:hAnsi="Arial"/>
          <w:sz w:val="22"/>
          <w:szCs w:val="22"/>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diluted earnings per share of $1.40 to $1.42, representing growth of 16% to 18% from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293"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 xml:space="preserve">ExlService Holdings, Inc. will host a conference call on Thursday, October 26, 2023, at 10:00 A.M. ET to discuss the Company’s quarterly operating and financial results. The conference call will be available live via the internet by accessing the investor relations section of EXL’s website at </w:t>
      </w:r>
      <w:r>
        <w:rPr>
          <w:rFonts w:ascii="Arial" w:cs="Arial" w:eastAsia="Arial" w:hAnsi="Arial"/>
          <w:sz w:val="18"/>
          <w:szCs w:val="18"/>
          <w:u w:val="single" w:color="auto"/>
          <w:color w:val="0000FF"/>
        </w:rPr>
        <w:t>ir.exlservice.com</w:t>
      </w:r>
      <w:r>
        <w:rPr>
          <w:rFonts w:ascii="Arial" w:cs="Arial" w:eastAsia="Arial" w:hAnsi="Arial"/>
          <w:sz w:val="18"/>
          <w:szCs w:val="18"/>
          <w:color w:val="auto"/>
        </w:rPr>
        <w:t>, where an accompanying investor-friendly spreadsheet of historical operating and financial data can also be accessed. Please access the website at least fifteen minutes prior to the call to register, download and install any necessary audio software.</w:t>
      </w:r>
    </w:p>
    <w:p>
      <w:pPr>
        <w:spacing w:after="0" w:line="210" w:lineRule="exact"/>
        <w:rPr>
          <w:sz w:val="20"/>
          <w:szCs w:val="20"/>
          <w:color w:val="auto"/>
        </w:rPr>
      </w:pPr>
    </w:p>
    <w:p>
      <w:pPr>
        <w:jc w:val="both"/>
        <w:spacing w:after="0" w:line="310" w:lineRule="auto"/>
        <w:rPr>
          <w:sz w:val="20"/>
          <w:szCs w:val="20"/>
          <w:color w:val="auto"/>
        </w:rPr>
      </w:pPr>
      <w:r>
        <w:rPr>
          <w:rFonts w:ascii="Arial" w:cs="Arial" w:eastAsia="Arial" w:hAnsi="Arial"/>
          <w:sz w:val="18"/>
          <w:szCs w:val="18"/>
          <w:color w:val="auto"/>
        </w:rPr>
        <w:t xml:space="preserve">Please note that there is a new system to access the live call-in order to ask questions. To join the live call, please register </w:t>
      </w:r>
      <w:r>
        <w:rPr>
          <w:rFonts w:ascii="Arial" w:cs="Arial" w:eastAsia="Arial" w:hAnsi="Arial"/>
          <w:sz w:val="18"/>
          <w:szCs w:val="18"/>
          <w:u w:val="single" w:color="auto"/>
          <w:color w:val="0000FF"/>
        </w:rPr>
        <w:t>here</w:t>
      </w:r>
      <w:r>
        <w:rPr>
          <w:rFonts w:ascii="Arial" w:cs="Arial" w:eastAsia="Arial" w:hAnsi="Arial"/>
          <w:sz w:val="18"/>
          <w:szCs w:val="18"/>
          <w:color w:val="0000FF"/>
        </w:rPr>
        <w:t>.</w:t>
      </w:r>
      <w:r>
        <w:rPr>
          <w:rFonts w:ascii="Arial" w:cs="Arial" w:eastAsia="Arial" w:hAnsi="Arial"/>
          <w:sz w:val="18"/>
          <w:szCs w:val="18"/>
          <w:color w:val="auto"/>
        </w:rPr>
        <w:t xml:space="preserve"> A dial-in and unique PIN will be provided to join the call. For those who cannot access the live broadcast, a replay will be available on the EXL website </w:t>
      </w:r>
      <w:r>
        <w:rPr>
          <w:rFonts w:ascii="Arial" w:cs="Arial" w:eastAsia="Arial" w:hAnsi="Arial"/>
          <w:sz w:val="18"/>
          <w:szCs w:val="18"/>
          <w:u w:val="single" w:color="auto"/>
          <w:color w:val="0000FF"/>
        </w:rPr>
        <w:t>ir.exlservice.com</w:t>
      </w:r>
      <w:r>
        <w:rPr>
          <w:rFonts w:ascii="Arial" w:cs="Arial" w:eastAsia="Arial" w:hAnsi="Arial"/>
          <w:sz w:val="18"/>
          <w:szCs w:val="18"/>
          <w:color w:val="auto"/>
        </w:rPr>
        <w:t xml:space="preserve"> for a period of twelve months.</w:t>
      </w:r>
    </w:p>
    <w:p>
      <w:pPr>
        <w:sectPr>
          <w:pgSz w:w="11900" w:h="16838" w:orient="portrait"/>
          <w:cols w:equalWidth="0" w:num="1">
            <w:col w:w="11240"/>
          </w:cols>
          <w:pgMar w:left="320" w:top="116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189" w:lineRule="exact"/>
        <w:rPr>
          <w:sz w:val="20"/>
          <w:szCs w:val="20"/>
          <w:color w:val="auto"/>
        </w:rPr>
      </w:pPr>
    </w:p>
    <w:p>
      <w:pPr>
        <w:jc w:val="both"/>
        <w:spacing w:after="0" w:line="413" w:lineRule="auto"/>
        <w:rPr>
          <w:sz w:val="20"/>
          <w:szCs w:val="20"/>
          <w:color w:val="auto"/>
        </w:rPr>
      </w:pPr>
      <w:r>
        <w:rPr>
          <w:rFonts w:ascii="Arial" w:cs="Arial" w:eastAsia="Arial" w:hAnsi="Arial"/>
          <w:sz w:val="16"/>
          <w:szCs w:val="16"/>
          <w:color w:val="auto"/>
        </w:rPr>
        <w:t>EXL (NASDAQ: EXLS) is a leading data analytics and digital operations and solutions company that partners with clients to improve business outcomes and unlock growth. By bringing together deep domain expertise with robust data, powerful analytics, cloud, artificial intelligence (“AI”) and machine</w:t>
      </w:r>
    </w:p>
    <w:p>
      <w:pPr>
        <w:spacing w:after="0" w:line="1" w:lineRule="exact"/>
        <w:rPr>
          <w:sz w:val="20"/>
          <w:szCs w:val="20"/>
          <w:color w:val="auto"/>
        </w:rPr>
      </w:pPr>
    </w:p>
    <w:p>
      <w:pPr>
        <w:jc w:val="both"/>
        <w:spacing w:after="0" w:line="395" w:lineRule="auto"/>
        <w:rPr>
          <w:sz w:val="20"/>
          <w:szCs w:val="20"/>
          <w:color w:val="auto"/>
        </w:rPr>
      </w:pPr>
      <w:r>
        <w:rPr>
          <w:rFonts w:ascii="Arial" w:cs="Arial" w:eastAsia="Arial" w:hAnsi="Arial"/>
          <w:sz w:val="17"/>
          <w:szCs w:val="17"/>
          <w:color w:val="auto"/>
        </w:rPr>
        <w:t xml:space="preserve">learning (“ML”), we create agile, scalable solutions and execute complex operations for the world’s leading corporations in industries including insurance, healthcare, banking and financial services, media, and retail, among others. Focused on driving faster decision-making and transforming operating models, EXL was founded on the core values of innovation, collaboration, excellence, integrity and respect. Headquartered in New York, our team is over 50,000 strong, with more than 50 offices spanning six continents. For more information, visit </w:t>
      </w:r>
      <w:r>
        <w:rPr>
          <w:rFonts w:ascii="Arial" w:cs="Arial" w:eastAsia="Arial" w:hAnsi="Arial"/>
          <w:sz w:val="17"/>
          <w:szCs w:val="17"/>
          <w:u w:val="single" w:color="auto"/>
          <w:color w:val="0000FF"/>
        </w:rPr>
        <w:t>www.exlservice.com.</w:t>
      </w:r>
    </w:p>
    <w:p>
      <w:pPr>
        <w:spacing w:after="0" w:line="275" w:lineRule="exact"/>
        <w:rPr>
          <w:sz w:val="20"/>
          <w:szCs w:val="20"/>
          <w:color w:val="auto"/>
        </w:rPr>
      </w:pPr>
    </w:p>
    <w:p>
      <w:pPr>
        <w:jc w:val="both"/>
        <w:spacing w:after="0" w:line="321" w:lineRule="auto"/>
        <w:rPr>
          <w:sz w:val="20"/>
          <w:szCs w:val="20"/>
          <w:color w:val="auto"/>
        </w:rPr>
      </w:pPr>
      <w:r>
        <w:rPr>
          <w:rFonts w:ascii="Arial" w:cs="Arial" w:eastAsia="Arial" w:hAnsi="Arial"/>
          <w:sz w:val="17"/>
          <w:szCs w:val="17"/>
          <w:b w:val="1"/>
          <w:bCs w:val="1"/>
          <w:color w:val="auto"/>
        </w:rPr>
        <w:t xml:space="preserve">Cautionary Statement Regarding Forward-Looking Statements </w:t>
      </w:r>
      <w:r>
        <w:rPr>
          <w:rFonts w:ascii="Arial" w:cs="Arial" w:eastAsia="Arial" w:hAnsi="Arial"/>
          <w:sz w:val="17"/>
          <w:szCs w:val="17"/>
          <w:i w:val="1"/>
          <w:iCs w:val="1"/>
          <w:color w:val="auto"/>
        </w:rPr>
        <w:t>This press release contains forward-looking statements within the meaning of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United States Private Securities Litigation Reform Act of 1995. You should not place undue 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maintain and grow client demand, our ability to hire and retain sufficiently trained employees, and our ability to accurately estimate and/or manage costs, rising interest rates, rising inflation and recessionary economic trends, are discussed in more detail in EXL’s filings with the Securities and Exchange Commission, including EXL’s Annual Report on Form 10-K.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ectPr>
          <w:pgSz w:w="11900" w:h="16838" w:orient="portrait"/>
          <w:cols w:equalWidth="0" w:num="1">
            <w:col w:w="11240"/>
          </w:cols>
          <w:pgMar w:left="320" w:top="918" w:right="339" w:bottom="1440" w:gutter="0" w:footer="0" w:header="0"/>
        </w:sectPr>
      </w:pPr>
    </w:p>
    <w:bookmarkStart w:id="7" w:name="page8"/>
    <w:bookmarkEnd w:id="7"/>
    <w:p>
      <w:pPr>
        <w:ind w:left="4260"/>
        <w:spacing w:after="0"/>
        <w:rPr>
          <w:sz w:val="20"/>
          <w:szCs w:val="20"/>
          <w:color w:val="auto"/>
        </w:rPr>
      </w:pPr>
      <w:r>
        <w:rPr>
          <w:rFonts w:ascii="Arial" w:cs="Arial" w:eastAsia="Arial" w:hAnsi="Arial"/>
          <w:sz w:val="18"/>
          <w:szCs w:val="18"/>
          <w:b w:val="1"/>
          <w:bCs w:val="1"/>
          <w:color w:val="auto"/>
        </w:rPr>
        <w:t>EXLSERVICE HOLDINGS, INC.</w:t>
      </w:r>
    </w:p>
    <w:p>
      <w:pPr>
        <w:spacing w:after="0" w:line="10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amount and share count)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2500" w:type="dxa"/>
            <w:vAlign w:val="bottom"/>
            <w:gridSpan w:val="4"/>
          </w:tcPr>
          <w:p>
            <w:pPr>
              <w:jc w:val="right"/>
              <w:ind w:right="211"/>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6"/>
        </w:trPr>
        <w:tc>
          <w:tcPr>
            <w:tcW w:w="5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5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r>
      <w:tr>
        <w:trPr>
          <w:trHeight w:val="229"/>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361,351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1,216,610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1,037,341</w:t>
            </w:r>
          </w:p>
        </w:tc>
      </w:tr>
      <w:tr>
        <w:trPr>
          <w:trHeight w:val="229"/>
        </w:trPr>
        <w:tc>
          <w:tcPr>
            <w:tcW w:w="5620" w:type="dxa"/>
            <w:vAlign w:val="bottom"/>
            <w:tcBorders>
              <w:bottom w:val="single" w:sz="8" w:color="CCEEFF"/>
            </w:tcBorders>
          </w:tcPr>
          <w:p>
            <w:pPr>
              <w:spacing w:after="0" w:line="230" w:lineRule="exact"/>
              <w:rPr>
                <w:sz w:val="20"/>
                <w:szCs w:val="20"/>
                <w:color w:val="auto"/>
              </w:rPr>
            </w:pPr>
            <w:r>
              <w:rPr>
                <w:rFonts w:ascii="Arial" w:cs="Arial" w:eastAsia="Arial" w:hAnsi="Arial"/>
                <w:sz w:val="18"/>
                <w:szCs w:val="18"/>
                <w:color w:val="auto"/>
              </w:rPr>
              <w:t>Cost of revenues</w:t>
            </w:r>
            <w:r>
              <w:rPr>
                <w:rFonts w:ascii="Arial" w:cs="Arial" w:eastAsia="Arial" w:hAnsi="Arial"/>
                <w:sz w:val="23"/>
                <w:szCs w:val="23"/>
                <w:color w:val="auto"/>
                <w:vertAlign w:val="superscript"/>
              </w:rPr>
              <w:t>(1)</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256,002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230,462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760,691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659,185</w:t>
            </w:r>
          </w:p>
        </w:tc>
      </w:tr>
      <w:tr>
        <w:trPr>
          <w:trHeight w:val="223"/>
        </w:trPr>
        <w:tc>
          <w:tcPr>
            <w:tcW w:w="5620" w:type="dxa"/>
            <w:vAlign w:val="bottom"/>
            <w:shd w:val="clear" w:color="auto" w:fill="CCEEFF"/>
          </w:tcPr>
          <w:p>
            <w:pPr>
              <w:spacing w:after="0" w:line="223" w:lineRule="exact"/>
              <w:rPr>
                <w:sz w:val="20"/>
                <w:szCs w:val="20"/>
                <w:color w:val="auto"/>
              </w:rPr>
            </w:pPr>
            <w:r>
              <w:rPr>
                <w:rFonts w:ascii="Arial" w:cs="Arial" w:eastAsia="Arial" w:hAnsi="Arial"/>
                <w:sz w:val="18"/>
                <w:szCs w:val="18"/>
                <w:b w:val="1"/>
                <w:bCs w:val="1"/>
                <w:color w:val="auto"/>
              </w:rPr>
              <w:t>Gross profit</w:t>
            </w:r>
            <w:r>
              <w:rPr>
                <w:rFonts w:ascii="Arial" w:cs="Arial" w:eastAsia="Arial" w:hAnsi="Arial"/>
                <w:sz w:val="23"/>
                <w:szCs w:val="23"/>
                <w:b w:val="1"/>
                <w:bCs w:val="1"/>
                <w:color w:val="auto"/>
                <w:vertAlign w:val="superscript"/>
              </w:rPr>
              <w:t>(1)</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154,969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130,889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455,919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378,156</w:t>
            </w:r>
          </w:p>
        </w:tc>
      </w:tr>
      <w:tr>
        <w:trPr>
          <w:trHeight w:val="209"/>
        </w:trPr>
        <w:tc>
          <w:tcPr>
            <w:tcW w:w="562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42,519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122,898</w:t>
            </w:r>
          </w:p>
        </w:tc>
      </w:tr>
      <w:tr>
        <w:trPr>
          <w:trHeight w:val="229"/>
        </w:trPr>
        <w:tc>
          <w:tcPr>
            <w:tcW w:w="5620" w:type="dxa"/>
            <w:vAlign w:val="bottom"/>
          </w:tcPr>
          <w:p>
            <w:pPr>
              <w:ind w:left="340"/>
              <w:spacing w:after="0"/>
              <w:rPr>
                <w:sz w:val="20"/>
                <w:szCs w:val="20"/>
                <w:color w:val="auto"/>
              </w:rPr>
            </w:pPr>
            <w:r>
              <w:rPr>
                <w:rFonts w:ascii="Arial" w:cs="Arial" w:eastAsia="Arial" w:hAnsi="Arial"/>
                <w:sz w:val="18"/>
                <w:szCs w:val="18"/>
                <w:color w:val="auto"/>
              </w:rPr>
              <w:t>Selling and marketing expenses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30,943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23,879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88,674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72,034</w:t>
            </w:r>
          </w:p>
        </w:tc>
      </w:tr>
      <w:tr>
        <w:trPr>
          <w:trHeight w:val="230"/>
        </w:trPr>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38,192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42,057</w:t>
            </w:r>
          </w:p>
        </w:tc>
      </w:tr>
      <w:tr>
        <w:trPr>
          <w:trHeight w:val="223"/>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80,778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271,430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236,989</w:t>
            </w:r>
          </w:p>
        </w:tc>
      </w:tr>
      <w:tr>
        <w:trPr>
          <w:trHeight w:val="223"/>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60,230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50,111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184,489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141,167</w:t>
            </w:r>
          </w:p>
        </w:tc>
      </w:tr>
      <w:tr>
        <w:trPr>
          <w:trHeight w:val="229"/>
        </w:trPr>
        <w:tc>
          <w:tcPr>
            <w:tcW w:w="5620" w:type="dxa"/>
            <w:vAlign w:val="bottom"/>
          </w:tcPr>
          <w:p>
            <w:pPr>
              <w:spacing w:after="0"/>
              <w:rPr>
                <w:sz w:val="20"/>
                <w:szCs w:val="20"/>
                <w:color w:val="auto"/>
              </w:rPr>
            </w:pPr>
            <w:r>
              <w:rPr>
                <w:rFonts w:ascii="Arial" w:cs="Arial" w:eastAsia="Arial" w:hAnsi="Arial"/>
                <w:sz w:val="18"/>
                <w:szCs w:val="18"/>
                <w:color w:val="auto"/>
              </w:rPr>
              <w:t>Foreign exchange gain, net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4,683</w:t>
            </w:r>
          </w:p>
        </w:tc>
      </w:tr>
      <w:tr>
        <w:trPr>
          <w:trHeight w:val="229"/>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w:t>
            </w:r>
          </w:p>
        </w:tc>
      </w:tr>
      <w:tr>
        <w:trPr>
          <w:trHeight w:val="23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net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4,498</w:t>
            </w:r>
          </w:p>
        </w:tc>
      </w:tr>
      <w:tr>
        <w:trPr>
          <w:trHeight w:val="223"/>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Income before income tax expense and earnings from equity affiliates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58,012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51,434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181,891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145,528</w:t>
            </w:r>
          </w:p>
        </w:tc>
      </w:tr>
      <w:tr>
        <w:trPr>
          <w:trHeight w:val="23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37,773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34,774</w:t>
            </w:r>
          </w:p>
        </w:tc>
      </w:tr>
      <w:tr>
        <w:trPr>
          <w:trHeight w:val="223"/>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earnings from equity affiliates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43,851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38,987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144,118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110,754</w:t>
            </w:r>
          </w:p>
        </w:tc>
      </w:tr>
      <w:tr>
        <w:trPr>
          <w:trHeight w:val="23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Gain from equity-method investment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r>
      <w:tr>
        <w:trPr>
          <w:trHeight w:val="230"/>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ExlService Holdings, Inc. stockholders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43,876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39,095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144,275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111,119</w:t>
            </w:r>
          </w:p>
        </w:tc>
      </w:tr>
    </w:tbl>
    <w:p>
      <w:pPr>
        <w:spacing w:after="0" w:line="208" w:lineRule="auto"/>
        <w:rPr>
          <w:sz w:val="20"/>
          <w:szCs w:val="20"/>
          <w:color w:val="auto"/>
        </w:rPr>
      </w:pPr>
      <w:r>
        <w:rPr>
          <w:rFonts w:ascii="Arial" w:cs="Arial" w:eastAsia="Arial" w:hAnsi="Arial"/>
          <w:sz w:val="18"/>
          <w:szCs w:val="18"/>
          <w:color w:val="auto"/>
        </w:rPr>
        <w:t xml:space="preserve">Earnings per share attributable to ExlService Holdings, Inc. stockholders </w:t>
      </w:r>
      <w:r>
        <w:rPr>
          <w:rFonts w:ascii="Arial" w:cs="Arial" w:eastAsia="Arial" w:hAnsi="Arial"/>
          <w:sz w:val="23"/>
          <w:szCs w:val="23"/>
          <w:color w:val="auto"/>
          <w:vertAlign w:val="superscript"/>
        </w:rPr>
        <w:t>(2)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-136525</wp:posOffset>
            </wp:positionV>
            <wp:extent cx="35401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5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0.26</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r>
      <w:tr>
        <w:trPr>
          <w:trHeight w:val="230"/>
        </w:trPr>
        <w:tc>
          <w:tcPr>
            <w:tcW w:w="5480" w:type="dxa"/>
            <w:vAlign w:val="bottom"/>
          </w:tcPr>
          <w:p>
            <w:pPr>
              <w:ind w:left="54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0.26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0.86</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0.66</w:t>
            </w:r>
          </w:p>
        </w:tc>
      </w:tr>
      <w:tr>
        <w:trPr>
          <w:trHeight w:val="175"/>
        </w:trPr>
        <w:tc>
          <w:tcPr>
            <w:tcW w:w="5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1"/>
              </w:rPr>
              <w:t>Weighted-average number of shares used in computing earnings per share</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43"/>
        </w:trPr>
        <w:tc>
          <w:tcPr>
            <w:tcW w:w="5480" w:type="dxa"/>
            <w:vAlign w:val="bottom"/>
            <w:shd w:val="clear" w:color="auto" w:fill="CCEEFF"/>
          </w:tcPr>
          <w:p>
            <w:pPr>
              <w:spacing w:after="0" w:line="243" w:lineRule="exact"/>
              <w:rPr>
                <w:sz w:val="20"/>
                <w:szCs w:val="20"/>
                <w:color w:val="auto"/>
              </w:rPr>
            </w:pPr>
            <w:r>
              <w:rPr>
                <w:rFonts w:ascii="Arial" w:cs="Arial" w:eastAsia="Arial" w:hAnsi="Arial"/>
                <w:sz w:val="18"/>
                <w:szCs w:val="18"/>
                <w:color w:val="auto"/>
              </w:rPr>
              <w:t xml:space="preserve">attributable to ExlService Holdings Inc. stockholders </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30"/>
        </w:trPr>
        <w:tc>
          <w:tcPr>
            <w:tcW w:w="5480" w:type="dxa"/>
            <w:vAlign w:val="bottom"/>
          </w:tcPr>
          <w:p>
            <w:pPr>
              <w:ind w:left="54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w w:val="99"/>
              </w:rPr>
              <w:t>166,159,619</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166,189,165</w:t>
            </w:r>
          </w:p>
        </w:tc>
        <w:tc>
          <w:tcPr>
            <w:tcW w:w="30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w w:val="97"/>
              </w:rPr>
              <w:t>166,707,599</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7"/>
              </w:rPr>
              <w:t>166,801,730</w:t>
            </w:r>
          </w:p>
        </w:tc>
      </w:tr>
      <w:tr>
        <w:trPr>
          <w:trHeight w:val="230"/>
        </w:trPr>
        <w:tc>
          <w:tcPr>
            <w:tcW w:w="5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167,688,374</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168,888,745</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168,591,612</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169,168,185</w:t>
            </w:r>
          </w:p>
        </w:tc>
      </w:tr>
    </w:tbl>
    <w:p>
      <w:pPr>
        <w:spacing w:after="0" w:line="98" w:lineRule="exact"/>
        <w:rPr>
          <w:sz w:val="20"/>
          <w:szCs w:val="20"/>
          <w:color w:val="auto"/>
        </w:rPr>
      </w:pPr>
    </w:p>
    <w:p>
      <w:pPr>
        <w:ind w:left="360" w:hanging="149"/>
        <w:spacing w:after="0"/>
        <w:tabs>
          <w:tab w:leader="none" w:pos="360" w:val="left"/>
        </w:tabs>
        <w:numPr>
          <w:ilvl w:val="0"/>
          <w:numId w:val="8"/>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Exclusive of depreciation and amortization expense.</w:t>
      </w:r>
    </w:p>
    <w:p>
      <w:pPr>
        <w:spacing w:after="0" w:line="90" w:lineRule="exact"/>
        <w:rPr>
          <w:rFonts w:ascii="Arial" w:cs="Arial" w:eastAsia="Arial" w:hAnsi="Arial"/>
          <w:sz w:val="18"/>
          <w:szCs w:val="18"/>
          <w:i w:val="1"/>
          <w:iCs w:val="1"/>
          <w:color w:val="auto"/>
          <w:vertAlign w:val="superscript"/>
        </w:rPr>
      </w:pPr>
    </w:p>
    <w:p>
      <w:pPr>
        <w:ind w:left="360" w:hanging="149"/>
        <w:spacing w:after="0"/>
        <w:tabs>
          <w:tab w:leader="none" w:pos="3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i w:val="1"/>
          <w:iCs w:val="1"/>
          <w:color w:val="auto"/>
        </w:rPr>
        <w:t>Prior period information has been adjusted to reflect the 5-for-1 forward stock split of the Company’s common stock effected in August 2023.</w:t>
      </w:r>
    </w:p>
    <w:p>
      <w:pPr>
        <w:sectPr>
          <w:pgSz w:w="11900" w:h="16838" w:orient="portrait"/>
          <w:cols w:equalWidth="0" w:num="1">
            <w:col w:w="11180"/>
          </w:cols>
          <w:pgMar w:left="360" w:top="1107" w:right="359" w:bottom="1440" w:gutter="0" w:footer="0" w:header="0"/>
        </w:sectPr>
      </w:pPr>
    </w:p>
    <w:bookmarkStart w:id="8" w:name="page9"/>
    <w:bookmarkEnd w:id="8"/>
    <w:p>
      <w:pPr>
        <w:jc w:val="center"/>
        <w:ind w:right="-108"/>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ind w:left="3189"/>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9" w:lineRule="exact"/>
        <w:rPr>
          <w:sz w:val="20"/>
          <w:szCs w:val="20"/>
          <w:color w:val="auto"/>
        </w:rPr>
      </w:pPr>
    </w:p>
    <w:p>
      <w:pPr>
        <w:ind w:left="3189"/>
        <w:spacing w:after="0"/>
        <w:rPr>
          <w:sz w:val="20"/>
          <w:szCs w:val="20"/>
          <w:color w:val="auto"/>
        </w:rPr>
      </w:pPr>
      <w:r>
        <w:rPr>
          <w:rFonts w:ascii="Arial" w:cs="Arial" w:eastAsia="Arial" w:hAnsi="Arial"/>
          <w:sz w:val="18"/>
          <w:szCs w:val="18"/>
          <w:b w:val="1"/>
          <w:bCs w:val="1"/>
          <w:color w:val="auto"/>
        </w:rPr>
        <w:t>(In thousands, except per share amount and share count)</w:t>
      </w:r>
    </w:p>
    <w:p>
      <w:pPr>
        <w:spacing w:after="0" w:line="132" w:lineRule="exact"/>
        <w:rPr>
          <w:sz w:val="20"/>
          <w:szCs w:val="20"/>
          <w:color w:val="auto"/>
        </w:rPr>
      </w:pPr>
    </w:p>
    <w:tbl>
      <w:tblPr>
        <w:tblLayout w:type="fixed"/>
        <w:tblInd w:w="129" w:type="dxa"/>
        <w:tblCellMar>
          <w:top w:w="0" w:type="dxa"/>
          <w:left w:w="0" w:type="dxa"/>
          <w:bottom w:w="0" w:type="dxa"/>
          <w:right w:w="0" w:type="dxa"/>
        </w:tblCellMar>
      </w:tblPr>
      <w:tr>
        <w:trPr>
          <w:trHeight w:val="196"/>
        </w:trPr>
        <w:tc>
          <w:tcPr>
            <w:tcW w:w="70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As of</w:t>
            </w:r>
          </w:p>
        </w:tc>
        <w:tc>
          <w:tcPr>
            <w:tcW w:w="1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 2023</w:t>
            </w:r>
          </w:p>
        </w:tc>
        <w:tc>
          <w:tcPr>
            <w:tcW w:w="140" w:type="dxa"/>
            <w:vAlign w:val="bottom"/>
          </w:tcPr>
          <w:p>
            <w:pPr>
              <w:spacing w:after="0"/>
              <w:rPr>
                <w:sz w:val="18"/>
                <w:szCs w:val="18"/>
                <w:color w:val="auto"/>
              </w:rPr>
            </w:pPr>
          </w:p>
        </w:tc>
        <w:tc>
          <w:tcPr>
            <w:tcW w:w="1540" w:type="dxa"/>
            <w:vAlign w:val="bottom"/>
          </w:tcPr>
          <w:p>
            <w:pPr>
              <w:jc w:val="right"/>
              <w:ind w:right="90"/>
              <w:spacing w:after="0"/>
              <w:rPr>
                <w:sz w:val="20"/>
                <w:szCs w:val="20"/>
                <w:color w:val="auto"/>
              </w:rPr>
            </w:pPr>
            <w:r>
              <w:rPr>
                <w:rFonts w:ascii="Arial" w:cs="Arial" w:eastAsia="Arial" w:hAnsi="Arial"/>
                <w:sz w:val="16"/>
                <w:szCs w:val="16"/>
                <w:b w:val="1"/>
                <w:bCs w:val="1"/>
                <w:color w:val="auto"/>
                <w:w w:val="92"/>
              </w:rPr>
              <w:t>December 31, 2022</w:t>
            </w:r>
          </w:p>
        </w:tc>
        <w:tc>
          <w:tcPr>
            <w:tcW w:w="0" w:type="dxa"/>
            <w:vAlign w:val="bottom"/>
          </w:tcPr>
          <w:p>
            <w:pPr>
              <w:spacing w:after="0"/>
              <w:rPr>
                <w:sz w:val="1"/>
                <w:szCs w:val="1"/>
                <w:color w:val="auto"/>
              </w:rPr>
            </w:pPr>
          </w:p>
        </w:tc>
      </w:tr>
      <w:tr>
        <w:trPr>
          <w:trHeight w:val="199"/>
        </w:trPr>
        <w:tc>
          <w:tcPr>
            <w:tcW w:w="70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4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122,655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118,669</w:t>
            </w:r>
          </w:p>
        </w:tc>
        <w:tc>
          <w:tcPr>
            <w:tcW w:w="0" w:type="dxa"/>
            <w:vAlign w:val="bottom"/>
          </w:tcPr>
          <w:p>
            <w:pPr>
              <w:spacing w:after="0"/>
              <w:rPr>
                <w:sz w:val="1"/>
                <w:szCs w:val="1"/>
                <w:color w:val="auto"/>
              </w:rPr>
            </w:pPr>
          </w:p>
        </w:tc>
      </w:tr>
      <w:tr>
        <w:trPr>
          <w:trHeight w:val="230"/>
        </w:trPr>
        <w:tc>
          <w:tcPr>
            <w:tcW w:w="7040" w:type="dxa"/>
            <w:vAlign w:val="bottom"/>
          </w:tcPr>
          <w:p>
            <w:pPr>
              <w:ind w:left="340"/>
              <w:spacing w:after="0"/>
              <w:rPr>
                <w:sz w:val="20"/>
                <w:szCs w:val="20"/>
                <w:color w:val="auto"/>
              </w:rPr>
            </w:pPr>
            <w:r>
              <w:rPr>
                <w:rFonts w:ascii="Arial" w:cs="Arial" w:eastAsia="Arial" w:hAnsi="Arial"/>
                <w:sz w:val="16"/>
                <w:szCs w:val="16"/>
                <w:color w:val="auto"/>
              </w:rPr>
              <w:t>Short-term investments</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151,581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179,027</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Restricted cash</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4,897</w:t>
            </w:r>
          </w:p>
        </w:tc>
        <w:tc>
          <w:tcPr>
            <w:tcW w:w="0" w:type="dxa"/>
            <w:vAlign w:val="bottom"/>
          </w:tcPr>
          <w:p>
            <w:pPr>
              <w:spacing w:after="0"/>
              <w:rPr>
                <w:sz w:val="1"/>
                <w:szCs w:val="1"/>
                <w:color w:val="auto"/>
              </w:rPr>
            </w:pPr>
          </w:p>
        </w:tc>
      </w:tr>
      <w:tr>
        <w:trPr>
          <w:trHeight w:val="230"/>
        </w:trPr>
        <w:tc>
          <w:tcPr>
            <w:tcW w:w="7040" w:type="dxa"/>
            <w:vAlign w:val="bottom"/>
          </w:tcPr>
          <w:p>
            <w:pPr>
              <w:ind w:left="340"/>
              <w:spacing w:after="0"/>
              <w:rPr>
                <w:sz w:val="20"/>
                <w:szCs w:val="20"/>
                <w:color w:val="auto"/>
              </w:rPr>
            </w:pPr>
            <w:r>
              <w:rPr>
                <w:rFonts w:ascii="Arial" w:cs="Arial" w:eastAsia="Arial" w:hAnsi="Arial"/>
                <w:sz w:val="16"/>
                <w:szCs w:val="16"/>
                <w:color w:val="auto"/>
              </w:rPr>
              <w:t>Accounts receivable, net</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303,378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259,222</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70,697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50,979</w:t>
            </w:r>
          </w:p>
        </w:tc>
        <w:tc>
          <w:tcPr>
            <w:tcW w:w="0" w:type="dxa"/>
            <w:vAlign w:val="bottom"/>
          </w:tcPr>
          <w:p>
            <w:pPr>
              <w:spacing w:after="0"/>
              <w:rPr>
                <w:sz w:val="1"/>
                <w:szCs w:val="1"/>
                <w:color w:val="auto"/>
              </w:rPr>
            </w:pPr>
          </w:p>
        </w:tc>
      </w:tr>
      <w:tr>
        <w:trPr>
          <w:trHeight w:val="223"/>
        </w:trPr>
        <w:tc>
          <w:tcPr>
            <w:tcW w:w="7040" w:type="dxa"/>
            <w:vAlign w:val="bottom"/>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651,568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612,794</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82,828</w:t>
            </w:r>
          </w:p>
        </w:tc>
        <w:tc>
          <w:tcPr>
            <w:tcW w:w="0" w:type="dxa"/>
            <w:vAlign w:val="bottom"/>
          </w:tcPr>
          <w:p>
            <w:pPr>
              <w:spacing w:after="0"/>
              <w:rPr>
                <w:sz w:val="1"/>
                <w:szCs w:val="1"/>
                <w:color w:val="auto"/>
              </w:rPr>
            </w:pPr>
          </w:p>
        </w:tc>
      </w:tr>
      <w:tr>
        <w:trPr>
          <w:trHeight w:val="229"/>
        </w:trPr>
        <w:tc>
          <w:tcPr>
            <w:tcW w:w="7040" w:type="dxa"/>
            <w:vAlign w:val="bottom"/>
          </w:tcPr>
          <w:p>
            <w:pPr>
              <w:ind w:left="20"/>
              <w:spacing w:after="0"/>
              <w:rPr>
                <w:sz w:val="20"/>
                <w:szCs w:val="20"/>
                <w:color w:val="auto"/>
              </w:rPr>
            </w:pPr>
            <w:r>
              <w:rPr>
                <w:rFonts w:ascii="Arial" w:cs="Arial" w:eastAsia="Arial" w:hAnsi="Arial"/>
                <w:sz w:val="16"/>
                <w:szCs w:val="16"/>
                <w:color w:val="auto"/>
              </w:rPr>
              <w:t>Operating lease right-of-use assets, net</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56,817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55,347</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0" w:type="dxa"/>
            <w:vAlign w:val="bottom"/>
          </w:tcPr>
          <w:p>
            <w:pPr>
              <w:spacing w:after="0"/>
              <w:rPr>
                <w:sz w:val="1"/>
                <w:szCs w:val="1"/>
                <w:color w:val="auto"/>
              </w:rPr>
            </w:pPr>
          </w:p>
        </w:tc>
      </w:tr>
      <w:tr>
        <w:trPr>
          <w:trHeight w:val="229"/>
        </w:trPr>
        <w:tc>
          <w:tcPr>
            <w:tcW w:w="7040" w:type="dxa"/>
            <w:vAlign w:val="bottom"/>
          </w:tcPr>
          <w:p>
            <w:pPr>
              <w:ind w:left="20"/>
              <w:spacing w:after="0"/>
              <w:rPr>
                <w:sz w:val="20"/>
                <w:szCs w:val="20"/>
                <w:color w:val="auto"/>
              </w:rPr>
            </w:pPr>
            <w:r>
              <w:rPr>
                <w:rFonts w:ascii="Arial" w:cs="Arial" w:eastAsia="Arial" w:hAnsi="Arial"/>
                <w:sz w:val="16"/>
                <w:szCs w:val="16"/>
                <w:color w:val="auto"/>
              </w:rPr>
              <w:t>Deferred tax assets, net</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79,767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55,791</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405,637</w:t>
            </w:r>
          </w:p>
        </w:tc>
        <w:tc>
          <w:tcPr>
            <w:tcW w:w="0" w:type="dxa"/>
            <w:vAlign w:val="bottom"/>
          </w:tcPr>
          <w:p>
            <w:pPr>
              <w:spacing w:after="0"/>
              <w:rPr>
                <w:sz w:val="1"/>
                <w:szCs w:val="1"/>
                <w:color w:val="auto"/>
              </w:rPr>
            </w:pPr>
          </w:p>
        </w:tc>
      </w:tr>
      <w:tr>
        <w:trPr>
          <w:trHeight w:val="230"/>
        </w:trPr>
        <w:tc>
          <w:tcPr>
            <w:tcW w:w="7040" w:type="dxa"/>
            <w:vAlign w:val="bottom"/>
          </w:tcPr>
          <w:p>
            <w:pPr>
              <w:ind w:left="20"/>
              <w:spacing w:after="0"/>
              <w:rPr>
                <w:sz w:val="20"/>
                <w:szCs w:val="20"/>
                <w:color w:val="auto"/>
              </w:rPr>
            </w:pPr>
            <w:r>
              <w:rPr>
                <w:rFonts w:ascii="Arial" w:cs="Arial" w:eastAsia="Arial" w:hAnsi="Arial"/>
                <w:sz w:val="16"/>
                <w:szCs w:val="16"/>
                <w:color w:val="auto"/>
              </w:rPr>
              <w:t>Other intangible assets, net</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53,315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64,819</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investments</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34,779</w:t>
            </w:r>
          </w:p>
        </w:tc>
        <w:tc>
          <w:tcPr>
            <w:tcW w:w="0" w:type="dxa"/>
            <w:vAlign w:val="bottom"/>
          </w:tcPr>
          <w:p>
            <w:pPr>
              <w:spacing w:after="0"/>
              <w:rPr>
                <w:sz w:val="1"/>
                <w:szCs w:val="1"/>
                <w:color w:val="auto"/>
              </w:rPr>
            </w:pPr>
          </w:p>
        </w:tc>
      </w:tr>
      <w:tr>
        <w:trPr>
          <w:trHeight w:val="230"/>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51,398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32,069</w:t>
            </w:r>
          </w:p>
        </w:tc>
        <w:tc>
          <w:tcPr>
            <w:tcW w:w="0" w:type="dxa"/>
            <w:vAlign w:val="bottom"/>
          </w:tcPr>
          <w:p>
            <w:pPr>
              <w:spacing w:after="0"/>
              <w:rPr>
                <w:sz w:val="1"/>
                <w:szCs w:val="1"/>
                <w:color w:val="auto"/>
              </w:rPr>
            </w:pPr>
          </w:p>
        </w:tc>
      </w:tr>
      <w:tr>
        <w:trPr>
          <w:trHeight w:val="248"/>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1,402,493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1,346,119</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0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3,159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7,789</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portion of long-term borrowings</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30"/>
        </w:trPr>
        <w:tc>
          <w:tcPr>
            <w:tcW w:w="704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13,766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18,782</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employee costs</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108,100</w:t>
            </w:r>
          </w:p>
        </w:tc>
        <w:tc>
          <w:tcPr>
            <w:tcW w:w="0" w:type="dxa"/>
            <w:vAlign w:val="bottom"/>
          </w:tcPr>
          <w:p>
            <w:pPr>
              <w:spacing w:after="0"/>
              <w:rPr>
                <w:sz w:val="1"/>
                <w:szCs w:val="1"/>
                <w:color w:val="auto"/>
              </w:rPr>
            </w:pPr>
          </w:p>
        </w:tc>
      </w:tr>
      <w:tr>
        <w:trPr>
          <w:trHeight w:val="230"/>
        </w:trPr>
        <w:tc>
          <w:tcPr>
            <w:tcW w:w="7040" w:type="dxa"/>
            <w:vAlign w:val="bottom"/>
          </w:tcPr>
          <w:p>
            <w:pPr>
              <w:ind w:left="340"/>
              <w:spacing w:after="0"/>
              <w:rPr>
                <w:sz w:val="20"/>
                <w:szCs w:val="20"/>
                <w:color w:val="auto"/>
              </w:rPr>
            </w:pPr>
            <w:r>
              <w:rPr>
                <w:rFonts w:ascii="Arial" w:cs="Arial" w:eastAsia="Arial" w:hAnsi="Arial"/>
                <w:sz w:val="16"/>
                <w:szCs w:val="16"/>
                <w:color w:val="auto"/>
              </w:rPr>
              <w:t>Accrued expenses and other current liabilities</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107,730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95,352</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portion of operating lease liabilities</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14,978</w:t>
            </w:r>
          </w:p>
        </w:tc>
        <w:tc>
          <w:tcPr>
            <w:tcW w:w="0" w:type="dxa"/>
            <w:vAlign w:val="bottom"/>
          </w:tcPr>
          <w:p>
            <w:pPr>
              <w:spacing w:after="0"/>
              <w:rPr>
                <w:sz w:val="1"/>
                <w:szCs w:val="1"/>
                <w:color w:val="auto"/>
              </w:rPr>
            </w:pPr>
          </w:p>
        </w:tc>
      </w:tr>
      <w:tr>
        <w:trPr>
          <w:trHeight w:val="230"/>
        </w:trPr>
        <w:tc>
          <w:tcPr>
            <w:tcW w:w="70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Income taxes payable, net</w:t>
            </w: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2,945</w:t>
            </w:r>
          </w:p>
        </w:tc>
        <w:tc>
          <w:tcPr>
            <w:tcW w:w="0" w:type="dxa"/>
            <w:vAlign w:val="bottom"/>
          </w:tcPr>
          <w:p>
            <w:pPr>
              <w:spacing w:after="0"/>
              <w:rPr>
                <w:sz w:val="1"/>
                <w:szCs w:val="1"/>
                <w:color w:val="auto"/>
              </w:rPr>
            </w:pPr>
          </w:p>
        </w:tc>
      </w:tr>
      <w:tr>
        <w:trPr>
          <w:trHeight w:val="223"/>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current liabilities</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306,146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277,946</w:t>
            </w:r>
          </w:p>
        </w:tc>
        <w:tc>
          <w:tcPr>
            <w:tcW w:w="0" w:type="dxa"/>
            <w:vAlign w:val="bottom"/>
          </w:tcPr>
          <w:p>
            <w:pPr>
              <w:spacing w:after="0"/>
              <w:rPr>
                <w:sz w:val="1"/>
                <w:szCs w:val="1"/>
                <w:color w:val="auto"/>
              </w:rPr>
            </w:pPr>
          </w:p>
        </w:tc>
      </w:tr>
      <w:tr>
        <w:trPr>
          <w:trHeight w:val="230"/>
        </w:trPr>
        <w:tc>
          <w:tcPr>
            <w:tcW w:w="7040" w:type="dxa"/>
            <w:vAlign w:val="bottom"/>
          </w:tcPr>
          <w:p>
            <w:pPr>
              <w:ind w:left="20"/>
              <w:spacing w:after="0"/>
              <w:rPr>
                <w:sz w:val="20"/>
                <w:szCs w:val="20"/>
                <w:color w:val="auto"/>
              </w:rPr>
            </w:pPr>
            <w:r>
              <w:rPr>
                <w:rFonts w:ascii="Arial" w:cs="Arial" w:eastAsia="Arial" w:hAnsi="Arial"/>
                <w:sz w:val="16"/>
                <w:szCs w:val="16"/>
                <w:color w:val="auto"/>
              </w:rPr>
              <w:t>Long-term borrowings, less current portion</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220,000</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less current portion</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48,155</w:t>
            </w:r>
          </w:p>
        </w:tc>
        <w:tc>
          <w:tcPr>
            <w:tcW w:w="0" w:type="dxa"/>
            <w:vAlign w:val="bottom"/>
          </w:tcPr>
          <w:p>
            <w:pPr>
              <w:spacing w:after="0"/>
              <w:rPr>
                <w:sz w:val="1"/>
                <w:szCs w:val="1"/>
                <w:color w:val="auto"/>
              </w:rPr>
            </w:pPr>
          </w:p>
        </w:tc>
      </w:tr>
      <w:tr>
        <w:trPr>
          <w:trHeight w:val="230"/>
        </w:trPr>
        <w:tc>
          <w:tcPr>
            <w:tcW w:w="7040" w:type="dxa"/>
            <w:vAlign w:val="bottom"/>
          </w:tcPr>
          <w:p>
            <w:pPr>
              <w:ind w:left="20"/>
              <w:spacing w:after="0"/>
              <w:rPr>
                <w:sz w:val="20"/>
                <w:szCs w:val="20"/>
                <w:color w:val="auto"/>
              </w:rPr>
            </w:pPr>
            <w:r>
              <w:rPr>
                <w:rFonts w:ascii="Arial" w:cs="Arial" w:eastAsia="Arial" w:hAnsi="Arial"/>
                <w:sz w:val="16"/>
                <w:szCs w:val="16"/>
                <w:color w:val="auto"/>
              </w:rPr>
              <w:t>Deferred tax liabilities, net</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31,354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41,292</w:t>
            </w:r>
          </w:p>
        </w:tc>
        <w:tc>
          <w:tcPr>
            <w:tcW w:w="0" w:type="dxa"/>
            <w:vAlign w:val="bottom"/>
          </w:tcPr>
          <w:p>
            <w:pPr>
              <w:spacing w:after="0"/>
              <w:rPr>
                <w:sz w:val="1"/>
                <w:szCs w:val="1"/>
                <w:color w:val="auto"/>
              </w:rPr>
            </w:pPr>
          </w:p>
        </w:tc>
      </w:tr>
      <w:tr>
        <w:trPr>
          <w:trHeight w:val="223"/>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liabilities</w:t>
            </w: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546,406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587,940</w:t>
            </w:r>
          </w:p>
        </w:tc>
        <w:tc>
          <w:tcPr>
            <w:tcW w:w="0" w:type="dxa"/>
            <w:vAlign w:val="bottom"/>
          </w:tcPr>
          <w:p>
            <w:pPr>
              <w:spacing w:after="0"/>
              <w:rPr>
                <w:sz w:val="1"/>
                <w:szCs w:val="1"/>
                <w:color w:val="auto"/>
              </w:rPr>
            </w:pPr>
          </w:p>
        </w:tc>
      </w:tr>
      <w:tr>
        <w:trPr>
          <w:trHeight w:val="196"/>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40" w:type="dxa"/>
            <w:vAlign w:val="bottom"/>
          </w:tcPr>
          <w:p>
            <w:pPr>
              <w:ind w:left="20"/>
              <w:spacing w:after="0"/>
              <w:rPr>
                <w:sz w:val="20"/>
                <w:szCs w:val="20"/>
                <w:color w:val="auto"/>
              </w:rPr>
            </w:pPr>
            <w:r>
              <w:rPr>
                <w:rFonts w:ascii="Arial" w:cs="Arial" w:eastAsia="Arial" w:hAnsi="Arial"/>
                <w:sz w:val="16"/>
                <w:szCs w:val="16"/>
                <w:b w:val="1"/>
                <w:bCs w:val="1"/>
                <w:color w:val="auto"/>
              </w:rPr>
              <w:t>ExlService Holdings, Inc. Stockholders’ equity:</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Preferred stock, $0.001 par value; 15,000,000 shares authorized, none issued</w:t>
            </w:r>
          </w:p>
        </w:tc>
        <w:tc>
          <w:tcPr>
            <w:tcW w:w="14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6"/>
        </w:trPr>
        <w:tc>
          <w:tcPr>
            <w:tcW w:w="7040" w:type="dxa"/>
            <w:vAlign w:val="bottom"/>
          </w:tcPr>
          <w:p>
            <w:pPr>
              <w:ind w:left="340"/>
              <w:spacing w:after="0" w:line="166" w:lineRule="exact"/>
              <w:rPr>
                <w:sz w:val="20"/>
                <w:szCs w:val="20"/>
                <w:color w:val="auto"/>
              </w:rPr>
            </w:pPr>
            <w:r>
              <w:rPr>
                <w:rFonts w:ascii="Arial" w:cs="Arial" w:eastAsia="Arial" w:hAnsi="Arial"/>
                <w:sz w:val="16"/>
                <w:szCs w:val="16"/>
                <w:color w:val="auto"/>
                <w:w w:val="95"/>
              </w:rPr>
              <w:t>Common stock, $0.001 par value; 400,000,000 shares authorized, 202,124,185 shares issued and</w:t>
            </w: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040" w:type="dxa"/>
            <w:vAlign w:val="bottom"/>
          </w:tcPr>
          <w:p>
            <w:pPr>
              <w:ind w:left="340"/>
              <w:spacing w:after="0" w:line="158" w:lineRule="exact"/>
              <w:rPr>
                <w:sz w:val="20"/>
                <w:szCs w:val="20"/>
                <w:color w:val="auto"/>
              </w:rPr>
            </w:pPr>
            <w:r>
              <w:rPr>
                <w:rFonts w:ascii="Arial" w:cs="Arial" w:eastAsia="Arial" w:hAnsi="Arial"/>
                <w:sz w:val="16"/>
                <w:szCs w:val="16"/>
                <w:color w:val="auto"/>
                <w:w w:val="98"/>
              </w:rPr>
              <w:t>165,117,859 shares outstanding as of September 30, 2023 and 199,939,880 shares issued and</w:t>
            </w:r>
          </w:p>
        </w:tc>
        <w:tc>
          <w:tcPr>
            <w:tcW w:w="140" w:type="dxa"/>
            <w:vAlign w:val="bottom"/>
          </w:tcPr>
          <w:p>
            <w:pPr>
              <w:spacing w:after="0"/>
              <w:rPr>
                <w:sz w:val="13"/>
                <w:szCs w:val="13"/>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7040" w:type="dxa"/>
            <w:vAlign w:val="bottom"/>
          </w:tcPr>
          <w:p>
            <w:pPr>
              <w:ind w:left="340"/>
              <w:spacing w:after="0" w:line="216" w:lineRule="exact"/>
              <w:rPr>
                <w:sz w:val="20"/>
                <w:szCs w:val="20"/>
                <w:color w:val="auto"/>
              </w:rPr>
            </w:pPr>
            <w:r>
              <w:rPr>
                <w:rFonts w:ascii="Arial" w:cs="Arial" w:eastAsia="Arial" w:hAnsi="Arial"/>
                <w:sz w:val="16"/>
                <w:szCs w:val="16"/>
                <w:color w:val="auto"/>
              </w:rPr>
              <w:t xml:space="preserve">166,172,220 shares outstanding as of December 31, 2022 </w:t>
            </w:r>
            <w:r>
              <w:rPr>
                <w:rFonts w:ascii="Arial" w:cs="Arial" w:eastAsia="Arial" w:hAnsi="Arial"/>
                <w:sz w:val="21"/>
                <w:szCs w:val="21"/>
                <w:color w:val="auto"/>
                <w:vertAlign w:val="superscript"/>
              </w:rPr>
              <w:t>(1)</w:t>
            </w:r>
          </w:p>
        </w:tc>
        <w:tc>
          <w:tcPr>
            <w:tcW w:w="14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340"/>
              <w:spacing w:after="0" w:line="230" w:lineRule="exact"/>
              <w:rPr>
                <w:sz w:val="20"/>
                <w:szCs w:val="20"/>
                <w:color w:val="auto"/>
              </w:rPr>
            </w:pPr>
            <w:r>
              <w:rPr>
                <w:rFonts w:ascii="Arial" w:cs="Arial" w:eastAsia="Arial" w:hAnsi="Arial"/>
                <w:sz w:val="16"/>
                <w:szCs w:val="16"/>
                <w:color w:val="auto"/>
              </w:rPr>
              <w:t xml:space="preserve">Additional paid-in capital </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492,577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444,948</w:t>
            </w:r>
          </w:p>
        </w:tc>
        <w:tc>
          <w:tcPr>
            <w:tcW w:w="0" w:type="dxa"/>
            <w:vAlign w:val="bottom"/>
          </w:tcPr>
          <w:p>
            <w:pPr>
              <w:spacing w:after="0"/>
              <w:rPr>
                <w:sz w:val="1"/>
                <w:szCs w:val="1"/>
                <w:color w:val="auto"/>
              </w:rPr>
            </w:pPr>
          </w:p>
        </w:tc>
      </w:tr>
      <w:tr>
        <w:trPr>
          <w:trHeight w:val="229"/>
        </w:trPr>
        <w:tc>
          <w:tcPr>
            <w:tcW w:w="7040" w:type="dxa"/>
            <w:vAlign w:val="bottom"/>
          </w:tcPr>
          <w:p>
            <w:pPr>
              <w:ind w:left="340"/>
              <w:spacing w:after="0"/>
              <w:rPr>
                <w:sz w:val="20"/>
                <w:szCs w:val="20"/>
                <w:color w:val="auto"/>
              </w:rPr>
            </w:pPr>
            <w:r>
              <w:rPr>
                <w:rFonts w:ascii="Arial" w:cs="Arial" w:eastAsia="Arial" w:hAnsi="Arial"/>
                <w:sz w:val="16"/>
                <w:szCs w:val="16"/>
                <w:color w:val="auto"/>
              </w:rPr>
              <w:t>Retained earnings</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1,043,380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899,105</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(136,805)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(144,143)</w:t>
            </w:r>
          </w:p>
        </w:tc>
        <w:tc>
          <w:tcPr>
            <w:tcW w:w="0" w:type="dxa"/>
            <w:vAlign w:val="bottom"/>
          </w:tcPr>
          <w:p>
            <w:pPr>
              <w:spacing w:after="0"/>
              <w:rPr>
                <w:sz w:val="1"/>
                <w:szCs w:val="1"/>
                <w:color w:val="auto"/>
              </w:rPr>
            </w:pPr>
          </w:p>
        </w:tc>
      </w:tr>
      <w:tr>
        <w:trPr>
          <w:trHeight w:val="223"/>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including shares held in treasury</w:t>
            </w: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1,399,354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1,200,110</w:t>
            </w:r>
          </w:p>
        </w:tc>
        <w:tc>
          <w:tcPr>
            <w:tcW w:w="0" w:type="dxa"/>
            <w:vAlign w:val="bottom"/>
          </w:tcPr>
          <w:p>
            <w:pPr>
              <w:spacing w:after="0"/>
              <w:rPr>
                <w:sz w:val="1"/>
                <w:szCs w:val="1"/>
                <w:color w:val="auto"/>
              </w:rPr>
            </w:pPr>
          </w:p>
        </w:tc>
      </w:tr>
      <w:tr>
        <w:trPr>
          <w:trHeight w:val="142"/>
        </w:trPr>
        <w:tc>
          <w:tcPr>
            <w:tcW w:w="7040" w:type="dxa"/>
            <w:vAlign w:val="bottom"/>
            <w:shd w:val="clear" w:color="auto" w:fill="CCEEFF"/>
          </w:tcPr>
          <w:p>
            <w:pPr>
              <w:ind w:left="340"/>
              <w:spacing w:after="0" w:line="142" w:lineRule="exact"/>
              <w:rPr>
                <w:sz w:val="20"/>
                <w:szCs w:val="20"/>
                <w:color w:val="auto"/>
              </w:rPr>
            </w:pPr>
            <w:r>
              <w:rPr>
                <w:rFonts w:ascii="Arial" w:cs="Arial" w:eastAsia="Arial" w:hAnsi="Arial"/>
                <w:sz w:val="16"/>
                <w:szCs w:val="16"/>
                <w:color w:val="auto"/>
                <w:w w:val="92"/>
              </w:rPr>
              <w:t>Less: 37,006,326 shares as of September 30, 2023 and 33,767,660 shares as of December 31, 2022,</w:t>
            </w:r>
          </w:p>
        </w:tc>
        <w:tc>
          <w:tcPr>
            <w:tcW w:w="140" w:type="dxa"/>
            <w:vAlign w:val="bottom"/>
            <w:shd w:val="clear" w:color="auto" w:fill="CCEEFF"/>
          </w:tcPr>
          <w:p>
            <w:pPr>
              <w:spacing w:after="0"/>
              <w:rPr>
                <w:sz w:val="12"/>
                <w:szCs w:val="12"/>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(543,267)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(441,931)</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340"/>
              <w:spacing w:after="0" w:line="216" w:lineRule="exact"/>
              <w:rPr>
                <w:sz w:val="20"/>
                <w:szCs w:val="20"/>
                <w:color w:val="auto"/>
              </w:rPr>
            </w:pPr>
            <w:r>
              <w:rPr>
                <w:rFonts w:ascii="Arial" w:cs="Arial" w:eastAsia="Arial" w:hAnsi="Arial"/>
                <w:sz w:val="16"/>
                <w:szCs w:val="16"/>
                <w:color w:val="auto"/>
              </w:rPr>
              <w:t xml:space="preserve">held in treasury, at cost </w:t>
            </w:r>
            <w:r>
              <w:rPr>
                <w:rFonts w:ascii="Arial" w:cs="Arial" w:eastAsia="Arial" w:hAnsi="Arial"/>
                <w:sz w:val="21"/>
                <w:szCs w:val="21"/>
                <w:color w:val="auto"/>
                <w:vertAlign w:val="superscript"/>
              </w:rPr>
              <w:t>(1)</w:t>
            </w:r>
          </w:p>
        </w:tc>
        <w:tc>
          <w:tcPr>
            <w:tcW w:w="1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stockholders’ equity</w:t>
            </w: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856,087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758,179</w:t>
            </w:r>
          </w:p>
        </w:tc>
        <w:tc>
          <w:tcPr>
            <w:tcW w:w="0" w:type="dxa"/>
            <w:vAlign w:val="bottom"/>
          </w:tcPr>
          <w:p>
            <w:pPr>
              <w:spacing w:after="0"/>
              <w:rPr>
                <w:sz w:val="1"/>
                <w:szCs w:val="1"/>
                <w:color w:val="auto"/>
              </w:rPr>
            </w:pPr>
          </w:p>
        </w:tc>
      </w:tr>
      <w:tr>
        <w:trPr>
          <w:trHeight w:val="248"/>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1,402,493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1,346,119</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149" w:hanging="149"/>
        <w:spacing w:after="0"/>
        <w:tabs>
          <w:tab w:leader="none" w:pos="149" w:val="left"/>
        </w:tabs>
        <w:numPr>
          <w:ilvl w:val="0"/>
          <w:numId w:val="9"/>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Prior period information has been adjusted to reflect the 5-for-1 forward stock split of the Company’s common stock effected in August 2023.</w:t>
      </w:r>
    </w:p>
    <w:p>
      <w:pPr>
        <w:sectPr>
          <w:pgSz w:w="11900" w:h="16838" w:orient="portrait"/>
          <w:cols w:equalWidth="0" w:num="1">
            <w:col w:w="10629"/>
          </w:cols>
          <w:pgMar w:left="571" w:top="891" w:right="69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283" w:lineRule="exact"/>
        <w:rPr>
          <w:sz w:val="20"/>
          <w:szCs w:val="20"/>
          <w:color w:val="auto"/>
        </w:rPr>
      </w:pPr>
    </w:p>
    <w:p>
      <w:pPr>
        <w:ind w:firstLine="405"/>
        <w:spacing w:after="0" w:line="324" w:lineRule="auto"/>
        <w:rPr>
          <w:sz w:val="20"/>
          <w:szCs w:val="20"/>
          <w:color w:val="auto"/>
        </w:rPr>
      </w:pPr>
      <w:r>
        <w:rPr>
          <w:rFonts w:ascii="Arial" w:cs="Arial" w:eastAsia="Arial" w:hAnsi="Arial"/>
          <w:sz w:val="18"/>
          <w:szCs w:val="18"/>
          <w:color w:val="auto"/>
        </w:rPr>
        <w:t>In addition to its reported operating results in accordance with U.S. generally accepted accounting principles (GAAP), EXL has included in this release certain financial measures that are considered non-GAAP financial measures, including the following:</w:t>
      </w:r>
    </w:p>
    <w:p>
      <w:pPr>
        <w:spacing w:after="0" w:line="89" w:lineRule="exact"/>
        <w:rPr>
          <w:sz w:val="20"/>
          <w:szCs w:val="20"/>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operating income and adjusted operating income margin;</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EBITDA and adjusted EBITDA margin;</w:t>
      </w:r>
    </w:p>
    <w:p>
      <w:pPr>
        <w:spacing w:after="0" w:line="49"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net income and adjusted diluted earnings per share; and</w:t>
      </w:r>
    </w:p>
    <w:p>
      <w:pPr>
        <w:spacing w:after="0" w:line="49"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 growth on an organic constant currency basis.</w:t>
      </w:r>
    </w:p>
    <w:p>
      <w:pPr>
        <w:spacing w:after="0" w:line="306" w:lineRule="exact"/>
        <w:rPr>
          <w:sz w:val="20"/>
          <w:szCs w:val="20"/>
          <w:color w:val="auto"/>
        </w:rPr>
      </w:pPr>
    </w:p>
    <w:p>
      <w:pPr>
        <w:jc w:val="both"/>
        <w:ind w:firstLine="405"/>
        <w:spacing w:after="0" w:line="343" w:lineRule="auto"/>
        <w:rPr>
          <w:sz w:val="20"/>
          <w:szCs w:val="20"/>
          <w:color w:val="auto"/>
        </w:rPr>
      </w:pPr>
      <w:r>
        <w:rPr>
          <w:rFonts w:ascii="Arial" w:cs="Arial" w:eastAsia="Arial" w:hAnsi="Arial"/>
          <w:sz w:val="16"/>
          <w:szCs w:val="16"/>
          <w:color w:val="auto"/>
        </w:rPr>
        <w:t>These non-GAAP financial measures are not based on any comprehensive set of accounting rules or principles, should not be considered a substitute for, or superior to, financial measures calculated in accordance with GAAP, and may be different from non-GAAP financial measures used by other companies. Accordingly, the financial results calculated in accordance with GAAP and reconciliations from those financial statements should be carefully evaluated. EXL believes that providing these non-GAAP financial measures may help investors better understand EXL’s underlying financial performance. Management also believes that these non-GAAP financial measures, when read in conjunction with EXL’s reported results, can provide useful supplemental information for investors analyzing period-to-period comparisons of the Company’s results and comparisons of the Company’s results with the results of other companies. Additionally, management considers some of these non-GAAP financial measures to determine variable compensation of its employees. The Company believes that it is unreasonably difficult to provide its earnings per share financial guidance in accordance with GAAP, or a qualitative reconciliation thereof, for a number of reasons, including, without limitation, the Company’s inability to predict its future stock-based compensation expense under ASC Topic 718, the amortization of intangibles associated with further acquisitions and the currency fluctuations and associated tax impacts. As such, the Company presents guidance with respect to adjusted diluted earnings per share. The Company also incurs significant non-cash charges for depreciation that may not be indicative of the Company’s ability to generate cash flow.</w:t>
      </w:r>
    </w:p>
    <w:p>
      <w:pPr>
        <w:spacing w:after="0" w:line="193" w:lineRule="exact"/>
        <w:rPr>
          <w:sz w:val="20"/>
          <w:szCs w:val="20"/>
          <w:color w:val="auto"/>
        </w:rPr>
      </w:pPr>
    </w:p>
    <w:p>
      <w:pPr>
        <w:jc w:val="both"/>
        <w:ind w:firstLine="405"/>
        <w:spacing w:after="0" w:line="324" w:lineRule="auto"/>
        <w:rPr>
          <w:sz w:val="20"/>
          <w:szCs w:val="20"/>
          <w:color w:val="auto"/>
        </w:rPr>
      </w:pPr>
      <w:r>
        <w:rPr>
          <w:rFonts w:ascii="Arial" w:cs="Arial" w:eastAsia="Arial" w:hAnsi="Arial"/>
          <w:sz w:val="17"/>
          <w:szCs w:val="17"/>
          <w:color w:val="auto"/>
        </w:rPr>
        <w:t>EXL non-GAAP financial measures exclude, where applicable, stock-based compensation expense, amortization of acquisition-related intangible assets, provision for litigation settlement, impairment charges on acquired long-lived and intangible assets including goodwill, effects of termination of leases, certain defined social security contributions, allowance for certain material expected credit losses, other acquisition-related expenses or benefits and effect of any non-recurring tax adjustments. Acquisition-related expenses or benefits include, changes in the fair value of contingent consideration, external deal costs, integration expenses, direct and incremental travel costs and non-recurring benefits or losses. Our adjusted net income and adjusted diluted EPS also excludes the effects of income tax on the above pre-tax items, as applicable. The effects of income tax of each item is calculated by applying the statutory rate of the local tax regulations in the jurisdiction in which the item was incurred.</w:t>
      </w:r>
    </w:p>
    <w:p>
      <w:pPr>
        <w:spacing w:after="0" w:line="205"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8"/>
          <w:szCs w:val="18"/>
          <w:color w:val="auto"/>
        </w:rPr>
        <w:t>A limitation of using non-GAAP financial measures versus financial measures calculated in accordance with GAAP is that non-GAAP financial measures do not reflect all of the amounts associated with our operating results as determined in accordance with GAAP and exclude costs that are recurring, namely stock-based compensation and amortization of acquisition-related intangible assets. EXL compensates for these limitations by providing specific information regarding the GAAP amounts excluded from non-GAAP financial measures to allow investors to evaluate such non-GAAP financial measures.</w:t>
      </w:r>
    </w:p>
    <w:p>
      <w:pPr>
        <w:spacing w:after="0" w:line="211" w:lineRule="exact"/>
        <w:rPr>
          <w:sz w:val="20"/>
          <w:szCs w:val="20"/>
          <w:color w:val="auto"/>
        </w:rPr>
      </w:pPr>
    </w:p>
    <w:p>
      <w:pPr>
        <w:jc w:val="both"/>
        <w:ind w:firstLine="405"/>
        <w:spacing w:after="0" w:line="350" w:lineRule="auto"/>
        <w:rPr>
          <w:sz w:val="20"/>
          <w:szCs w:val="20"/>
          <w:color w:val="auto"/>
        </w:rPr>
      </w:pPr>
      <w:r>
        <w:rPr>
          <w:rFonts w:ascii="Arial" w:cs="Arial" w:eastAsia="Arial" w:hAnsi="Arial"/>
          <w:sz w:val="16"/>
          <w:szCs w:val="16"/>
          <w:color w:val="auto"/>
        </w:rPr>
        <w:t>The information provided on an organic constant currency basis reflects a comparison of current period results translated at the prior period currency rates and exclude the impact from an acquisition for a twelve-month period from the date of the acquisition. This information is provided because EXL believes that it provides useful comparative incremental information to investors regarding EXL’s true operating performance. EXL’s primary exchange rate exposure is with the Indian rupee, the U.K. pound sterling and the Philippine peso. The average exchange rate of the U.S. Dollar against the Indian Rupee increased from 80.01 during the quarter ended September 30, 2022 to 82.69 during the quarter ended September 30, 2023, representing a depreciation of 3.3% against the U.S. dollar. The average exchange rate of the U.S. Dollar against the Philippine Peso decreased</w:t>
      </w:r>
    </w:p>
    <w:p>
      <w:pPr>
        <w:sectPr>
          <w:pgSz w:w="11900" w:h="16838" w:orient="portrait"/>
          <w:cols w:equalWidth="0" w:num="1">
            <w:col w:w="11240"/>
          </w:cols>
          <w:pgMar w:left="320" w:top="931" w:right="339" w:bottom="1440" w:gutter="0" w:footer="0" w:header="0"/>
        </w:sectPr>
      </w:pPr>
    </w:p>
    <w:bookmarkStart w:id="10" w:name="page11"/>
    <w:bookmarkEnd w:id="10"/>
    <w:p>
      <w:pPr>
        <w:jc w:val="both"/>
        <w:spacing w:after="0" w:line="336" w:lineRule="auto"/>
        <w:rPr>
          <w:sz w:val="20"/>
          <w:szCs w:val="20"/>
          <w:color w:val="auto"/>
        </w:rPr>
      </w:pPr>
      <w:r>
        <w:rPr>
          <w:rFonts w:ascii="Arial" w:cs="Arial" w:eastAsia="Arial" w:hAnsi="Arial"/>
          <w:sz w:val="17"/>
          <w:szCs w:val="17"/>
          <w:color w:val="auto"/>
        </w:rPr>
        <w:t>from 56.63 during the quarter ended September 30, 2022 to 56.02 during the quarter ended September 30, 2023, representing an appreciation of 1.1% against the U.S. dollar. The average exchange rate of the U.K. pound sterling against the U.S. Dollar increased from 1.16 during the quarter ended September 30, 2022 to 1.26 during the quarter ended September 30, 2023, representing an appreciation of 8.2% against the U.S. dollar.</w:t>
      </w:r>
    </w:p>
    <w:p>
      <w:pPr>
        <w:spacing w:after="0" w:line="205" w:lineRule="exact"/>
        <w:rPr>
          <w:sz w:val="20"/>
          <w:szCs w:val="20"/>
          <w:color w:val="auto"/>
        </w:rPr>
      </w:pPr>
    </w:p>
    <w:p>
      <w:pPr>
        <w:jc w:val="both"/>
        <w:ind w:firstLine="405"/>
        <w:spacing w:after="0" w:line="324" w:lineRule="auto"/>
        <w:rPr>
          <w:sz w:val="20"/>
          <w:szCs w:val="20"/>
          <w:color w:val="auto"/>
        </w:rPr>
      </w:pPr>
      <w:r>
        <w:rPr>
          <w:rFonts w:ascii="Arial" w:cs="Arial" w:eastAsia="Arial" w:hAnsi="Arial"/>
          <w:sz w:val="18"/>
          <w:szCs w:val="18"/>
          <w:color w:val="auto"/>
        </w:rPr>
        <w:t>The following table shows the reconciliation of these non-GAAP financial measures for the three months ended September 30, 2023 and September 30, 2022, and the three months ended June 30, 2023:</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Operating Income and Adjusted EBITDA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130" w:lineRule="exact"/>
        <w:rPr>
          <w:sz w:val="20"/>
          <w:szCs w:val="20"/>
          <w:color w:val="auto"/>
        </w:rPr>
      </w:pPr>
    </w:p>
    <w:tbl>
      <w:tblPr>
        <w:tblLayout w:type="fixed"/>
        <w:tblInd w:w="280" w:type="dxa"/>
        <w:tblCellMar>
          <w:top w:w="0" w:type="dxa"/>
          <w:left w:w="0" w:type="dxa"/>
          <w:bottom w:w="0" w:type="dxa"/>
          <w:right w:w="0" w:type="dxa"/>
        </w:tblCellMar>
      </w:tblPr>
      <w:tr>
        <w:trPr>
          <w:trHeight w:val="223"/>
        </w:trPr>
        <w:tc>
          <w:tcPr>
            <w:tcW w:w="59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w w:val="97"/>
              </w:rPr>
              <w:t>Three months ended</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60" w:type="dxa"/>
            <w:vAlign w:val="bottom"/>
            <w:gridSpan w:val="5"/>
          </w:tcPr>
          <w:p>
            <w:pPr>
              <w:ind w:left="90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20"/>
                <w:szCs w:val="20"/>
                <w:color w:val="auto"/>
              </w:rPr>
            </w:pPr>
          </w:p>
        </w:tc>
        <w:tc>
          <w:tcPr>
            <w:tcW w:w="1220" w:type="dxa"/>
            <w:vAlign w:val="bottom"/>
          </w:tcPr>
          <w:p>
            <w:pPr>
              <w:jc w:val="right"/>
              <w:ind w:right="373"/>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47"/>
        </w:trPr>
        <w:tc>
          <w:tcPr>
            <w:tcW w:w="596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59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26"/>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(GAAP)</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43,876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39,095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49,068</w:t>
            </w:r>
          </w:p>
        </w:tc>
        <w:tc>
          <w:tcPr>
            <w:tcW w:w="0" w:type="dxa"/>
            <w:vAlign w:val="bottom"/>
          </w:tcPr>
          <w:p>
            <w:pPr>
              <w:spacing w:after="0"/>
              <w:rPr>
                <w:sz w:val="1"/>
                <w:szCs w:val="1"/>
                <w:color w:val="auto"/>
              </w:rPr>
            </w:pPr>
          </w:p>
        </w:tc>
      </w:tr>
      <w:tr>
        <w:trPr>
          <w:trHeight w:val="229"/>
        </w:trPr>
        <w:tc>
          <w:tcPr>
            <w:tcW w:w="5960" w:type="dxa"/>
            <w:vAlign w:val="bottom"/>
          </w:tcPr>
          <w:p>
            <w:pPr>
              <w:ind w:left="340"/>
              <w:spacing w:after="0"/>
              <w:rPr>
                <w:sz w:val="20"/>
                <w:szCs w:val="20"/>
                <w:color w:val="auto"/>
              </w:rPr>
            </w:pPr>
            <w:r>
              <w:rPr>
                <w:rFonts w:ascii="Arial" w:cs="Arial" w:eastAsia="Arial" w:hAnsi="Arial"/>
                <w:sz w:val="16"/>
                <w:szCs w:val="16"/>
                <w:color w:val="auto"/>
              </w:rPr>
              <w:t>add: Income tax expense</w:t>
            </w:r>
          </w:p>
        </w:tc>
        <w:tc>
          <w:tcPr>
            <w:tcW w:w="360" w:type="dxa"/>
            <w:vAlign w:val="bottom"/>
          </w:tcPr>
          <w:p>
            <w:pPr>
              <w:spacing w:after="0"/>
              <w:rPr>
                <w:sz w:val="19"/>
                <w:szCs w:val="19"/>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14,161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12,447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15,554</w:t>
            </w:r>
          </w:p>
        </w:tc>
        <w:tc>
          <w:tcPr>
            <w:tcW w:w="0" w:type="dxa"/>
            <w:vAlign w:val="bottom"/>
          </w:tcPr>
          <w:p>
            <w:pPr>
              <w:spacing w:after="0"/>
              <w:rPr>
                <w:sz w:val="1"/>
                <w:szCs w:val="1"/>
                <w:color w:val="auto"/>
              </w:rPr>
            </w:pPr>
          </w:p>
        </w:tc>
      </w:tr>
      <w:tr>
        <w:trPr>
          <w:trHeight w:val="179"/>
        </w:trPr>
        <w:tc>
          <w:tcPr>
            <w:tcW w:w="5960" w:type="dxa"/>
            <w:vAlign w:val="bottom"/>
            <w:shd w:val="clear" w:color="auto" w:fill="CCEEFF"/>
          </w:tcPr>
          <w:p>
            <w:pPr>
              <w:ind w:left="20"/>
              <w:spacing w:after="0" w:line="179" w:lineRule="exact"/>
              <w:rPr>
                <w:sz w:val="20"/>
                <w:szCs w:val="20"/>
                <w:color w:val="auto"/>
              </w:rPr>
            </w:pPr>
            <w:r>
              <w:rPr>
                <w:rFonts w:ascii="Arial" w:cs="Arial" w:eastAsia="Arial" w:hAnsi="Arial"/>
                <w:sz w:val="16"/>
                <w:szCs w:val="16"/>
                <w:color w:val="auto"/>
              </w:rPr>
              <w:t>add/(subtract): Foreign exchange gain, net, interest expense,</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from equity-method investment and other income/(loss), net</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2,193</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(1,431)</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3"/>
        </w:trPr>
        <w:tc>
          <w:tcPr>
            <w:tcW w:w="5960" w:type="dxa"/>
            <w:vAlign w:val="bottom"/>
          </w:tcPr>
          <w:p>
            <w:pPr>
              <w:ind w:left="20"/>
              <w:spacing w:after="0"/>
              <w:rPr>
                <w:sz w:val="20"/>
                <w:szCs w:val="20"/>
                <w:color w:val="auto"/>
              </w:rPr>
            </w:pPr>
            <w:r>
              <w:rPr>
                <w:rFonts w:ascii="Arial" w:cs="Arial" w:eastAsia="Arial" w:hAnsi="Arial"/>
                <w:sz w:val="16"/>
                <w:szCs w:val="16"/>
                <w:b w:val="1"/>
                <w:bCs w:val="1"/>
                <w:color w:val="auto"/>
              </w:rPr>
              <w:t>Income from operations (GAAP)</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13"/>
              <w:spacing w:after="0"/>
              <w:rPr>
                <w:sz w:val="20"/>
                <w:szCs w:val="20"/>
                <w:color w:val="auto"/>
              </w:rPr>
            </w:pPr>
            <w:r>
              <w:rPr>
                <w:rFonts w:ascii="Arial" w:cs="Arial" w:eastAsia="Arial" w:hAnsi="Arial"/>
                <w:sz w:val="18"/>
                <w:szCs w:val="18"/>
                <w:b w:val="1"/>
                <w:bCs w:val="1"/>
                <w:color w:val="auto"/>
              </w:rPr>
              <w:t>60,230</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ind w:right="113"/>
              <w:spacing w:after="0"/>
              <w:rPr>
                <w:sz w:val="20"/>
                <w:szCs w:val="20"/>
                <w:color w:val="auto"/>
              </w:rPr>
            </w:pPr>
            <w:r>
              <w:rPr>
                <w:rFonts w:ascii="Arial" w:cs="Arial" w:eastAsia="Arial" w:hAnsi="Arial"/>
                <w:sz w:val="18"/>
                <w:szCs w:val="18"/>
                <w:b w:val="1"/>
                <w:bCs w:val="1"/>
                <w:color w:val="auto"/>
              </w:rPr>
              <w:t>50,111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13"/>
              <w:spacing w:after="0"/>
              <w:rPr>
                <w:sz w:val="20"/>
                <w:szCs w:val="20"/>
                <w:color w:val="auto"/>
              </w:rPr>
            </w:pPr>
            <w:r>
              <w:rPr>
                <w:rFonts w:ascii="Arial" w:cs="Arial" w:eastAsia="Arial" w:hAnsi="Arial"/>
                <w:sz w:val="18"/>
                <w:szCs w:val="18"/>
                <w:b w:val="1"/>
                <w:bCs w:val="1"/>
                <w:color w:val="auto"/>
              </w:rPr>
              <w:t>64,811</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 Stock-based compensation expense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17,067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12,186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11,511</w:t>
            </w:r>
          </w:p>
        </w:tc>
        <w:tc>
          <w:tcPr>
            <w:tcW w:w="0" w:type="dxa"/>
            <w:vAlign w:val="bottom"/>
          </w:tcPr>
          <w:p>
            <w:pPr>
              <w:spacing w:after="0"/>
              <w:rPr>
                <w:sz w:val="1"/>
                <w:szCs w:val="1"/>
                <w:color w:val="auto"/>
              </w:rPr>
            </w:pPr>
          </w:p>
        </w:tc>
      </w:tr>
      <w:tr>
        <w:trPr>
          <w:trHeight w:val="230"/>
        </w:trPr>
        <w:tc>
          <w:tcPr>
            <w:tcW w:w="5960" w:type="dxa"/>
            <w:vAlign w:val="bottom"/>
          </w:tcPr>
          <w:p>
            <w:pPr>
              <w:ind w:left="340"/>
              <w:spacing w:after="0"/>
              <w:rPr>
                <w:sz w:val="20"/>
                <w:szCs w:val="20"/>
                <w:color w:val="auto"/>
              </w:rPr>
            </w:pPr>
            <w:r>
              <w:rPr>
                <w:rFonts w:ascii="Arial" w:cs="Arial" w:eastAsia="Arial" w:hAnsi="Arial"/>
                <w:sz w:val="16"/>
                <w:szCs w:val="16"/>
                <w:color w:val="auto"/>
              </w:rPr>
              <w:t>add: Amortization of acquisition-related intangibles</w:t>
            </w:r>
          </w:p>
        </w:tc>
        <w:tc>
          <w:tcPr>
            <w:tcW w:w="360" w:type="dxa"/>
            <w:vAlign w:val="bottom"/>
          </w:tcPr>
          <w:p>
            <w:pPr>
              <w:spacing w:after="0"/>
              <w:rPr>
                <w:sz w:val="19"/>
                <w:szCs w:val="19"/>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3,157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4,243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4,204</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 Allowance for expected credit losses (a)</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1,700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60" w:type="dxa"/>
            <w:vAlign w:val="bottom"/>
          </w:tcPr>
          <w:p>
            <w:pPr>
              <w:ind w:left="340"/>
              <w:spacing w:after="0"/>
              <w:rPr>
                <w:sz w:val="20"/>
                <w:szCs w:val="20"/>
                <w:color w:val="auto"/>
              </w:rPr>
            </w:pPr>
            <w:r>
              <w:rPr>
                <w:rFonts w:ascii="Arial" w:cs="Arial" w:eastAsia="Arial" w:hAnsi="Arial"/>
                <w:sz w:val="16"/>
                <w:szCs w:val="16"/>
                <w:color w:val="auto"/>
              </w:rPr>
              <w:t>add: Other expenses (b)</w:t>
            </w:r>
          </w:p>
        </w:tc>
        <w:tc>
          <w:tcPr>
            <w:tcW w:w="36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48"/>
        </w:trPr>
        <w:tc>
          <w:tcPr>
            <w:tcW w:w="5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operating income (Non-GAAP)</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82,154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66,709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81,104</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Adjusted operating income margin as a % of Revenue (Non-GAAP)</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20.0 %</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18.5 %</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i w:val="1"/>
                <w:iCs w:val="1"/>
                <w:color w:val="auto"/>
              </w:rPr>
              <w:t>20.0 %</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 Depreciation on long-lived assets</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6"/>
                <w:szCs w:val="16"/>
                <w:color w:val="auto"/>
              </w:rPr>
              <w:t>8,426</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6"/>
                <w:szCs w:val="16"/>
                <w:color w:val="auto"/>
              </w:rPr>
              <w:t>10,137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6"/>
                <w:szCs w:val="16"/>
                <w:color w:val="auto"/>
              </w:rPr>
              <w:t>8,289</w:t>
            </w:r>
          </w:p>
        </w:tc>
        <w:tc>
          <w:tcPr>
            <w:tcW w:w="0" w:type="dxa"/>
            <w:vAlign w:val="bottom"/>
          </w:tcPr>
          <w:p>
            <w:pPr>
              <w:spacing w:after="0"/>
              <w:rPr>
                <w:sz w:val="1"/>
                <w:szCs w:val="1"/>
                <w:color w:val="auto"/>
              </w:rPr>
            </w:pPr>
          </w:p>
        </w:tc>
      </w:tr>
      <w:tr>
        <w:trPr>
          <w:trHeight w:val="226"/>
        </w:trPr>
        <w:tc>
          <w:tcPr>
            <w:tcW w:w="5960" w:type="dxa"/>
            <w:vAlign w:val="bottom"/>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90,580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76,846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89,393</w:t>
            </w: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Adjusted EBITDA margin as a % of revenue (Non-GAAP)</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22.0 %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21.3 %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22.1 %</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480" w:hanging="229"/>
        <w:spacing w:after="0"/>
        <w:tabs>
          <w:tab w:leader="none" w:pos="48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the effects of material allowance for expected credit losses on accounts receivables related to a customer bankruptcy event.</w:t>
      </w:r>
    </w:p>
    <w:p>
      <w:pPr>
        <w:spacing w:after="0" w:line="248" w:lineRule="exact"/>
        <w:rPr>
          <w:rFonts w:ascii="Arial" w:cs="Arial" w:eastAsia="Arial" w:hAnsi="Arial"/>
          <w:sz w:val="16"/>
          <w:szCs w:val="16"/>
          <w:i w:val="1"/>
          <w:iCs w:val="1"/>
          <w:color w:val="auto"/>
        </w:rPr>
      </w:pPr>
    </w:p>
    <w:p>
      <w:pPr>
        <w:ind w:left="500" w:right="20" w:hanging="249"/>
        <w:spacing w:after="0" w:line="275" w:lineRule="auto"/>
        <w:tabs>
          <w:tab w:leader="none" w:pos="492"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certain expenses related to defined social security contribution plan in India for historical periods of $169 during the three months ended September 30, 2022, and to exclude the effects of lease termination of $578 during the three months ended June 30, 2023.</w:t>
      </w:r>
    </w:p>
    <w:p>
      <w:pPr>
        <w:sectPr>
          <w:pgSz w:w="11900" w:h="16838" w:orient="portrait"/>
          <w:cols w:equalWidth="0" w:num="1">
            <w:col w:w="11240"/>
          </w:cols>
          <w:pgMar w:left="320" w:top="922"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Reconciliation of Adjusted Net Income and Adjusted Diluted Earnings Per Share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thousands, except per share data)</w:t>
      </w:r>
    </w:p>
    <w:p>
      <w:pPr>
        <w:spacing w:after="0" w:line="130" w:lineRule="exact"/>
        <w:rPr>
          <w:sz w:val="20"/>
          <w:szCs w:val="20"/>
          <w:color w:val="auto"/>
        </w:rPr>
      </w:pPr>
    </w:p>
    <w:tbl>
      <w:tblPr>
        <w:tblLayout w:type="fixed"/>
        <w:tblInd w:w="280" w:type="dxa"/>
        <w:tblCellMar>
          <w:top w:w="0" w:type="dxa"/>
          <w:left w:w="0" w:type="dxa"/>
          <w:bottom w:w="0" w:type="dxa"/>
          <w:right w:w="0" w:type="dxa"/>
        </w:tblCellMar>
      </w:tblPr>
      <w:tr>
        <w:trPr>
          <w:trHeight w:val="213"/>
        </w:trPr>
        <w:tc>
          <w:tcPr>
            <w:tcW w:w="6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w w:val="95"/>
              </w:rPr>
              <w:t>Three months ended</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ind w:left="640"/>
              <w:spacing w:after="0"/>
              <w:rPr>
                <w:sz w:val="20"/>
                <w:szCs w:val="20"/>
                <w:color w:val="auto"/>
              </w:rPr>
            </w:pPr>
            <w:r>
              <w:rPr>
                <w:rFonts w:ascii="Arial" w:cs="Arial" w:eastAsia="Arial" w:hAnsi="Arial"/>
                <w:sz w:val="16"/>
                <w:szCs w:val="16"/>
                <w:b w:val="1"/>
                <w:bCs w:val="1"/>
                <w:color w:val="auto"/>
                <w:w w:val="93"/>
              </w:rPr>
              <w:t>September 30,</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0"/>
        </w:trPr>
        <w:tc>
          <w:tcPr>
            <w:tcW w:w="6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w w:val="95"/>
              </w:rPr>
              <w:t>2022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26"/>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(GAAP)</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43,876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49,068</w:t>
            </w:r>
          </w:p>
        </w:tc>
        <w:tc>
          <w:tcPr>
            <w:tcW w:w="0" w:type="dxa"/>
            <w:vAlign w:val="bottom"/>
          </w:tcPr>
          <w:p>
            <w:pPr>
              <w:spacing w:after="0"/>
              <w:rPr>
                <w:sz w:val="1"/>
                <w:szCs w:val="1"/>
                <w:color w:val="auto"/>
              </w:rPr>
            </w:pPr>
          </w:p>
        </w:tc>
      </w:tr>
      <w:tr>
        <w:trPr>
          <w:trHeight w:val="230"/>
        </w:trPr>
        <w:tc>
          <w:tcPr>
            <w:tcW w:w="6240" w:type="dxa"/>
            <w:vAlign w:val="bottom"/>
          </w:tcPr>
          <w:p>
            <w:pPr>
              <w:ind w:left="340"/>
              <w:spacing w:after="0"/>
              <w:rPr>
                <w:sz w:val="20"/>
                <w:szCs w:val="20"/>
                <w:color w:val="auto"/>
              </w:rPr>
            </w:pPr>
            <w:r>
              <w:rPr>
                <w:rFonts w:ascii="Arial" w:cs="Arial" w:eastAsia="Arial" w:hAnsi="Arial"/>
                <w:sz w:val="16"/>
                <w:szCs w:val="16"/>
                <w:color w:val="auto"/>
              </w:rPr>
              <w:t>add: Stock-based compensation expense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17,067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11,511</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 Amortization of acquisition-related intangibles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0" w:type="dxa"/>
            <w:vAlign w:val="bottom"/>
          </w:tcPr>
          <w:p>
            <w:pPr>
              <w:spacing w:after="0"/>
              <w:rPr>
                <w:sz w:val="1"/>
                <w:szCs w:val="1"/>
                <w:color w:val="auto"/>
              </w:rPr>
            </w:pPr>
          </w:p>
        </w:tc>
      </w:tr>
      <w:tr>
        <w:trPr>
          <w:trHeight w:val="230"/>
        </w:trPr>
        <w:tc>
          <w:tcPr>
            <w:tcW w:w="6240" w:type="dxa"/>
            <w:vAlign w:val="bottom"/>
          </w:tcPr>
          <w:p>
            <w:pPr>
              <w:ind w:left="340"/>
              <w:spacing w:after="0"/>
              <w:rPr>
                <w:sz w:val="20"/>
                <w:szCs w:val="20"/>
                <w:color w:val="auto"/>
              </w:rPr>
            </w:pPr>
            <w:r>
              <w:rPr>
                <w:rFonts w:ascii="Arial" w:cs="Arial" w:eastAsia="Arial" w:hAnsi="Arial"/>
                <w:sz w:val="16"/>
                <w:szCs w:val="16"/>
                <w:color w:val="auto"/>
              </w:rPr>
              <w:t>add: Effects of changes in fair value of contingent consideration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 Allowance for expected credit losses (a)</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40" w:type="dxa"/>
            <w:vAlign w:val="bottom"/>
          </w:tcPr>
          <w:p>
            <w:pPr>
              <w:ind w:left="340"/>
              <w:spacing w:after="0"/>
              <w:rPr>
                <w:sz w:val="20"/>
                <w:szCs w:val="20"/>
                <w:color w:val="auto"/>
              </w:rPr>
            </w:pPr>
            <w:r>
              <w:rPr>
                <w:rFonts w:ascii="Arial" w:cs="Arial" w:eastAsia="Arial" w:hAnsi="Arial"/>
                <w:sz w:val="16"/>
                <w:szCs w:val="16"/>
                <w:color w:val="auto"/>
              </w:rPr>
              <w:t>add: Other expenses (b)</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subtract: Tax impact on stock-based compensation expense (c)</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29"/>
        </w:trPr>
        <w:tc>
          <w:tcPr>
            <w:tcW w:w="6240" w:type="dxa"/>
            <w:vAlign w:val="bottom"/>
          </w:tcPr>
          <w:p>
            <w:pPr>
              <w:ind w:left="340"/>
              <w:spacing w:after="0"/>
              <w:rPr>
                <w:sz w:val="20"/>
                <w:szCs w:val="20"/>
                <w:color w:val="auto"/>
              </w:rPr>
            </w:pPr>
            <w:r>
              <w:rPr>
                <w:rFonts w:ascii="Arial" w:cs="Arial" w:eastAsia="Arial" w:hAnsi="Arial"/>
                <w:sz w:val="16"/>
                <w:szCs w:val="16"/>
                <w:color w:val="auto"/>
              </w:rPr>
              <w:t>subtract: Tax impact on amortization of acquisition-related intangibles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subtract: Tax impact on allowance for expected credit losses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subtract: Tax impact on other expenses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net income (Non-GAAP)</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62,760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52,100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61,391</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Adjusted diluted earnings per share (Non-GAAP)</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40" w:type="dxa"/>
            <w:vAlign w:val="bottom"/>
            <w:vMerge w:val="continue"/>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0.37</w:t>
            </w:r>
          </w:p>
        </w:tc>
        <w:tc>
          <w:tcPr>
            <w:tcW w:w="10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0.31</w:t>
            </w: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0.36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ind w:left="480" w:hanging="229"/>
        <w:spacing w:after="0"/>
        <w:tabs>
          <w:tab w:leader="none" w:pos="48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the effects of material allowance for expected credit losses on accounts receivables related to a customer bankruptcy event.</w:t>
      </w:r>
    </w:p>
    <w:p>
      <w:pPr>
        <w:spacing w:after="0" w:line="126" w:lineRule="exact"/>
        <w:rPr>
          <w:rFonts w:ascii="Arial" w:cs="Arial" w:eastAsia="Arial" w:hAnsi="Arial"/>
          <w:sz w:val="16"/>
          <w:szCs w:val="16"/>
          <w:i w:val="1"/>
          <w:iCs w:val="1"/>
          <w:color w:val="auto"/>
        </w:rPr>
      </w:pPr>
    </w:p>
    <w:p>
      <w:pPr>
        <w:ind w:left="500" w:right="20" w:hanging="249"/>
        <w:spacing w:after="0" w:line="275" w:lineRule="auto"/>
        <w:tabs>
          <w:tab w:leader="none" w:pos="486"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certain expenses related to defined social security contribution plan in India for historical periods of $481 during the three months ended September 30, 2022, and to exclude the effects of lease termination of $578 during the three months ended June 30, 2023.</w:t>
      </w:r>
    </w:p>
    <w:p>
      <w:pPr>
        <w:spacing w:after="0" w:line="64" w:lineRule="exact"/>
        <w:rPr>
          <w:rFonts w:ascii="Arial" w:cs="Arial" w:eastAsia="Arial" w:hAnsi="Arial"/>
          <w:sz w:val="16"/>
          <w:szCs w:val="16"/>
          <w:i w:val="1"/>
          <w:iCs w:val="1"/>
          <w:color w:val="auto"/>
        </w:rPr>
      </w:pPr>
    </w:p>
    <w:p>
      <w:pPr>
        <w:ind w:left="500" w:hanging="249"/>
        <w:spacing w:after="0" w:line="328" w:lineRule="auto"/>
        <w:tabs>
          <w:tab w:leader="none" w:pos="491" w:val="left"/>
        </w:tabs>
        <w:numPr>
          <w:ilvl w:val="0"/>
          <w:numId w:val="12"/>
        </w:numPr>
        <w:rPr>
          <w:rFonts w:ascii="Arial" w:cs="Arial" w:eastAsia="Arial" w:hAnsi="Arial"/>
          <w:sz w:val="15"/>
          <w:szCs w:val="15"/>
          <w:i w:val="1"/>
          <w:iCs w:val="1"/>
          <w:color w:val="auto"/>
        </w:rPr>
      </w:pPr>
      <w:r>
        <w:rPr>
          <w:rFonts w:ascii="Arial" w:cs="Arial" w:eastAsia="Arial" w:hAnsi="Arial"/>
          <w:sz w:val="15"/>
          <w:szCs w:val="15"/>
          <w:i w:val="1"/>
          <w:iCs w:val="1"/>
          <w:color w:val="auto"/>
        </w:rPr>
        <w:t>Tax impact includes $462 and ($92) during the three months ended September 30, 2023 and 2022 respectively, and $190 during the three months ended June 30, 2023, related to discrete benefits recognized in income tax expense in accordance with ASU No. 2016-09, Compensation - Stock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Kristoff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+1 212 209 4613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ir@exlservice.com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 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Keith Little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+1 703 598 0980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media.relations@exlservice.com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 UK, Europe, and APAC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Anna Price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Light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+44 202 617 7240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exlteam@firstlightgroup.io</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 India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Shailendra Singh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+91 9810476075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shailendra.singh@exlservice.com</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lowerRoman"/>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2023-10-26T05:32:02Z</dcterms:created>
  <dcterms:modified xsi:type="dcterms:W3CDTF">2023-10-26T05:32:02Z</dcterms:modified>
</cp:coreProperties>
</file>