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Date of Report (Date of earliest event reported): June 17, 2011</w:t>
      </w:r>
    </w:p>
    <w:p>
      <w:pPr>
        <w:spacing w:after="0" w:line="29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229" w:right="799" w:bottom="1440" w:gutter="0" w:footer="0" w:header="0"/>
        </w:sectPr>
      </w:pPr>
    </w:p>
    <w:p>
      <w:pPr>
        <w:spacing w:after="0" w:line="26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020"/>
          </w:cols>
          <w:pgMar w:left="240" w:top="229" w:right="799" w:bottom="1440" w:gutter="0" w:footer="0" w:header="0"/>
          <w:type w:val="continuous"/>
        </w:sectPr>
      </w:pPr>
    </w:p>
    <w:p>
      <w:pPr>
        <w:spacing w:after="0" w:line="61" w:lineRule="exact"/>
        <w:rPr>
          <w:sz w:val="24"/>
          <w:szCs w:val="24"/>
          <w:color w:val="auto"/>
        </w:rPr>
      </w:pPr>
    </w:p>
    <w:p>
      <w:pPr>
        <w:ind w:left="3240" w:firstLine="1296"/>
        <w:spacing w:after="0" w:line="365" w:lineRule="auto"/>
        <w:rPr>
          <w:sz w:val="20"/>
          <w:szCs w:val="20"/>
          <w:color w:val="auto"/>
        </w:rPr>
      </w:pPr>
      <w:r>
        <w:rPr>
          <w:rFonts w:ascii="Arial" w:cs="Arial" w:eastAsia="Arial" w:hAnsi="Arial"/>
          <w:sz w:val="18"/>
          <w:szCs w:val="18"/>
          <w:b w:val="1"/>
          <w:bCs w:val="1"/>
          <w:color w:val="auto"/>
        </w:rPr>
        <w:t xml:space="preserve">280 Park Avenue, 38th Floor New York, New York 10017 </w:t>
      </w:r>
      <w:r>
        <w:rPr>
          <w:rFonts w:ascii="Arial" w:cs="Arial" w:eastAsia="Arial" w:hAnsi="Arial"/>
          <w:sz w:val="18"/>
          <w:szCs w:val="18"/>
          <w:color w:val="auto"/>
        </w:rPr>
        <w:t>(Address of principal executive offices) 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301" w:lineRule="exact"/>
        <w:rPr>
          <w:sz w:val="24"/>
          <w:szCs w:val="24"/>
          <w:color w:val="auto"/>
        </w:rPr>
      </w:pPr>
    </w:p>
    <w:p>
      <w:pPr>
        <w:sectPr>
          <w:pgSz w:w="11900" w:h="16838" w:orient="portrait"/>
          <w:cols w:equalWidth="0" w:num="2">
            <w:col w:w="7060" w:space="0"/>
            <w:col w:w="3800"/>
          </w:cols>
          <w:pgMar w:left="240" w:top="229" w:right="799" w:bottom="1440" w:gutter="0" w:footer="0" w:header="0"/>
          <w:type w:val="continuous"/>
        </w:sect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229" w:right="7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firstLine="486"/>
        <w:spacing w:after="0" w:line="334" w:lineRule="auto"/>
        <w:rPr>
          <w:sz w:val="20"/>
          <w:szCs w:val="20"/>
          <w:color w:val="auto"/>
        </w:rPr>
      </w:pPr>
      <w:r>
        <w:rPr>
          <w:rFonts w:ascii="Arial" w:cs="Arial" w:eastAsia="Arial" w:hAnsi="Arial"/>
          <w:sz w:val="16"/>
          <w:szCs w:val="16"/>
          <w:color w:val="auto"/>
        </w:rPr>
        <w:t>On June 17, 2011, ExlService Holdings, Inc. (the “Company”) held its annual meeting of stockholders. The matters voted upon were: (1) the election of three Class II members of the board of directors of the Company, (2) the ratification of the selection of Ernst &amp; Young LLP as the independent registered</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public accounting firm of the Company for fiscal year 2011, (3) the approval of the compensation of the named executive officers of the Company and (4) the determination of how frequently the stockholders should hold a non-binding advisory vote to approve the compensation of the named executive officers of the Company.</w:t>
      </w:r>
    </w:p>
    <w:p>
      <w:pPr>
        <w:spacing w:after="0" w:line="17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Each of the three nominees for election to the board of directors was duly elected to serve as a director until the annual meeting of stockholders in 2014 or until his successor is duly elected and qualified in accordance with the by-laws of the Company. The results of the voting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ind w:left="40"/>
              <w:spacing w:after="0"/>
              <w:rPr>
                <w:sz w:val="20"/>
                <w:szCs w:val="20"/>
                <w:color w:val="auto"/>
              </w:rPr>
            </w:pPr>
            <w:r>
              <w:rPr>
                <w:rFonts w:ascii="Arial" w:cs="Arial" w:eastAsia="Arial" w:hAnsi="Arial"/>
                <w:sz w:val="18"/>
                <w:szCs w:val="18"/>
                <w:b w:val="1"/>
                <w:bCs w:val="1"/>
                <w:color w:val="auto"/>
              </w:rPr>
              <w:t>Nominees</w:t>
            </w:r>
          </w:p>
        </w:tc>
        <w:tc>
          <w:tcPr>
            <w:tcW w:w="3180" w:type="dxa"/>
            <w:vAlign w:val="bottom"/>
          </w:tcPr>
          <w:p>
            <w:pPr>
              <w:jc w:val="center"/>
              <w:ind w:left="210"/>
              <w:spacing w:after="0"/>
              <w:rPr>
                <w:sz w:val="20"/>
                <w:szCs w:val="20"/>
                <w:color w:val="auto"/>
              </w:rPr>
            </w:pPr>
            <w:r>
              <w:rPr>
                <w:rFonts w:ascii="Arial" w:cs="Arial" w:eastAsia="Arial" w:hAnsi="Arial"/>
                <w:sz w:val="18"/>
                <w:szCs w:val="18"/>
                <w:b w:val="1"/>
                <w:bCs w:val="1"/>
                <w:color w:val="auto"/>
                <w:w w:val="96"/>
              </w:rPr>
              <w:t>For</w:t>
            </w:r>
          </w:p>
        </w:tc>
        <w:tc>
          <w:tcPr>
            <w:tcW w:w="2680" w:type="dxa"/>
            <w:vAlign w:val="bottom"/>
          </w:tcPr>
          <w:p>
            <w:pPr>
              <w:ind w:left="1040"/>
              <w:spacing w:after="0"/>
              <w:rPr>
                <w:sz w:val="20"/>
                <w:szCs w:val="20"/>
                <w:color w:val="auto"/>
              </w:rPr>
            </w:pPr>
            <w:r>
              <w:rPr>
                <w:rFonts w:ascii="Arial" w:cs="Arial" w:eastAsia="Arial" w:hAnsi="Arial"/>
                <w:sz w:val="18"/>
                <w:szCs w:val="18"/>
                <w:b w:val="1"/>
                <w:bCs w:val="1"/>
                <w:color w:val="auto"/>
              </w:rPr>
              <w:t>Withhold</w:t>
            </w:r>
          </w:p>
        </w:tc>
        <w:tc>
          <w:tcPr>
            <w:tcW w:w="30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254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David B. Kelso</w:t>
            </w:r>
          </w:p>
        </w:tc>
        <w:tc>
          <w:tcPr>
            <w:tcW w:w="3180" w:type="dxa"/>
            <w:vAlign w:val="bottom"/>
            <w:tcBorders>
              <w:bottom w:val="single" w:sz="8" w:color="C6F4F9"/>
            </w:tcBorders>
            <w:shd w:val="clear" w:color="auto" w:fill="C6F4F9"/>
          </w:tcPr>
          <w:p>
            <w:pPr>
              <w:jc w:val="center"/>
              <w:ind w:left="210"/>
              <w:spacing w:after="0"/>
              <w:rPr>
                <w:sz w:val="20"/>
                <w:szCs w:val="20"/>
                <w:color w:val="auto"/>
              </w:rPr>
            </w:pPr>
            <w:r>
              <w:rPr>
                <w:rFonts w:ascii="Arial" w:cs="Arial" w:eastAsia="Arial" w:hAnsi="Arial"/>
                <w:sz w:val="18"/>
                <w:szCs w:val="18"/>
                <w:color w:val="auto"/>
                <w:w w:val="88"/>
              </w:rPr>
              <w:t>26,082,141</w:t>
            </w:r>
          </w:p>
        </w:tc>
        <w:tc>
          <w:tcPr>
            <w:tcW w:w="2680" w:type="dxa"/>
            <w:vAlign w:val="bottom"/>
            <w:tcBorders>
              <w:bottom w:val="single" w:sz="8" w:color="C6F4F9"/>
            </w:tcBorders>
            <w:shd w:val="clear" w:color="auto" w:fill="C6F4F9"/>
          </w:tcPr>
          <w:p>
            <w:pPr>
              <w:jc w:val="center"/>
              <w:ind w:left="50"/>
              <w:spacing w:after="0"/>
              <w:rPr>
                <w:sz w:val="20"/>
                <w:szCs w:val="20"/>
                <w:color w:val="auto"/>
              </w:rPr>
            </w:pPr>
            <w:r>
              <w:rPr>
                <w:rFonts w:ascii="Arial" w:cs="Arial" w:eastAsia="Arial" w:hAnsi="Arial"/>
                <w:sz w:val="18"/>
                <w:szCs w:val="18"/>
                <w:color w:val="auto"/>
                <w:w w:val="89"/>
              </w:rPr>
              <w:t>124,124</w:t>
            </w:r>
          </w:p>
        </w:tc>
        <w:tc>
          <w:tcPr>
            <w:tcW w:w="3020" w:type="dxa"/>
            <w:vAlign w:val="bottom"/>
            <w:tcBorders>
              <w:bottom w:val="single" w:sz="8" w:color="C6F4F9"/>
            </w:tcBorders>
            <w:shd w:val="clear" w:color="auto" w:fill="C6F4F9"/>
          </w:tcPr>
          <w:p>
            <w:pPr>
              <w:jc w:val="center"/>
              <w:ind w:left="70"/>
              <w:spacing w:after="0"/>
              <w:rPr>
                <w:sz w:val="20"/>
                <w:szCs w:val="20"/>
                <w:color w:val="auto"/>
              </w:rPr>
            </w:pPr>
            <w:r>
              <w:rPr>
                <w:rFonts w:ascii="Arial" w:cs="Arial" w:eastAsia="Arial" w:hAnsi="Arial"/>
                <w:sz w:val="18"/>
                <w:szCs w:val="18"/>
                <w:color w:val="auto"/>
                <w:w w:val="89"/>
              </w:rPr>
              <w:t>938,138</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Clyde W. Ostler</w:t>
            </w:r>
          </w:p>
        </w:tc>
        <w:tc>
          <w:tcPr>
            <w:tcW w:w="3180" w:type="dxa"/>
            <w:vAlign w:val="bottom"/>
          </w:tcPr>
          <w:p>
            <w:pPr>
              <w:jc w:val="center"/>
              <w:ind w:left="210"/>
              <w:spacing w:after="0"/>
              <w:rPr>
                <w:sz w:val="20"/>
                <w:szCs w:val="20"/>
                <w:color w:val="auto"/>
              </w:rPr>
            </w:pPr>
            <w:r>
              <w:rPr>
                <w:rFonts w:ascii="Arial" w:cs="Arial" w:eastAsia="Arial" w:hAnsi="Arial"/>
                <w:sz w:val="18"/>
                <w:szCs w:val="18"/>
                <w:color w:val="auto"/>
                <w:w w:val="88"/>
              </w:rPr>
              <w:t>26,016,704</w:t>
            </w:r>
          </w:p>
        </w:tc>
        <w:tc>
          <w:tcPr>
            <w:tcW w:w="2680" w:type="dxa"/>
            <w:vAlign w:val="bottom"/>
          </w:tcPr>
          <w:p>
            <w:pPr>
              <w:jc w:val="center"/>
              <w:ind w:left="50"/>
              <w:spacing w:after="0"/>
              <w:rPr>
                <w:sz w:val="20"/>
                <w:szCs w:val="20"/>
                <w:color w:val="auto"/>
              </w:rPr>
            </w:pPr>
            <w:r>
              <w:rPr>
                <w:rFonts w:ascii="Arial" w:cs="Arial" w:eastAsia="Arial" w:hAnsi="Arial"/>
                <w:sz w:val="18"/>
                <w:szCs w:val="18"/>
                <w:color w:val="auto"/>
                <w:w w:val="89"/>
              </w:rPr>
              <w:t>189,561</w:t>
            </w:r>
          </w:p>
        </w:tc>
        <w:tc>
          <w:tcPr>
            <w:tcW w:w="3020" w:type="dxa"/>
            <w:vAlign w:val="bottom"/>
          </w:tcPr>
          <w:p>
            <w:pPr>
              <w:jc w:val="center"/>
              <w:ind w:left="70"/>
              <w:spacing w:after="0"/>
              <w:rPr>
                <w:sz w:val="20"/>
                <w:szCs w:val="20"/>
                <w:color w:val="auto"/>
              </w:rPr>
            </w:pPr>
            <w:r>
              <w:rPr>
                <w:rFonts w:ascii="Arial" w:cs="Arial" w:eastAsia="Arial" w:hAnsi="Arial"/>
                <w:sz w:val="18"/>
                <w:szCs w:val="18"/>
                <w:color w:val="auto"/>
                <w:w w:val="89"/>
              </w:rPr>
              <w:t>938,138</w:t>
            </w:r>
          </w:p>
        </w:tc>
      </w:tr>
      <w:tr>
        <w:trPr>
          <w:trHeight w:val="27"/>
        </w:trPr>
        <w:tc>
          <w:tcPr>
            <w:tcW w:w="2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2540" w:type="dxa"/>
            <w:vAlign w:val="bottom"/>
            <w:shd w:val="clear" w:color="auto" w:fill="C6F4F9"/>
          </w:tcPr>
          <w:p>
            <w:pPr>
              <w:ind w:left="40"/>
              <w:spacing w:after="0"/>
              <w:rPr>
                <w:sz w:val="20"/>
                <w:szCs w:val="20"/>
                <w:color w:val="auto"/>
              </w:rPr>
            </w:pPr>
            <w:r>
              <w:rPr>
                <w:rFonts w:ascii="Arial" w:cs="Arial" w:eastAsia="Arial" w:hAnsi="Arial"/>
                <w:sz w:val="18"/>
                <w:szCs w:val="18"/>
                <w:color w:val="auto"/>
              </w:rPr>
              <w:t>Vikram Talwar</w:t>
            </w:r>
          </w:p>
        </w:tc>
        <w:tc>
          <w:tcPr>
            <w:tcW w:w="3180" w:type="dxa"/>
            <w:vAlign w:val="bottom"/>
            <w:shd w:val="clear" w:color="auto" w:fill="C6F4F9"/>
          </w:tcPr>
          <w:p>
            <w:pPr>
              <w:jc w:val="center"/>
              <w:ind w:left="210"/>
              <w:spacing w:after="0"/>
              <w:rPr>
                <w:sz w:val="20"/>
                <w:szCs w:val="20"/>
                <w:color w:val="auto"/>
              </w:rPr>
            </w:pPr>
            <w:r>
              <w:rPr>
                <w:rFonts w:ascii="Arial" w:cs="Arial" w:eastAsia="Arial" w:hAnsi="Arial"/>
                <w:sz w:val="18"/>
                <w:szCs w:val="18"/>
                <w:color w:val="auto"/>
                <w:w w:val="88"/>
              </w:rPr>
              <w:t>19,188,826</w:t>
            </w:r>
          </w:p>
        </w:tc>
        <w:tc>
          <w:tcPr>
            <w:tcW w:w="268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7,017,439</w:t>
            </w:r>
          </w:p>
        </w:tc>
        <w:tc>
          <w:tcPr>
            <w:tcW w:w="3020" w:type="dxa"/>
            <w:vAlign w:val="bottom"/>
            <w:shd w:val="clear" w:color="auto" w:fill="C6F4F9"/>
          </w:tcPr>
          <w:p>
            <w:pPr>
              <w:jc w:val="center"/>
              <w:ind w:left="70"/>
              <w:spacing w:after="0"/>
              <w:rPr>
                <w:sz w:val="20"/>
                <w:szCs w:val="20"/>
                <w:color w:val="auto"/>
              </w:rPr>
            </w:pPr>
            <w:r>
              <w:rPr>
                <w:rFonts w:ascii="Arial" w:cs="Arial" w:eastAsia="Arial" w:hAnsi="Arial"/>
                <w:sz w:val="18"/>
                <w:szCs w:val="18"/>
                <w:color w:val="auto"/>
                <w:w w:val="89"/>
              </w:rPr>
              <w:t>938,138</w:t>
            </w:r>
          </w:p>
        </w:tc>
      </w:tr>
      <w:tr>
        <w:trPr>
          <w:trHeight w:val="27"/>
        </w:trPr>
        <w:tc>
          <w:tcPr>
            <w:tcW w:w="2540" w:type="dxa"/>
            <w:vAlign w:val="bottom"/>
            <w:shd w:val="clear" w:color="auto" w:fill="C6F4F9"/>
          </w:tcPr>
          <w:p>
            <w:pPr>
              <w:spacing w:after="0"/>
              <w:rPr>
                <w:sz w:val="2"/>
                <w:szCs w:val="2"/>
                <w:color w:val="auto"/>
              </w:rPr>
            </w:pPr>
          </w:p>
        </w:tc>
        <w:tc>
          <w:tcPr>
            <w:tcW w:w="3180" w:type="dxa"/>
            <w:vAlign w:val="bottom"/>
            <w:shd w:val="clear" w:color="auto" w:fill="C6F4F9"/>
          </w:tcPr>
          <w:p>
            <w:pPr>
              <w:spacing w:after="0"/>
              <w:rPr>
                <w:sz w:val="2"/>
                <w:szCs w:val="2"/>
                <w:color w:val="auto"/>
              </w:rPr>
            </w:pPr>
          </w:p>
        </w:tc>
        <w:tc>
          <w:tcPr>
            <w:tcW w:w="2680" w:type="dxa"/>
            <w:vAlign w:val="bottom"/>
            <w:shd w:val="clear" w:color="auto" w:fill="C6F4F9"/>
          </w:tcPr>
          <w:p>
            <w:pPr>
              <w:spacing w:after="0"/>
              <w:rPr>
                <w:sz w:val="2"/>
                <w:szCs w:val="2"/>
                <w:color w:val="auto"/>
              </w:rPr>
            </w:pPr>
          </w:p>
        </w:tc>
        <w:tc>
          <w:tcPr>
            <w:tcW w:w="3020" w:type="dxa"/>
            <w:vAlign w:val="bottom"/>
            <w:shd w:val="clear" w:color="auto" w:fill="C6F4F9"/>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2011 was approved. The results of the voting were as follows:</w:t>
      </w:r>
    </w:p>
    <w:p>
      <w:pPr>
        <w:sectPr>
          <w:pgSz w:w="11900" w:h="16838" w:orient="portrait"/>
          <w:cols w:equalWidth="0" w:num="1">
            <w:col w:w="11420"/>
          </w:cols>
          <w:pgMar w:left="240" w:top="540" w:right="239" w:bottom="1440" w:gutter="0" w:footer="0" w:header="0"/>
        </w:sectPr>
      </w:pPr>
    </w:p>
    <w:p>
      <w:pPr>
        <w:spacing w:after="0" w:line="22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26,949,029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Against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195,374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Abstain</w:t>
      </w:r>
    </w:p>
    <w:p>
      <w:pPr>
        <w:spacing w:after="0" w:line="5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Broker Non-Vote</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260" w:space="720"/>
            <w:col w:w="2140" w:space="720"/>
            <w:col w:w="1780" w:space="720"/>
            <w:col w:w="2080"/>
          </w:cols>
          <w:pgMar w:left="240" w:top="540" w:right="23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proposal to approve the compensation of the named executive officers of the Company was approved. The results of the voting were as follows:</w:t>
      </w:r>
    </w:p>
    <w:p>
      <w:pPr>
        <w:sectPr>
          <w:pgSz w:w="11900" w:h="16838" w:orient="portrait"/>
          <w:cols w:equalWidth="0" w:num="1">
            <w:col w:w="11420"/>
          </w:cols>
          <w:pgMar w:left="240" w:top="540" w:right="239" w:bottom="1440" w:gutter="0" w:footer="0" w:header="0"/>
          <w:type w:val="continuous"/>
        </w:sectPr>
      </w:pPr>
    </w:p>
    <w:p>
      <w:pPr>
        <w:spacing w:after="0" w:line="29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26,049,705</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Against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136,660</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19,900</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Broker Non-Vote</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938,138</w:t>
      </w:r>
    </w:p>
    <w:p>
      <w:pPr>
        <w:spacing w:after="0" w:line="200" w:lineRule="exact"/>
        <w:rPr>
          <w:sz w:val="20"/>
          <w:szCs w:val="20"/>
          <w:color w:val="auto"/>
        </w:rPr>
      </w:pPr>
    </w:p>
    <w:p>
      <w:pPr>
        <w:sectPr>
          <w:pgSz w:w="11900" w:h="16838" w:orient="portrait"/>
          <w:cols w:equalWidth="0" w:num="4">
            <w:col w:w="3260" w:space="720"/>
            <w:col w:w="2140" w:space="720"/>
            <w:col w:w="1780" w:space="720"/>
            <w:col w:w="2080"/>
          </w:cols>
          <w:pgMar w:left="240" w:top="540" w:right="23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stockholders approved holding a non-binding advisory vote every year to approve the compensation of the named executive officers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The results of the voting were as follows:</w:t>
      </w:r>
    </w:p>
    <w:p>
      <w:pPr>
        <w:sectPr>
          <w:pgSz w:w="11900" w:h="16838" w:orient="portrait"/>
          <w:cols w:equalWidth="0" w:num="1">
            <w:col w:w="11420"/>
          </w:cols>
          <w:pgMar w:left="240" w:top="540" w:right="239" w:bottom="1440" w:gutter="0" w:footer="0" w:header="0"/>
          <w:type w:val="continuous"/>
        </w:sect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Every Year</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22,996,712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Every Two Years</w:t>
      </w:r>
    </w:p>
    <w:p>
      <w:pPr>
        <w:spacing w:after="0" w:line="5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11,303</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Every Three Years</w:t>
      </w:r>
    </w:p>
    <w:p>
      <w:pPr>
        <w:spacing w:after="0" w:line="5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3,196,332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Abstain</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1,918</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Broker Non-Vote</w:t>
      </w:r>
    </w:p>
    <w:p>
      <w:pPr>
        <w:spacing w:after="0" w:line="5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938,138</w:t>
      </w:r>
    </w:p>
    <w:p>
      <w:pPr>
        <w:spacing w:after="0" w:line="200" w:lineRule="exact"/>
        <w:rPr>
          <w:sz w:val="20"/>
          <w:szCs w:val="20"/>
          <w:color w:val="auto"/>
        </w:rPr>
      </w:pPr>
    </w:p>
    <w:p>
      <w:pPr>
        <w:sectPr>
          <w:pgSz w:w="11900" w:h="16838" w:orient="portrait"/>
          <w:cols w:equalWidth="0" w:num="5">
            <w:col w:w="2080" w:space="720"/>
            <w:col w:w="1700" w:space="720"/>
            <w:col w:w="1820" w:space="720"/>
            <w:col w:w="1020" w:space="720"/>
            <w:col w:w="1920"/>
          </w:cols>
          <w:pgMar w:left="240" w:top="540" w:right="239" w:bottom="1440" w:gutter="0" w:footer="0" w:header="0"/>
          <w:type w:val="continuous"/>
        </w:sectPr>
      </w:pPr>
    </w:p>
    <w:p>
      <w:pPr>
        <w:spacing w:after="0" w:line="3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board of directors of the Company has determined to include a non−binding advisory vote on executive compensation at each annual meeting of stockholders until the next required vote on the frequency of shareholder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5700" w:val="left"/>
          <w:tab w:leader="none" w:pos="6100" w:val="left"/>
        </w:tabs>
        <w:rPr>
          <w:sz w:val="20"/>
          <w:szCs w:val="20"/>
          <w:color w:val="auto"/>
        </w:rPr>
      </w:pPr>
      <w:r>
        <w:rPr>
          <w:rFonts w:ascii="Arial" w:cs="Arial" w:eastAsia="Arial" w:hAnsi="Arial"/>
          <w:sz w:val="18"/>
          <w:szCs w:val="18"/>
          <w:color w:val="auto"/>
        </w:rPr>
        <w:t>Date: June 20,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780"/>
      </w:cols>
      <w:pgMar w:left="240" w:top="54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2019-12-11T00:03:20Z</dcterms:created>
  <dcterms:modified xsi:type="dcterms:W3CDTF">2019-12-11T00:03:20Z</dcterms:modified>
</cp:coreProperties>
</file>