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12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12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120" w:type="dxa"/>
            <w:vAlign w:val="bottom"/>
            <w:gridSpan w:val="9"/>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12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4"/>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6"/>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4"/>
              </w:rPr>
              <w:t>9,375</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ind w:right="54"/>
              <w:spacing w:after="0"/>
              <w:rPr>
                <w:sz w:val="20"/>
                <w:szCs w:val="20"/>
                <w:color w:val="auto"/>
              </w:rPr>
            </w:pPr>
            <w:r>
              <w:rPr>
                <w:rFonts w:ascii="Arial" w:cs="Arial" w:eastAsia="Arial" w:hAnsi="Arial"/>
                <w:sz w:val="11"/>
                <w:szCs w:val="11"/>
                <w:color w:val="008000"/>
              </w:rPr>
              <w:t>(1)</w:t>
            </w:r>
          </w:p>
        </w:tc>
        <w:tc>
          <w:tcPr>
            <w:tcW w:w="138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9"/>
              </w:rPr>
              <w:t>285,606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4"/>
              </w:rPr>
              <w:t>1,204</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ind w:right="54"/>
              <w:spacing w:after="0"/>
              <w:rPr>
                <w:sz w:val="20"/>
                <w:szCs w:val="20"/>
                <w:color w:val="auto"/>
              </w:rPr>
            </w:pPr>
            <w:r>
              <w:rPr>
                <w:rFonts w:ascii="Arial" w:cs="Arial" w:eastAsia="Arial" w:hAnsi="Arial"/>
                <w:sz w:val="11"/>
                <w:szCs w:val="11"/>
                <w:color w:val="008000"/>
              </w:rPr>
              <w:t>(1)</w:t>
            </w:r>
          </w:p>
        </w:tc>
        <w:tc>
          <w:tcPr>
            <w:tcW w:w="138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9"/>
              </w:rPr>
              <w:t>286,810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1"/>
          </w:tcPr>
          <w:p>
            <w:pPr>
              <w:jc w:val="right"/>
              <w:ind w:right="14"/>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18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18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(8)</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9,375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02/13/2016</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9,375</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0000FF"/>
              </w:rPr>
              <w:t>18,750</w:t>
            </w:r>
          </w:p>
        </w:tc>
        <w:tc>
          <w:tcPr>
            <w:tcW w:w="68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18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(9)</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1,204</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02/13/2016</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1,204</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0000FF"/>
              </w:rPr>
              <w:t>1,205</w:t>
            </w:r>
          </w:p>
        </w:tc>
        <w:tc>
          <w:tcPr>
            <w:tcW w:w="280" w:type="dxa"/>
            <w:vAlign w:val="bottom"/>
          </w:tcPr>
          <w:p>
            <w:pPr>
              <w:spacing w:after="0"/>
              <w:rPr>
                <w:sz w:val="12"/>
                <w:szCs w:val="12"/>
                <w:color w:val="auto"/>
              </w:rPr>
            </w:pPr>
          </w:p>
        </w:tc>
        <w:tc>
          <w:tcPr>
            <w:tcW w:w="68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37,500 restricted stock units, vesting in four equal annual installments beginning on the first anniversary of the grant date. 9,375 restricted stock units became vested on February 13, 2015, an additional 9,375 restricted stock units became vested on February 13, 2016, an additional 9,375 restricted stock units will vest on February 13, 2017, and the remaining balance i/n/o 9,375 restricted stock units will vest on February 13, 2018.</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2013, the reporting person was granted 3,612 restricted stock units, vesting in three annual installments beginning on the first anniversary of the grant date. 1,203 restricted stock units</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became vested on February 13, 2015, an additional 1,204 restricted stock units became vested on February 13, 2016, and the remaining balance i/n/o 1,205 restricted stock units will vest on February 13,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02/17/2016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2019-12-08T02:28:48Z</dcterms:created>
  <dcterms:modified xsi:type="dcterms:W3CDTF">2019-12-08T02:28:48Z</dcterms:modified>
</cp:coreProperties>
</file>