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216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21665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Bhalla Vikas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94"/>
        <w:spacing w:after="0"/>
        <w:rPr>
          <w:sz w:val="20"/>
          <w:szCs w:val="20"/>
          <w:color w:val="auto"/>
        </w:rPr>
      </w:pPr>
      <w:r>
        <w:rPr>
          <w:rFonts w:ascii="Times New Roman" w:cs="Times New Roman" w:eastAsia="Times New Roman" w:hAnsi="Times New Roman"/>
          <w:sz w:val="17"/>
          <w:szCs w:val="17"/>
          <w:color w:val="0000FF"/>
        </w:rPr>
        <w:t>President of EXL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5,435</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154,711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2,120</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30.04</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152,591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4,400</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156,991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02/17/2026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1,716</w:t>
            </w:r>
          </w:p>
        </w:tc>
        <w:tc>
          <w:tcPr>
            <w:tcW w:w="680" w:type="dxa"/>
            <w:vAlign w:val="bottom"/>
            <w:tcBorders>
              <w:bottom w:val="single" w:sz="8" w:color="2C2C2C"/>
            </w:tcBorders>
          </w:tcPr>
          <w:p>
            <w:pPr>
              <w:jc w:val="right"/>
              <w:ind w:right="13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30.04</w:t>
            </w:r>
            <w:r>
              <w:rPr>
                <w:rFonts w:ascii="Times New Roman" w:cs="Times New Roman" w:eastAsia="Times New Roman" w:hAnsi="Times New Roman"/>
                <w:sz w:val="21"/>
                <w:szCs w:val="21"/>
                <w:color w:val="008000"/>
                <w:w w:val="99"/>
                <w:vertAlign w:val="superscript"/>
              </w:rPr>
              <w:t>(2)</w:t>
            </w:r>
          </w:p>
        </w:tc>
        <w:tc>
          <w:tcPr>
            <w:tcW w:w="116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155,275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5,435</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5,435</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4,400</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02/17/2026</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4,400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4,400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4,348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became vested on February 16, 2025, and the remaining balance of 25 percent of the restricted stock units became vested on February 16, 2026.</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3,520 (pre-split) restricted stock units, vesting in four equal annual installments beginning on the first anniversary of the grant date. 25 percent of the restricted stock units became vested on February 15, 2024, an additional 25 percent of the restricted stock units became vested on February 15, 2025, an additional 25 percent of the restricted stock units became vested on February 15, 2026, and the remaining balance of 25 percent of the restricted stock units will vest on February 15, 2027.</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02/19/2026</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73633"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2026-02-19T17:06:43Z</dcterms:created>
  <dcterms:modified xsi:type="dcterms:W3CDTF">2026-02-19T17:06:43Z</dcterms:modified>
</cp:coreProperties>
</file>