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319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&amp; Vice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319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1,167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227,386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207,071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-1611630</wp:posOffset>
            </wp:positionV>
            <wp:extent cx="6964045" cy="30378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303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319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Common Stock, par value $0.001 per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share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177,134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-5278120</wp:posOffset>
            </wp:positionH>
            <wp:positionV relativeFrom="paragraph">
              <wp:posOffset>3810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600" w:space="720"/>
            <w:col w:w="2680"/>
          </w:cols>
          <w:pgMar w:left="460" w:top="219" w:right="439" w:bottom="319" w:gutter="0" w:footer="0" w:header="0"/>
          <w:type w:val="continuous"/>
        </w:sect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10b5-1 plan previously entered into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sale was made pursuant to a 10b5-1 plan previously entered into by the Rohit Kapoor 2016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2016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Shikha Kapoor 2005 Family Trust.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Oseni is the Company's Head of Administration and Accounts.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63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31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363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2020-12-08T17:12:05Z</dcterms:created>
  <dcterms:modified xsi:type="dcterms:W3CDTF">2020-12-08T17:12:05Z</dcterms:modified>
</cp:coreProperties>
</file>