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6879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687959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520"/>
          </w:cols>
          <w:pgMar w:left="460" w:top="219" w:right="4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Kapoor Rohit</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320 PARK AVENUE, 29TH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175"/>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ExlService Holdings,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EXLS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08/29/2024</w:t>
      </w:r>
    </w:p>
    <w:p>
      <w:pPr>
        <w:spacing w:after="0" w:line="20" w:lineRule="exact"/>
        <w:rPr>
          <w:sz w:val="24"/>
          <w:szCs w:val="24"/>
          <w:color w:val="auto"/>
        </w:rPr>
      </w:pPr>
      <w:r>
        <w:rPr>
          <w:sz w:val="24"/>
          <w:szCs w:val="24"/>
          <w:color w:val="auto"/>
        </w:rPr>
        <w:br w:type="column"/>
      </w:r>
    </w:p>
    <w:p>
      <w:pPr>
        <w:ind w:left="5" w:right="46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45"/>
        <w:spacing w:after="0"/>
        <w:rPr>
          <w:sz w:val="20"/>
          <w:szCs w:val="20"/>
          <w:color w:val="auto"/>
        </w:rPr>
      </w:pPr>
      <w:r>
        <w:rPr>
          <w:rFonts w:ascii="Times New Roman" w:cs="Times New Roman" w:eastAsia="Times New Roman" w:hAnsi="Times New Roman"/>
          <w:sz w:val="17"/>
          <w:szCs w:val="17"/>
          <w:color w:val="0000FF"/>
        </w:rPr>
        <w:t>Chairman &amp; CEO</w:t>
      </w:r>
    </w:p>
    <w:p>
      <w:pPr>
        <w:spacing w:after="0" w:line="279" w:lineRule="exact"/>
        <w:rPr>
          <w:sz w:val="24"/>
          <w:szCs w:val="24"/>
          <w:color w:val="auto"/>
        </w:rPr>
      </w:pPr>
    </w:p>
    <w:p>
      <w:pPr>
        <w:sectPr>
          <w:pgSz w:w="11900" w:h="16838" w:orient="portrait"/>
          <w:cols w:equalWidth="0" w:num="3">
            <w:col w:w="3200" w:space="720"/>
            <w:col w:w="3095" w:space="720"/>
            <w:col w:w="3265"/>
          </w:cols>
          <w:pgMar w:left="460" w:top="219" w:right="439" w:bottom="0" w:gutter="0" w:footer="0" w:header="0"/>
          <w:type w:val="continuous"/>
        </w:sectPr>
      </w:pPr>
    </w:p>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29"/>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shd w:val="clear" w:color="auto" w:fill="9A9A9A"/>
          </w:tcPr>
          <w:p>
            <w:pPr>
              <w:spacing w:after="0"/>
              <w:rPr>
                <w:sz w:val="2"/>
                <w:szCs w:val="2"/>
                <w:color w:val="auto"/>
              </w:rPr>
            </w:pPr>
          </w:p>
        </w:tc>
        <w:tc>
          <w:tcPr>
            <w:tcW w:w="800" w:type="dxa"/>
            <w:vAlign w:val="bottom"/>
            <w:shd w:val="clear" w:color="auto" w:fill="9A9A9A"/>
          </w:tcPr>
          <w:p>
            <w:pPr>
              <w:spacing w:after="0"/>
              <w:rPr>
                <w:sz w:val="2"/>
                <w:szCs w:val="2"/>
                <w:color w:val="auto"/>
              </w:rPr>
            </w:pPr>
          </w:p>
        </w:tc>
        <w:tc>
          <w:tcPr>
            <w:tcW w:w="1000" w:type="dxa"/>
            <w:vAlign w:val="bottom"/>
            <w:shd w:val="clear" w:color="auto" w:fill="9A9A9A"/>
          </w:tcPr>
          <w:p>
            <w:pPr>
              <w:spacing w:after="0"/>
              <w:rPr>
                <w:sz w:val="2"/>
                <w:szCs w:val="2"/>
                <w:color w:val="auto"/>
              </w:rPr>
            </w:pPr>
          </w:p>
        </w:tc>
        <w:tc>
          <w:tcPr>
            <w:tcW w:w="760" w:type="dxa"/>
            <w:vAlign w:val="bottom"/>
            <w:shd w:val="clear" w:color="auto" w:fill="9A9A9A"/>
          </w:tcPr>
          <w:p>
            <w:pPr>
              <w:spacing w:after="0"/>
              <w:rPr>
                <w:sz w:val="2"/>
                <w:szCs w:val="2"/>
                <w:color w:val="auto"/>
              </w:rPr>
            </w:pPr>
          </w:p>
        </w:tc>
        <w:tc>
          <w:tcPr>
            <w:tcW w:w="3560" w:type="dxa"/>
            <w:vAlign w:val="bottom"/>
            <w:gridSpan w:val="5"/>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660" w:type="dxa"/>
            <w:vAlign w:val="bottom"/>
            <w:gridSpan w:val="6"/>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560" w:type="dxa"/>
            <w:vAlign w:val="bottom"/>
            <w:gridSpan w:val="5"/>
            <w:vMerge w:val="continue"/>
          </w:tcPr>
          <w:p>
            <w:pPr>
              <w:spacing w:after="0"/>
              <w:rPr>
                <w:sz w:val="10"/>
                <w:szCs w:val="10"/>
                <w:color w:val="auto"/>
              </w:rPr>
            </w:pPr>
          </w:p>
        </w:tc>
        <w:tc>
          <w:tcPr>
            <w:tcW w:w="366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40" w:type="dxa"/>
            <w:vAlign w:val="bottom"/>
            <w:gridSpan w:val="2"/>
          </w:tcPr>
          <w:p>
            <w:pPr>
              <w:ind w:left="420"/>
              <w:spacing w:after="0"/>
              <w:rPr>
                <w:sz w:val="20"/>
                <w:szCs w:val="20"/>
                <w:color w:val="auto"/>
              </w:rPr>
            </w:pPr>
            <w:r>
              <w:rPr>
                <w:rFonts w:ascii="Arial" w:cs="Arial" w:eastAsia="Arial" w:hAnsi="Arial"/>
                <w:sz w:val="13"/>
                <w:szCs w:val="13"/>
                <w:color w:val="auto"/>
              </w:rPr>
              <w:t>Line)</w:t>
            </w:r>
          </w:p>
        </w:tc>
        <w:tc>
          <w:tcPr>
            <w:tcW w:w="1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8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000" w:type="dxa"/>
            <w:vAlign w:val="bottom"/>
          </w:tcPr>
          <w:p>
            <w:pPr>
              <w:ind w:left="560"/>
              <w:spacing w:after="0"/>
              <w:rPr>
                <w:sz w:val="20"/>
                <w:szCs w:val="20"/>
                <w:color w:val="auto"/>
              </w:rPr>
            </w:pPr>
            <w:r>
              <w:rPr>
                <w:rFonts w:ascii="Times New Roman" w:cs="Times New Roman" w:eastAsia="Times New Roman" w:hAnsi="Times New Roman"/>
                <w:sz w:val="17"/>
                <w:szCs w:val="17"/>
                <w:color w:val="0000FF"/>
                <w:w w:val="98"/>
              </w:rPr>
              <w:t>10022</w:t>
            </w: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920" w:type="dxa"/>
            <w:vAlign w:val="bottom"/>
            <w:gridSpan w:val="4"/>
          </w:tcPr>
          <w:p>
            <w:pPr>
              <w:ind w:left="2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800" w:type="dxa"/>
            <w:vAlign w:val="bottom"/>
            <w:tcBorders>
              <w:bottom w:val="single" w:sz="8" w:color="9A9A9A"/>
            </w:tcBorders>
          </w:tcPr>
          <w:p>
            <w:pPr>
              <w:spacing w:after="0"/>
              <w:rPr>
                <w:sz w:val="14"/>
                <w:szCs w:val="14"/>
                <w:color w:val="auto"/>
              </w:rPr>
            </w:pPr>
          </w:p>
        </w:tc>
        <w:tc>
          <w:tcPr>
            <w:tcW w:w="1000" w:type="dxa"/>
            <w:vAlign w:val="bottom"/>
            <w:tcBorders>
              <w:bottom w:val="single" w:sz="8" w:color="9A9A9A"/>
            </w:tcBorders>
          </w:tcPr>
          <w:p>
            <w:pPr>
              <w:spacing w:after="0"/>
              <w:rPr>
                <w:sz w:val="14"/>
                <w:szCs w:val="14"/>
                <w:color w:val="auto"/>
              </w:rPr>
            </w:pPr>
          </w:p>
        </w:tc>
        <w:tc>
          <w:tcPr>
            <w:tcW w:w="760" w:type="dxa"/>
            <w:vAlign w:val="bottom"/>
            <w:tcBorders>
              <w:bottom w:val="single" w:sz="8" w:color="9A9A9A"/>
            </w:tcBorders>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920" w:type="dxa"/>
            <w:vAlign w:val="bottom"/>
            <w:gridSpan w:val="4"/>
          </w:tcPr>
          <w:p>
            <w:pPr>
              <w:ind w:left="2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(City)</w:t>
            </w:r>
          </w:p>
        </w:tc>
        <w:tc>
          <w:tcPr>
            <w:tcW w:w="800" w:type="dxa"/>
            <w:vAlign w:val="bottom"/>
            <w:tcBorders>
              <w:top w:val="single" w:sz="8" w:color="EEEEEE"/>
            </w:tcBorders>
            <w:vMerge w:val="restart"/>
          </w:tcPr>
          <w:p>
            <w:pPr>
              <w:ind w:left="140"/>
              <w:spacing w:after="0"/>
              <w:rPr>
                <w:sz w:val="20"/>
                <w:szCs w:val="20"/>
                <w:color w:val="auto"/>
              </w:rPr>
            </w:pPr>
            <w:r>
              <w:rPr>
                <w:rFonts w:ascii="Arial" w:cs="Arial" w:eastAsia="Arial" w:hAnsi="Arial"/>
                <w:sz w:val="13"/>
                <w:szCs w:val="13"/>
                <w:color w:val="auto"/>
              </w:rPr>
              <w:t>(State)</w:t>
            </w:r>
          </w:p>
        </w:tc>
        <w:tc>
          <w:tcPr>
            <w:tcW w:w="1000" w:type="dxa"/>
            <w:vAlign w:val="bottom"/>
            <w:tcBorders>
              <w:top w:val="single" w:sz="8" w:color="EEEEEE"/>
            </w:tcBorders>
            <w:vMerge w:val="restart"/>
          </w:tcPr>
          <w:p>
            <w:pPr>
              <w:ind w:left="560"/>
              <w:spacing w:after="0"/>
              <w:rPr>
                <w:sz w:val="20"/>
                <w:szCs w:val="20"/>
                <w:color w:val="auto"/>
              </w:rPr>
            </w:pPr>
            <w:r>
              <w:rPr>
                <w:rFonts w:ascii="Arial" w:cs="Arial" w:eastAsia="Arial" w:hAnsi="Arial"/>
                <w:sz w:val="13"/>
                <w:szCs w:val="13"/>
                <w:color w:val="auto"/>
              </w:rPr>
              <w:t>(Zip)</w:t>
            </w:r>
          </w:p>
        </w:tc>
        <w:tc>
          <w:tcPr>
            <w:tcW w:w="760" w:type="dxa"/>
            <w:vAlign w:val="bottom"/>
            <w:tcBorders>
              <w:top w:val="single" w:sz="8" w:color="EEEEEE"/>
            </w:tcBorders>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tcPr>
          <w:p>
            <w:pPr>
              <w:ind w:left="2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08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760" w:type="dxa"/>
            <w:vAlign w:val="bottom"/>
            <w:tcBorders>
              <w:bottom w:val="single" w:sz="8" w:color="2C2C2C"/>
            </w:tcBorders>
            <w:gridSpan w:val="2"/>
          </w:tcPr>
          <w:p>
            <w:pPr>
              <w:spacing w:after="0"/>
              <w:rPr>
                <w:sz w:val="10"/>
                <w:szCs w:val="10"/>
                <w:color w:val="auto"/>
              </w:rPr>
            </w:pPr>
          </w:p>
        </w:tc>
        <w:tc>
          <w:tcPr>
            <w:tcW w:w="4260" w:type="dxa"/>
            <w:vAlign w:val="bottom"/>
            <w:tcBorders>
              <w:bottom w:val="single" w:sz="8" w:color="2C2C2C"/>
            </w:tcBorders>
            <w:gridSpan w:val="6"/>
          </w:tcPr>
          <w:p>
            <w:pPr>
              <w:spacing w:after="0"/>
              <w:rPr>
                <w:sz w:val="10"/>
                <w:szCs w:val="10"/>
                <w:color w:val="auto"/>
              </w:rPr>
            </w:pPr>
          </w:p>
        </w:tc>
        <w:tc>
          <w:tcPr>
            <w:tcW w:w="1140" w:type="dxa"/>
            <w:vAlign w:val="bottom"/>
            <w:tcBorders>
              <w:bottom w:val="single" w:sz="8" w:color="2C2C2C"/>
            </w:tcBorders>
            <w:gridSpan w:val="2"/>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8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08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160" w:type="dxa"/>
            <w:vAlign w:val="bottom"/>
            <w:tcBorders>
              <w:top w:val="single" w:sz="8" w:color="2C2C2C"/>
            </w:tcBorders>
            <w:gridSpan w:val="10"/>
          </w:tcPr>
          <w:p>
            <w:pPr>
              <w:ind w:left="2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980" w:type="dxa"/>
            <w:vAlign w:val="bottom"/>
            <w:tcBorders>
              <w:bottom w:val="single" w:sz="8" w:color="2C2C2C"/>
            </w:tcBorders>
            <w:gridSpan w:val="3"/>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02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000" w:type="dxa"/>
            <w:vAlign w:val="bottom"/>
          </w:tcPr>
          <w:p>
            <w:pPr>
              <w:spacing w:after="0"/>
              <w:rPr>
                <w:sz w:val="15"/>
                <w:szCs w:val="15"/>
                <w:color w:val="auto"/>
              </w:rPr>
            </w:pPr>
          </w:p>
        </w:tc>
        <w:tc>
          <w:tcPr>
            <w:tcW w:w="1060" w:type="dxa"/>
            <w:vAlign w:val="bottom"/>
            <w:gridSpan w:val="2"/>
          </w:tcPr>
          <w:p>
            <w:pPr>
              <w:ind w:left="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00" w:type="dxa"/>
            <w:vAlign w:val="bottom"/>
          </w:tcPr>
          <w:p>
            <w:pPr>
              <w:ind w:left="4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9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7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1100" w:type="dxa"/>
            <w:vAlign w:val="bottom"/>
            <w:vMerge w:val="restart"/>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9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7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2"/>
            <w:vMerge w:val="continue"/>
          </w:tcPr>
          <w:p>
            <w:pPr>
              <w:spacing w:after="0"/>
              <w:rPr>
                <w:sz w:val="8"/>
                <w:szCs w:val="8"/>
                <w:color w:val="auto"/>
              </w:rPr>
            </w:pPr>
          </w:p>
        </w:tc>
        <w:tc>
          <w:tcPr>
            <w:tcW w:w="11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7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8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980" w:type="dxa"/>
            <w:vAlign w:val="bottom"/>
            <w:tcBorders>
              <w:bottom w:val="single" w:sz="8" w:color="2C2C2C"/>
            </w:tcBorders>
            <w:gridSpan w:val="4"/>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9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w:t>
            </w:r>
          </w:p>
        </w:tc>
        <w:tc>
          <w:tcPr>
            <w:tcW w:w="1060" w:type="dxa"/>
            <w:vAlign w:val="bottom"/>
            <w:gridSpan w:val="2"/>
            <w:vMerge w:val="restart"/>
          </w:tcPr>
          <w:p>
            <w:pPr>
              <w:jc w:val="right"/>
              <w:ind w:right="93"/>
              <w:spacing w:after="0"/>
              <w:rPr>
                <w:sz w:val="20"/>
                <w:szCs w:val="20"/>
                <w:color w:val="auto"/>
              </w:rPr>
            </w:pPr>
            <w:r>
              <w:rPr>
                <w:rFonts w:ascii="Times New Roman" w:cs="Times New Roman" w:eastAsia="Times New Roman" w:hAnsi="Times New Roman"/>
                <w:sz w:val="17"/>
                <w:szCs w:val="17"/>
                <w:color w:val="0000FF"/>
              </w:rPr>
              <w:t>08/29/2024</w:t>
            </w:r>
          </w:p>
        </w:tc>
        <w:tc>
          <w:tcPr>
            <w:tcW w:w="1140" w:type="dxa"/>
            <w:vAlign w:val="bottom"/>
          </w:tcPr>
          <w:p>
            <w:pPr>
              <w:spacing w:after="0"/>
              <w:rPr>
                <w:sz w:val="21"/>
                <w:szCs w:val="21"/>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vMerge w:val="restart"/>
          </w:tcPr>
          <w:p>
            <w:pPr>
              <w:jc w:val="right"/>
              <w:ind w:right="49"/>
              <w:spacing w:after="0"/>
              <w:rPr>
                <w:sz w:val="20"/>
                <w:szCs w:val="20"/>
                <w:color w:val="auto"/>
              </w:rPr>
            </w:pPr>
            <w:r>
              <w:rPr>
                <w:rFonts w:ascii="Times New Roman" w:cs="Times New Roman" w:eastAsia="Times New Roman" w:hAnsi="Times New Roman"/>
                <w:sz w:val="17"/>
                <w:szCs w:val="17"/>
                <w:color w:val="0000FF"/>
              </w:rPr>
              <w:t>35,000</w:t>
            </w: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36.18</w:t>
            </w:r>
            <w:r>
              <w:rPr>
                <w:rFonts w:ascii="Times New Roman" w:cs="Times New Roman" w:eastAsia="Times New Roman" w:hAnsi="Times New Roman"/>
                <w:sz w:val="22"/>
                <w:szCs w:val="22"/>
                <w:color w:val="008000"/>
                <w:w w:val="95"/>
                <w:vertAlign w:val="superscript"/>
              </w:rPr>
              <w:t>(1)</w:t>
            </w:r>
          </w:p>
        </w:tc>
        <w:tc>
          <w:tcPr>
            <w:tcW w:w="40" w:type="dxa"/>
            <w:vAlign w:val="bottom"/>
          </w:tcPr>
          <w:p>
            <w:pPr>
              <w:spacing w:after="0"/>
              <w:rPr>
                <w:sz w:val="21"/>
                <w:szCs w:val="21"/>
                <w:color w:val="auto"/>
              </w:rPr>
            </w:pPr>
          </w:p>
        </w:tc>
        <w:tc>
          <w:tcPr>
            <w:tcW w:w="110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1,424,588</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(2)</w:t>
            </w: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1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58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8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7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58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980" w:type="dxa"/>
            <w:vAlign w:val="bottom"/>
            <w:tcBorders>
              <w:bottom w:val="single" w:sz="8" w:color="2C2C2C"/>
            </w:tcBorders>
            <w:gridSpan w:val="4"/>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9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w:t>
            </w:r>
          </w:p>
        </w:tc>
        <w:tc>
          <w:tcPr>
            <w:tcW w:w="1060" w:type="dxa"/>
            <w:vAlign w:val="bottom"/>
            <w:gridSpan w:val="2"/>
            <w:vMerge w:val="restart"/>
          </w:tcPr>
          <w:p>
            <w:pPr>
              <w:jc w:val="right"/>
              <w:ind w:right="93"/>
              <w:spacing w:after="0"/>
              <w:rPr>
                <w:sz w:val="20"/>
                <w:szCs w:val="20"/>
                <w:color w:val="auto"/>
              </w:rPr>
            </w:pPr>
            <w:r>
              <w:rPr>
                <w:rFonts w:ascii="Times New Roman" w:cs="Times New Roman" w:eastAsia="Times New Roman" w:hAnsi="Times New Roman"/>
                <w:sz w:val="17"/>
                <w:szCs w:val="17"/>
                <w:color w:val="0000FF"/>
              </w:rPr>
              <w:t>08/30/2024</w:t>
            </w:r>
          </w:p>
        </w:tc>
        <w:tc>
          <w:tcPr>
            <w:tcW w:w="1140" w:type="dxa"/>
            <w:vAlign w:val="bottom"/>
          </w:tcPr>
          <w:p>
            <w:pPr>
              <w:spacing w:after="0"/>
              <w:rPr>
                <w:sz w:val="21"/>
                <w:szCs w:val="21"/>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vMerge w:val="restart"/>
          </w:tcPr>
          <w:p>
            <w:pPr>
              <w:jc w:val="right"/>
              <w:ind w:right="49"/>
              <w:spacing w:after="0"/>
              <w:rPr>
                <w:sz w:val="20"/>
                <w:szCs w:val="20"/>
                <w:color w:val="auto"/>
              </w:rPr>
            </w:pPr>
            <w:r>
              <w:rPr>
                <w:rFonts w:ascii="Times New Roman" w:cs="Times New Roman" w:eastAsia="Times New Roman" w:hAnsi="Times New Roman"/>
                <w:sz w:val="17"/>
                <w:szCs w:val="17"/>
                <w:color w:val="0000FF"/>
              </w:rPr>
              <w:t>34,348</w:t>
            </w: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vMerge w:val="restart"/>
          </w:tcPr>
          <w:p>
            <w:pPr>
              <w:jc w:val="center"/>
              <w:ind w:right="7"/>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36.3</w:t>
            </w:r>
            <w:r>
              <w:rPr>
                <w:rFonts w:ascii="Times New Roman" w:cs="Times New Roman" w:eastAsia="Times New Roman" w:hAnsi="Times New Roman"/>
                <w:sz w:val="22"/>
                <w:szCs w:val="22"/>
                <w:color w:val="008000"/>
                <w:vertAlign w:val="superscript"/>
              </w:rPr>
              <w:t>(3)</w:t>
            </w:r>
          </w:p>
        </w:tc>
        <w:tc>
          <w:tcPr>
            <w:tcW w:w="40" w:type="dxa"/>
            <w:vAlign w:val="bottom"/>
          </w:tcPr>
          <w:p>
            <w:pPr>
              <w:spacing w:after="0"/>
              <w:rPr>
                <w:sz w:val="21"/>
                <w:szCs w:val="21"/>
                <w:color w:val="auto"/>
              </w:rPr>
            </w:pPr>
          </w:p>
        </w:tc>
        <w:tc>
          <w:tcPr>
            <w:tcW w:w="110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1,390,240</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(2)</w:t>
            </w: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1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58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8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7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58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20" w:lineRule="exact"/>
        <w:rPr>
          <w:sz w:val="24"/>
          <w:szCs w:val="24"/>
          <w:color w:val="auto"/>
        </w:rPr>
      </w:pPr>
    </w:p>
    <w:p>
      <w:pPr>
        <w:sectPr>
          <w:pgSz w:w="11900" w:h="16838" w:orient="portrait"/>
          <w:cols w:equalWidth="0" w:num="1">
            <w:col w:w="11000"/>
          </w:cols>
          <w:pgMar w:left="460" w:top="219" w:right="439" w:bottom="0" w:gutter="0" w:footer="0" w:header="0"/>
          <w:type w:val="continuous"/>
        </w:sectPr>
      </w:pPr>
    </w:p>
    <w:p>
      <w:pPr>
        <w:ind w:left="80"/>
        <w:spacing w:after="0"/>
        <w:rPr>
          <w:sz w:val="20"/>
          <w:szCs w:val="20"/>
          <w:color w:val="auto"/>
        </w:rPr>
      </w:pPr>
      <w:r>
        <w:rPr>
          <w:rFonts w:ascii="Times New Roman" w:cs="Times New Roman" w:eastAsia="Times New Roman" w:hAnsi="Times New Roman"/>
          <w:sz w:val="17"/>
          <w:szCs w:val="17"/>
          <w:color w:val="0000FF"/>
        </w:rPr>
        <w:t>Common Stock, par value $0.001 per</w:t>
      </w:r>
    </w:p>
    <w:p>
      <w:pPr>
        <w:spacing w:after="0" w:line="31"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7"/>
          <w:szCs w:val="17"/>
          <w:color w:val="0000FF"/>
        </w:rPr>
        <w:t>share</w:t>
      </w:r>
    </w:p>
    <w:p>
      <w:pPr>
        <w:spacing w:after="0" w:line="138"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7"/>
          <w:szCs w:val="17"/>
          <w:color w:val="0000FF"/>
        </w:rPr>
        <w:t>Common Stock, par value $0.001 per</w:t>
      </w:r>
    </w:p>
    <w:p>
      <w:pPr>
        <w:spacing w:after="0" w:line="31"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7"/>
          <w:szCs w:val="17"/>
          <w:color w:val="0000FF"/>
        </w:rPr>
        <w:t>share</w:t>
      </w:r>
    </w:p>
    <w:p>
      <w:pPr>
        <w:spacing w:after="0" w:line="138"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7"/>
          <w:szCs w:val="17"/>
          <w:color w:val="0000FF"/>
        </w:rPr>
        <w:t>Common Stock, par value $0.001 per</w:t>
      </w:r>
    </w:p>
    <w:p>
      <w:pPr>
        <w:spacing w:after="0" w:line="31"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7"/>
          <w:szCs w:val="17"/>
          <w:color w:val="0000FF"/>
        </w:rPr>
        <w:t>share</w:t>
      </w:r>
    </w:p>
    <w:p>
      <w:pPr>
        <w:spacing w:after="0" w:line="138"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7"/>
          <w:szCs w:val="17"/>
          <w:color w:val="0000FF"/>
        </w:rPr>
        <w:t>Common Stock, par value $0.001 per</w:t>
      </w:r>
    </w:p>
    <w:p>
      <w:pPr>
        <w:spacing w:after="0" w:line="31"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7"/>
          <w:szCs w:val="17"/>
          <w:color w:val="0000FF"/>
        </w:rPr>
        <w:t>share</w:t>
      </w:r>
    </w:p>
    <w:p>
      <w:pPr>
        <w:spacing w:after="0" w:line="138"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7"/>
          <w:szCs w:val="17"/>
          <w:color w:val="0000FF"/>
        </w:rPr>
        <w:t>Common Stock, par value $0.001 per</w:t>
      </w:r>
    </w:p>
    <w:p>
      <w:pPr>
        <w:spacing w:after="0" w:line="31"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7"/>
          <w:szCs w:val="17"/>
          <w:color w:val="0000FF"/>
        </w:rPr>
        <w:t>share</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3"/>
        </w:trPr>
        <w:tc>
          <w:tcPr>
            <w:tcW w:w="920" w:type="dxa"/>
            <w:vAlign w:val="bottom"/>
            <w:vMerge w:val="restart"/>
          </w:tcPr>
          <w:p>
            <w:pPr>
              <w:jc w:val="right"/>
              <w:ind w:right="273"/>
              <w:spacing w:after="0"/>
              <w:rPr>
                <w:sz w:val="20"/>
                <w:szCs w:val="20"/>
                <w:color w:val="auto"/>
              </w:rPr>
            </w:pPr>
            <w:r>
              <w:rPr>
                <w:rFonts w:ascii="Times New Roman" w:cs="Times New Roman" w:eastAsia="Times New Roman" w:hAnsi="Times New Roman"/>
                <w:sz w:val="17"/>
                <w:szCs w:val="17"/>
                <w:color w:val="0000FF"/>
                <w:w w:val="97"/>
              </w:rPr>
              <w:t>885,670</w:t>
            </w:r>
          </w:p>
        </w:tc>
        <w:tc>
          <w:tcPr>
            <w:tcW w:w="66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92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100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w w:val="95"/>
              </w:rPr>
              <w:t>Footnote</w:t>
            </w:r>
            <w:r>
              <w:rPr>
                <w:rFonts w:ascii="Times New Roman" w:cs="Times New Roman" w:eastAsia="Times New Roman" w:hAnsi="Times New Roman"/>
                <w:sz w:val="22"/>
                <w:szCs w:val="22"/>
                <w:color w:val="008000"/>
                <w:w w:val="95"/>
                <w:vertAlign w:val="superscript"/>
              </w:rPr>
              <w:t>(4)</w:t>
            </w:r>
          </w:p>
        </w:tc>
        <w:tc>
          <w:tcPr>
            <w:tcW w:w="0" w:type="dxa"/>
            <w:vAlign w:val="bottom"/>
          </w:tcPr>
          <w:p>
            <w:pPr>
              <w:spacing w:after="0"/>
              <w:rPr>
                <w:sz w:val="1"/>
                <w:szCs w:val="1"/>
                <w:color w:val="auto"/>
              </w:rPr>
            </w:pPr>
          </w:p>
        </w:tc>
      </w:tr>
      <w:tr>
        <w:trPr>
          <w:trHeight w:val="182"/>
        </w:trPr>
        <w:tc>
          <w:tcPr>
            <w:tcW w:w="9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8"/>
        </w:trPr>
        <w:tc>
          <w:tcPr>
            <w:tcW w:w="920" w:type="dxa"/>
            <w:vAlign w:val="bottom"/>
            <w:vMerge w:val="restart"/>
          </w:tcPr>
          <w:p>
            <w:pPr>
              <w:jc w:val="right"/>
              <w:ind w:right="273"/>
              <w:spacing w:after="0"/>
              <w:rPr>
                <w:sz w:val="20"/>
                <w:szCs w:val="20"/>
                <w:color w:val="auto"/>
              </w:rPr>
            </w:pPr>
            <w:r>
              <w:rPr>
                <w:rFonts w:ascii="Times New Roman" w:cs="Times New Roman" w:eastAsia="Times New Roman" w:hAnsi="Times New Roman"/>
                <w:sz w:val="17"/>
                <w:szCs w:val="17"/>
                <w:color w:val="0000FF"/>
                <w:w w:val="97"/>
              </w:rPr>
              <w:t>420,000</w:t>
            </w:r>
          </w:p>
        </w:tc>
        <w:tc>
          <w:tcPr>
            <w:tcW w:w="66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92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100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w w:val="95"/>
              </w:rPr>
              <w:t>Footnote</w:t>
            </w:r>
            <w:r>
              <w:rPr>
                <w:rFonts w:ascii="Times New Roman" w:cs="Times New Roman" w:eastAsia="Times New Roman" w:hAnsi="Times New Roman"/>
                <w:sz w:val="22"/>
                <w:szCs w:val="22"/>
                <w:color w:val="008000"/>
                <w:w w:val="95"/>
                <w:vertAlign w:val="superscript"/>
              </w:rPr>
              <w:t>(5)</w:t>
            </w:r>
          </w:p>
        </w:tc>
        <w:tc>
          <w:tcPr>
            <w:tcW w:w="0" w:type="dxa"/>
            <w:vAlign w:val="bottom"/>
          </w:tcPr>
          <w:p>
            <w:pPr>
              <w:spacing w:after="0"/>
              <w:rPr>
                <w:sz w:val="1"/>
                <w:szCs w:val="1"/>
                <w:color w:val="auto"/>
              </w:rPr>
            </w:pPr>
          </w:p>
        </w:tc>
      </w:tr>
      <w:tr>
        <w:trPr>
          <w:trHeight w:val="182"/>
        </w:trPr>
        <w:tc>
          <w:tcPr>
            <w:tcW w:w="9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8"/>
        </w:trPr>
        <w:tc>
          <w:tcPr>
            <w:tcW w:w="920" w:type="dxa"/>
            <w:vAlign w:val="bottom"/>
            <w:vMerge w:val="restart"/>
          </w:tcPr>
          <w:p>
            <w:pPr>
              <w:jc w:val="right"/>
              <w:ind w:right="273"/>
              <w:spacing w:after="0"/>
              <w:rPr>
                <w:sz w:val="20"/>
                <w:szCs w:val="20"/>
                <w:color w:val="auto"/>
              </w:rPr>
            </w:pPr>
            <w:r>
              <w:rPr>
                <w:rFonts w:ascii="Times New Roman" w:cs="Times New Roman" w:eastAsia="Times New Roman" w:hAnsi="Times New Roman"/>
                <w:sz w:val="17"/>
                <w:szCs w:val="17"/>
                <w:color w:val="0000FF"/>
                <w:w w:val="97"/>
              </w:rPr>
              <w:t>420,000</w:t>
            </w:r>
          </w:p>
        </w:tc>
        <w:tc>
          <w:tcPr>
            <w:tcW w:w="66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92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100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w w:val="95"/>
              </w:rPr>
              <w:t>Footnote</w:t>
            </w:r>
            <w:r>
              <w:rPr>
                <w:rFonts w:ascii="Times New Roman" w:cs="Times New Roman" w:eastAsia="Times New Roman" w:hAnsi="Times New Roman"/>
                <w:sz w:val="22"/>
                <w:szCs w:val="22"/>
                <w:color w:val="008000"/>
                <w:w w:val="95"/>
                <w:vertAlign w:val="superscript"/>
              </w:rPr>
              <w:t>(6)</w:t>
            </w:r>
          </w:p>
        </w:tc>
        <w:tc>
          <w:tcPr>
            <w:tcW w:w="0" w:type="dxa"/>
            <w:vAlign w:val="bottom"/>
          </w:tcPr>
          <w:p>
            <w:pPr>
              <w:spacing w:after="0"/>
              <w:rPr>
                <w:sz w:val="1"/>
                <w:szCs w:val="1"/>
                <w:color w:val="auto"/>
              </w:rPr>
            </w:pPr>
          </w:p>
        </w:tc>
      </w:tr>
      <w:tr>
        <w:trPr>
          <w:trHeight w:val="182"/>
        </w:trPr>
        <w:tc>
          <w:tcPr>
            <w:tcW w:w="9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8"/>
        </w:trPr>
        <w:tc>
          <w:tcPr>
            <w:tcW w:w="920" w:type="dxa"/>
            <w:vAlign w:val="bottom"/>
            <w:vMerge w:val="restart"/>
          </w:tcPr>
          <w:p>
            <w:pPr>
              <w:jc w:val="right"/>
              <w:ind w:right="273"/>
              <w:spacing w:after="0"/>
              <w:rPr>
                <w:sz w:val="20"/>
                <w:szCs w:val="20"/>
                <w:color w:val="auto"/>
              </w:rPr>
            </w:pPr>
            <w:r>
              <w:rPr>
                <w:rFonts w:ascii="Times New Roman" w:cs="Times New Roman" w:eastAsia="Times New Roman" w:hAnsi="Times New Roman"/>
                <w:sz w:val="17"/>
                <w:szCs w:val="17"/>
                <w:color w:val="0000FF"/>
                <w:w w:val="97"/>
              </w:rPr>
              <w:t>665,925</w:t>
            </w:r>
          </w:p>
        </w:tc>
        <w:tc>
          <w:tcPr>
            <w:tcW w:w="66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92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100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w w:val="95"/>
              </w:rPr>
              <w:t>Footnote</w:t>
            </w:r>
            <w:r>
              <w:rPr>
                <w:rFonts w:ascii="Times New Roman" w:cs="Times New Roman" w:eastAsia="Times New Roman" w:hAnsi="Times New Roman"/>
                <w:sz w:val="22"/>
                <w:szCs w:val="22"/>
                <w:color w:val="008000"/>
                <w:w w:val="95"/>
                <w:vertAlign w:val="superscript"/>
              </w:rPr>
              <w:t>(7)</w:t>
            </w:r>
          </w:p>
        </w:tc>
        <w:tc>
          <w:tcPr>
            <w:tcW w:w="0" w:type="dxa"/>
            <w:vAlign w:val="bottom"/>
          </w:tcPr>
          <w:p>
            <w:pPr>
              <w:spacing w:after="0"/>
              <w:rPr>
                <w:sz w:val="1"/>
                <w:szCs w:val="1"/>
                <w:color w:val="auto"/>
              </w:rPr>
            </w:pPr>
          </w:p>
        </w:tc>
      </w:tr>
      <w:tr>
        <w:trPr>
          <w:trHeight w:val="182"/>
        </w:trPr>
        <w:tc>
          <w:tcPr>
            <w:tcW w:w="9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8"/>
        </w:trPr>
        <w:tc>
          <w:tcPr>
            <w:tcW w:w="920" w:type="dxa"/>
            <w:vAlign w:val="bottom"/>
            <w:vMerge w:val="restart"/>
          </w:tcPr>
          <w:p>
            <w:pPr>
              <w:jc w:val="right"/>
              <w:ind w:right="273"/>
              <w:spacing w:after="0"/>
              <w:rPr>
                <w:sz w:val="20"/>
                <w:szCs w:val="20"/>
                <w:color w:val="auto"/>
              </w:rPr>
            </w:pPr>
            <w:r>
              <w:rPr>
                <w:rFonts w:ascii="Times New Roman" w:cs="Times New Roman" w:eastAsia="Times New Roman" w:hAnsi="Times New Roman"/>
                <w:sz w:val="17"/>
                <w:szCs w:val="17"/>
                <w:color w:val="0000FF"/>
                <w:w w:val="97"/>
              </w:rPr>
              <w:t>201,095</w:t>
            </w:r>
          </w:p>
        </w:tc>
        <w:tc>
          <w:tcPr>
            <w:tcW w:w="66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92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100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(8)</w:t>
            </w:r>
          </w:p>
        </w:tc>
        <w:tc>
          <w:tcPr>
            <w:tcW w:w="0" w:type="dxa"/>
            <w:vAlign w:val="bottom"/>
          </w:tcPr>
          <w:p>
            <w:pPr>
              <w:spacing w:after="0"/>
              <w:rPr>
                <w:sz w:val="1"/>
                <w:szCs w:val="1"/>
                <w:color w:val="auto"/>
              </w:rPr>
            </w:pPr>
          </w:p>
        </w:tc>
      </w:tr>
      <w:tr>
        <w:trPr>
          <w:trHeight w:val="182"/>
        </w:trPr>
        <w:tc>
          <w:tcPr>
            <w:tcW w:w="9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71" w:lineRule="exact"/>
        <w:rPr>
          <w:sz w:val="24"/>
          <w:szCs w:val="24"/>
          <w:color w:val="auto"/>
        </w:rPr>
      </w:pPr>
    </w:p>
    <w:p>
      <w:pPr>
        <w:sectPr>
          <w:pgSz w:w="11900" w:h="16838" w:orient="portrait"/>
          <w:cols w:equalWidth="0" w:num="2">
            <w:col w:w="7600" w:space="720"/>
            <w:col w:w="2680"/>
          </w:cols>
          <w:pgMar w:left="460" w:top="219" w:right="439" w:bottom="0" w:gutter="0" w:footer="0" w:header="0"/>
          <w:type w:val="continuous"/>
        </w:sect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$35.99 to $36.36 per share. The price reported above reflects the weighted average purchase price on the date indicated. The reporting person hereby undertakes to provide upon request to the SEC staff, the issuer or a security holder of the issuer full information regarding the number of shares.</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Owned by Rohit Kapoor.</w:t>
      </w:r>
    </w:p>
    <w:p>
      <w:pPr>
        <w:spacing w:after="0" w:line="50" w:lineRule="exact"/>
        <w:rPr>
          <w:rFonts w:ascii="Times New Roman" w:cs="Times New Roman" w:eastAsia="Times New Roman" w:hAnsi="Times New Roman"/>
          <w:sz w:val="13"/>
          <w:szCs w:val="13"/>
          <w:color w:val="008000"/>
        </w:rPr>
      </w:pPr>
    </w:p>
    <w:p>
      <w:pPr>
        <w:ind w:left="40" w:right="3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$36.06 to $36.58 per share. The price reported above reflects the weighted average purchase price on the date indicated. The reporting person hereby undertakes to provide upon request to the SEC staff, the issuer or a security holder of the issuer full information regarding the number of shares.</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Owned by the 2016 Kapoor Family Trust Created Under the Rohit Kapoor 2005 GRAT.</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Owned by the Rohit Kapoor Spousal Lifetime Access Trust.</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Owned by the Shikha Kapoor 2005 Family Trust.</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Owned by the Rohit Kapoor 2016 Family Trust</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Owned by the 2016 Kapoor Family Trust Created Under the Rohit Kapoor 2013 GRAT.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ectPr>
          <w:pgSz w:w="11900" w:h="16838" w:orient="portrait"/>
          <w:cols w:equalWidth="0" w:num="1">
            <w:col w:w="11000"/>
          </w:cols>
          <w:pgMar w:left="460" w:top="219" w:right="439" w:bottom="0" w:gutter="0" w:footer="0" w:header="0"/>
          <w:type w:val="continuous"/>
        </w:sectPr>
      </w:pP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Mr. Ayyappan is the Company's General Counsel.</w:t>
      </w:r>
    </w:p>
    <w:p>
      <w:pPr>
        <w:sectPr>
          <w:pgSz w:w="11900" w:h="16838" w:orient="portrait"/>
          <w:cols w:equalWidth="0" w:num="1">
            <w:col w:w="11000"/>
          </w:cols>
          <w:pgMar w:left="460" w:top="219" w:right="439" w:bottom="0" w:gutter="0" w:footer="0" w:header="0"/>
          <w:type w:val="continuous"/>
        </w:sectPr>
      </w:pPr>
    </w:p>
    <w:bookmarkStart w:id="1" w:name="page2"/>
    <w:bookmarkEnd w:id="1"/>
    <w:tbl>
      <w:tblPr>
        <w:tblLayout w:type="fixed"/>
        <w:tblInd w:w="6540" w:type="dxa"/>
        <w:tblCellMar>
          <w:top w:w="0" w:type="dxa"/>
          <w:left w:w="0" w:type="dxa"/>
          <w:bottom w:w="0" w:type="dxa"/>
          <w:right w:w="0" w:type="dxa"/>
        </w:tblCellMar>
      </w:tblPr>
      <w:tr>
        <w:trPr>
          <w:trHeight w:val="19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Ajay Ayyappan, Attorney-</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09/03/2024</w:t>
            </w:r>
          </w:p>
        </w:tc>
      </w:tr>
      <w:tr>
        <w:trPr>
          <w:trHeight w:val="193"/>
        </w:trPr>
        <w:tc>
          <w:tcPr>
            <w:tcW w:w="2140" w:type="dxa"/>
            <w:vAlign w:val="bottom"/>
            <w:gridSpan w:val="3"/>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35"/>
        </w:trPr>
        <w:tc>
          <w:tcPr>
            <w:tcW w:w="21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6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17"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373630" TargetMode="External"/><Relationship Id="rId14"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2024-09-03T18:13:56Z</dcterms:created>
  <dcterms:modified xsi:type="dcterms:W3CDTF">2024-09-03T18:13:56Z</dcterms:modified>
</cp:coreProperties>
</file>