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13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04/20/2007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Vice Chairman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134"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134"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04/20/2007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740" w:type="dxa"/>
            <w:vAlign w:val="bottom"/>
            <w:tcBorders>
              <w:bottom w:val="single" w:sz="8" w:color="2C2C2C"/>
            </w:tcBorders>
          </w:tcPr>
          <w:p>
            <w:pPr>
              <w:jc w:val="center"/>
              <w:ind w:left="68"/>
              <w:spacing w:after="0"/>
              <w:rPr>
                <w:sz w:val="20"/>
                <w:szCs w:val="20"/>
                <w:color w:val="auto"/>
              </w:rPr>
            </w:pPr>
            <w:r>
              <w:rPr>
                <w:rFonts w:ascii="Arial" w:cs="Arial" w:eastAsia="Arial" w:hAnsi="Arial"/>
                <w:sz w:val="18"/>
                <w:szCs w:val="18"/>
                <w:color w:val="0000FF"/>
                <w:w w:val="87"/>
              </w:rPr>
              <w:t>18,750</w:t>
            </w:r>
          </w:p>
        </w:tc>
        <w:tc>
          <w:tcPr>
            <w:tcW w:w="4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7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6,000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04/20/2007</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740" w:type="dxa"/>
            <w:vAlign w:val="bottom"/>
            <w:vMerge w:val="restart"/>
          </w:tcPr>
          <w:p>
            <w:pPr>
              <w:jc w:val="center"/>
              <w:ind w:left="68"/>
              <w:spacing w:after="0"/>
              <w:rPr>
                <w:sz w:val="20"/>
                <w:szCs w:val="20"/>
                <w:color w:val="auto"/>
              </w:rPr>
            </w:pPr>
            <w:r>
              <w:rPr>
                <w:rFonts w:ascii="Arial" w:cs="Arial" w:eastAsia="Arial" w:hAnsi="Arial"/>
                <w:sz w:val="18"/>
                <w:szCs w:val="18"/>
                <w:color w:val="0000FF"/>
                <w:w w:val="87"/>
              </w:rPr>
              <w:t>18,750</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220" w:type="dxa"/>
            <w:vAlign w:val="bottom"/>
          </w:tcPr>
          <w:p>
            <w:pPr>
              <w:spacing w:after="0"/>
              <w:rPr>
                <w:sz w:val="22"/>
                <w:szCs w:val="22"/>
                <w:color w:val="auto"/>
              </w:rPr>
            </w:pPr>
          </w:p>
        </w:tc>
        <w:tc>
          <w:tcPr>
            <w:tcW w:w="380" w:type="dxa"/>
            <w:vAlign w:val="bottom"/>
            <w:vMerge w:val="restart"/>
          </w:tcPr>
          <w:p>
            <w:pPr>
              <w:jc w:val="center"/>
              <w:ind w:left="7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5"/>
              </w:rPr>
              <w:t>1,468,203</w:t>
            </w:r>
            <w:r>
              <w:rPr>
                <w:rFonts w:ascii="Arial" w:cs="Arial" w:eastAsia="Arial" w:hAnsi="Arial"/>
                <w:sz w:val="22"/>
                <w:szCs w:val="22"/>
                <w:color w:val="008000"/>
                <w:w w:val="85"/>
                <w:vertAlign w:val="superscript"/>
              </w:rPr>
              <w:t>(2)</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gridSpan w:val="4"/>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05/02/2007</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740" w:type="dxa"/>
            <w:vAlign w:val="bottom"/>
            <w:vMerge w:val="restart"/>
          </w:tcPr>
          <w:p>
            <w:pPr>
              <w:jc w:val="center"/>
              <w:ind w:left="88"/>
              <w:spacing w:after="0"/>
              <w:rPr>
                <w:sz w:val="20"/>
                <w:szCs w:val="20"/>
                <w:color w:val="auto"/>
              </w:rPr>
            </w:pPr>
            <w:r>
              <w:rPr>
                <w:rFonts w:ascii="Arial" w:cs="Arial" w:eastAsia="Arial" w:hAnsi="Arial"/>
                <w:sz w:val="18"/>
                <w:szCs w:val="18"/>
                <w:color w:val="0000FF"/>
                <w:w w:val="84"/>
              </w:rPr>
              <w:t>7,500</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2"/>
                <w:szCs w:val="22"/>
                <w:color w:val="auto"/>
              </w:rPr>
            </w:pPr>
          </w:p>
        </w:tc>
        <w:tc>
          <w:tcPr>
            <w:tcW w:w="5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22.5</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1,460,703</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05/02/2007</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(5)</w:t>
            </w:r>
          </w:p>
        </w:tc>
        <w:tc>
          <w:tcPr>
            <w:tcW w:w="740" w:type="dxa"/>
            <w:vAlign w:val="bottom"/>
            <w:vMerge w:val="restart"/>
          </w:tcPr>
          <w:p>
            <w:pPr>
              <w:jc w:val="center"/>
              <w:ind w:left="88"/>
              <w:spacing w:after="0"/>
              <w:rPr>
                <w:sz w:val="20"/>
                <w:szCs w:val="20"/>
                <w:color w:val="auto"/>
              </w:rPr>
            </w:pPr>
            <w:r>
              <w:rPr>
                <w:rFonts w:ascii="Arial" w:cs="Arial" w:eastAsia="Arial" w:hAnsi="Arial"/>
                <w:sz w:val="18"/>
                <w:szCs w:val="18"/>
                <w:color w:val="0000FF"/>
                <w:w w:val="84"/>
              </w:rPr>
              <w:t>7,500</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2"/>
                <w:szCs w:val="22"/>
                <w:color w:val="auto"/>
              </w:rPr>
            </w:pPr>
          </w:p>
        </w:tc>
        <w:tc>
          <w:tcPr>
            <w:tcW w:w="5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22.5</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1"/>
              </w:rPr>
              <w:t>281,119</w:t>
            </w:r>
            <w:r>
              <w:rPr>
                <w:rFonts w:ascii="Arial" w:cs="Arial" w:eastAsia="Arial" w:hAnsi="Arial"/>
                <w:sz w:val="22"/>
                <w:szCs w:val="22"/>
                <w:color w:val="008000"/>
                <w:w w:val="81"/>
                <w:vertAlign w:val="superscript"/>
              </w:rPr>
              <w:t>(2)</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gridSpan w:val="4"/>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(6)</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April 20, 2007, the reporting person contributed 18,750 shares of common stock of ExlService Holdings, Inc. (the "Common Stock") to the Talwar 1994 Trust, of which the reporting person and his spouse are trustees and in which the reporting person and his spouse share a pecuniary interest and their children have a residual interest.</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figure reflects a transfer on April 20, 2007 from the Vikram Talwar 2004 Grantor Retained Annuity Trust (the "GRAT"), of which the reporting person is the trustee, of 50,199 shares of Common Stock to the Talwar 1994 Trust. The reporting person indirectly beneficially owns the shares of Common Stock owned by the GRAT and the Talwar 1994 Trust.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Talwar 1994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GRAT.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05/03/2007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1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2019-12-16T15:17:38Z</dcterms:created>
  <dcterms:modified xsi:type="dcterms:W3CDTF">2019-12-16T15:17:38Z</dcterms:modified>
</cp:coreProperties>
</file>