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us3020811044_102324.txt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3)</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ExlService Holdings, Inc.</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302081104</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September 30, 2024</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391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jc w:val="both"/>
        <w:ind w:right="8339" w:firstLine="8"/>
        <w:spacing w:after="0" w:line="344"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23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31"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169" w:lineRule="exact"/>
        <w:rPr>
          <w:sz w:val="24"/>
          <w:szCs w:val="24"/>
          <w:color w:val="auto"/>
        </w:rPr>
      </w:pPr>
    </w:p>
    <w:p>
      <w:pPr>
        <w:ind w:right="4339"/>
        <w:spacing w:after="0" w:line="29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302081104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37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18"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23308871</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120" w:right="3399" w:hanging="112"/>
        <w:spacing w:after="0" w:line="476"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23308871</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14.4%</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ExlService Holdings,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320 PARK AVENUE 29TH FLOOR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NY 10022</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38" w:lineRule="auto"/>
        <w:rPr>
          <w:sz w:val="20"/>
          <w:szCs w:val="20"/>
          <w:color w:val="auto"/>
        </w:rPr>
      </w:pPr>
      <w:r>
        <w:rPr>
          <w:rFonts w:ascii="Courier New" w:cs="Courier New" w:eastAsia="Courier New" w:hAnsi="Courier New"/>
          <w:sz w:val="18"/>
          <w:szCs w:val="18"/>
          <w:color w:val="auto"/>
        </w:rPr>
        <w:t>50 Hudson Yards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NY 10001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339"/>
        <w:spacing w:after="0" w:line="257"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ind w:right="4239" w:firstLine="8"/>
        <w:spacing w:after="0" w:line="238"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10" w:right="1440" w:bottom="0" w:gutter="0" w:footer="0" w:header="0"/>
        </w:sectPr>
      </w:pPr>
    </w:p>
    <w:bookmarkStart w:id="2" w:name="page3"/>
    <w:bookmarkEnd w:id="2"/>
    <w:p>
      <w:pPr>
        <w:ind w:left="1280" w:right="3279" w:hanging="1272"/>
        <w:spacing w:after="0" w:line="257"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ind w:left="1280" w:right="3279" w:hanging="1272"/>
        <w:spacing w:after="0" w:line="238"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1" w:lineRule="exact"/>
        <w:rPr>
          <w:sz w:val="20"/>
          <w:szCs w:val="20"/>
          <w:color w:val="auto"/>
        </w:rPr>
      </w:pPr>
    </w:p>
    <w:p>
      <w:pPr>
        <w:ind w:left="1280" w:right="2979" w:hanging="1263"/>
        <w:spacing w:after="0" w:line="238"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ind w:left="1280" w:right="1819"/>
        <w:spacing w:after="0" w:line="238"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1"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8"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ind w:left="1280" w:right="307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23308871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14.4%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23308871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1" w:lineRule="exact"/>
        <w:rPr>
          <w:sz w:val="20"/>
          <w:szCs w:val="20"/>
          <w:color w:val="auto"/>
        </w:rPr>
      </w:pPr>
    </w:p>
    <w:p>
      <w:pPr>
        <w:ind w:right="2559"/>
        <w:spacing w:after="0" w:line="274"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220" w:right="2119"/>
        <w:spacing w:after="0" w:line="253"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03" w:lineRule="exact"/>
        <w:rPr>
          <w:sz w:val="20"/>
          <w:szCs w:val="20"/>
          <w:color w:val="auto"/>
        </w:rPr>
      </w:pPr>
    </w:p>
    <w:p>
      <w:pPr>
        <w:jc w:val="both"/>
        <w:ind w:left="320" w:right="3179" w:hanging="104"/>
        <w:spacing w:after="0" w:line="250"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ExlService Holdings, Inc..</w:t>
      </w:r>
    </w:p>
    <w:p>
      <w:pPr>
        <w:ind w:left="320"/>
        <w:spacing w:after="0"/>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10" w:right="1440" w:bottom="0" w:gutter="0" w:footer="0" w:header="0"/>
        </w:sectPr>
      </w:pPr>
    </w:p>
    <w:bookmarkStart w:id="3" w:name="page4"/>
    <w:bookmarkEnd w:id="3"/>
    <w:p>
      <w:pPr>
        <w:spacing w:after="0" w:line="57"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ExlService Holdings, Inc.</w:t>
      </w:r>
    </w:p>
    <w:p>
      <w:pPr>
        <w:spacing w:after="0" w:line="3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169" w:lineRule="exact"/>
        <w:rPr>
          <w:sz w:val="20"/>
          <w:szCs w:val="20"/>
          <w:color w:val="auto"/>
        </w:rPr>
      </w:pPr>
    </w:p>
    <w:p>
      <w:pPr>
        <w:ind w:right="3279"/>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96"/>
        </w:trPr>
        <w:tc>
          <w:tcPr>
            <w:tcW w:w="1000" w:type="dxa"/>
            <w:vAlign w:val="bottom"/>
            <w:gridSpan w:val="2"/>
          </w:tcPr>
          <w:p>
            <w:pPr>
              <w:spacing w:after="0"/>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rPr>
                <w:sz w:val="20"/>
                <w:szCs w:val="20"/>
                <w:color w:val="auto"/>
              </w:rPr>
            </w:pPr>
            <w:r>
              <w:rPr>
                <w:rFonts w:ascii="Courier New" w:cs="Courier New" w:eastAsia="Courier New" w:hAnsi="Courier New"/>
                <w:sz w:val="18"/>
                <w:szCs w:val="18"/>
                <w:color w:val="auto"/>
              </w:rPr>
              <w:t>each member of the group.</w:t>
            </w: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right="2859"/>
        <w:spacing w:after="0" w:line="318"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31"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61"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In accordance with SEC Release</w:t>
      </w:r>
    </w:p>
    <w:p>
      <w:pPr>
        <w:spacing w:after="0" w:line="31" w:lineRule="exact"/>
        <w:rPr>
          <w:sz w:val="20"/>
          <w:szCs w:val="20"/>
          <w:color w:val="auto"/>
        </w:rPr>
      </w:pPr>
    </w:p>
    <w:p>
      <w:pPr>
        <w:ind w:left="120" w:right="3079"/>
        <w:spacing w:after="0" w:line="268" w:lineRule="auto"/>
        <w:rPr>
          <w:sz w:val="20"/>
          <w:szCs w:val="20"/>
          <w:color w:val="auto"/>
        </w:rPr>
      </w:pPr>
      <w:r>
        <w:rPr>
          <w:rFonts w:ascii="Courier New" w:cs="Courier New" w:eastAsia="Courier New" w:hAnsi="Courier New"/>
          <w:sz w:val="16"/>
          <w:szCs w:val="16"/>
          <w:color w:val="auto"/>
        </w:rPr>
        <w:t>No. 34-39538 (January 12, 1998), this Schedule 13G reflects the securities beneficially owned, or deemed to be beneficially owned, by BlackRock, Inc. It does not include securities, if any, beneficially owned by certain business units whose ownership of securities is disaggregated from that of BlackRock, Inc.</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in accordance with such release.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17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October 23, 2024</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169"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4" w:lineRule="exact"/>
        <w:rPr>
          <w:sz w:val="20"/>
          <w:szCs w:val="20"/>
          <w:color w:val="auto"/>
        </w:rPr>
      </w:pPr>
    </w:p>
    <w:p>
      <w:pPr>
        <w:ind w:right="3499"/>
        <w:spacing w:after="0" w:line="289"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374" w:lineRule="exact"/>
        <w:rPr>
          <w:sz w:val="20"/>
          <w:szCs w:val="20"/>
          <w:color w:val="auto"/>
        </w:rPr>
      </w:pPr>
    </w:p>
    <w:p>
      <w:pPr>
        <w:ind w:right="2979"/>
        <w:spacing w:after="0" w:line="346"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ectPr>
          <w:pgSz w:w="11900" w:h="16896" w:orient="portrait"/>
          <w:cols w:equalWidth="0" w:num="1">
            <w:col w:w="10139"/>
          </w:cols>
          <w:pgMar w:left="320" w:top="110" w:right="1440" w:bottom="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Subsidiary</w:t>
      </w:r>
    </w:p>
    <w:p>
      <w:pPr>
        <w:spacing w:after="0" w:line="200" w:lineRule="exact"/>
        <w:rPr>
          <w:sz w:val="20"/>
          <w:szCs w:val="20"/>
          <w:color w:val="auto"/>
        </w:rPr>
      </w:pPr>
    </w:p>
    <w:p>
      <w:pPr>
        <w:spacing w:after="0" w:line="204"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Life Limited</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Aperio Group, LLC</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(Netherlands) B.V.</w:t>
      </w:r>
    </w:p>
    <w:p>
      <w:pPr>
        <w:ind w:left="120"/>
        <w:spacing w:after="0"/>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Japan Co., Ltd.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SpiderRock Advisors, LLC</w:t>
      </w:r>
    </w:p>
    <w:p>
      <w:pPr>
        <w:ind w:left="120"/>
        <w:spacing w:after="0"/>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(Luxembourg) S.A.</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(Australia) Limited</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019"/>
        <w:spacing w:after="0" w:line="250"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Eric Andruczyk, Richard Cundiff,</w:t>
      </w:r>
    </w:p>
    <w:p>
      <w:pPr>
        <w:spacing w:after="0" w:line="2" w:lineRule="exact"/>
        <w:rPr>
          <w:sz w:val="20"/>
          <w:szCs w:val="20"/>
          <w:color w:val="auto"/>
        </w:rPr>
      </w:pPr>
    </w:p>
    <w:p>
      <w:pPr>
        <w:ind w:right="2239"/>
        <w:spacing w:after="0" w:line="268" w:lineRule="auto"/>
        <w:rPr>
          <w:sz w:val="20"/>
          <w:szCs w:val="20"/>
          <w:color w:val="auto"/>
        </w:rPr>
      </w:pPr>
      <w:r>
        <w:rPr>
          <w:rFonts w:ascii="Courier New" w:cs="Courier New" w:eastAsia="Courier New" w:hAnsi="Courier New"/>
          <w:sz w:val="16"/>
          <w:szCs w:val="16"/>
          <w:color w:val="auto"/>
        </w:rPr>
        <w:t>R. Andrew Dickson, III, Spencer Fleming, Daniel Goldmintz, Laura Hildner, Elizabeth Kogut, David Maryles, Christopher Meade, Una Neary, Charles Park, Daniel Riemer, David Rothenberg and Brenda Schulz, acting severally, as its true and lawful attorneys-in-fact, for the purpose of, from time to</w:t>
      </w:r>
    </w:p>
    <w:p>
      <w:pPr>
        <w:ind w:right="2119"/>
        <w:spacing w:after="0" w:line="268" w:lineRule="auto"/>
        <w:rPr>
          <w:sz w:val="20"/>
          <w:szCs w:val="20"/>
          <w:color w:val="auto"/>
        </w:rPr>
      </w:pPr>
      <w:r>
        <w:rPr>
          <w:rFonts w:ascii="Courier New" w:cs="Courier New" w:eastAsia="Courier New" w:hAnsi="Courier New"/>
          <w:sz w:val="16"/>
          <w:szCs w:val="16"/>
          <w:color w:val="auto"/>
        </w:rPr>
        <w:t>time, executing, in its name and on its behalf and on behalf of its direct and indirect subsidiaries, any and all documents, certificates, instruments, statements, filings, agreements and amendments (collectively, "documents") determined by such person to be necessary or appropriate to comply with ownership or control-person reporting requirements imposed by any</w:t>
      </w:r>
    </w:p>
    <w:p>
      <w:pPr>
        <w:spacing w:after="0" w:line="1" w:lineRule="exact"/>
        <w:rPr>
          <w:sz w:val="20"/>
          <w:szCs w:val="20"/>
          <w:color w:val="auto"/>
        </w:rPr>
      </w:pPr>
    </w:p>
    <w:p>
      <w:pPr>
        <w:ind w:right="1919"/>
        <w:spacing w:after="0" w:line="276" w:lineRule="auto"/>
        <w:rPr>
          <w:sz w:val="20"/>
          <w:szCs w:val="20"/>
          <w:color w:val="auto"/>
        </w:rPr>
      </w:pPr>
      <w:r>
        <w:rPr>
          <w:rFonts w:ascii="Courier New" w:cs="Courier New" w:eastAsia="Courier New" w:hAnsi="Courier New"/>
          <w:sz w:val="16"/>
          <w:szCs w:val="16"/>
          <w:color w:val="auto"/>
        </w:rPr>
        <w:t>United States or non-United States governmental or regulatory authority, including, without limitation, Schedules 13D and 13G and Forms 3, 4, 5, 13F and 13H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90" w:lineRule="exact"/>
        <w:rPr>
          <w:sz w:val="20"/>
          <w:szCs w:val="20"/>
          <w:color w:val="auto"/>
        </w:rPr>
      </w:pPr>
    </w:p>
    <w:p>
      <w:pPr>
        <w:ind w:right="201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2nd day of January, 2019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30th day of April, 2023.</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ectPr>
          <w:pgSz w:w="11900" w:h="16838" w:orient="portrait"/>
          <w:cols w:equalWidth="0" w:num="1">
            <w:col w:w="10139"/>
          </w:cols>
          <w:pgMar w:left="320" w:top="515" w:right="1440" w:bottom="0" w:gutter="0" w:footer="0" w:header="0"/>
        </w:sect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R. Andrew Dickson, III</w:t>
      </w:r>
    </w:p>
    <w:p>
      <w:pPr>
        <w:sectPr>
          <w:pgSz w:w="11900" w:h="16838" w:orient="portrait"/>
          <w:cols w:equalWidth="0" w:num="1">
            <w:col w:w="10139"/>
          </w:cols>
          <w:pgMar w:left="320" w:top="515" w:right="1440" w:bottom="0" w:gutter="0" w:footer="0" w:header="0"/>
          <w:type w:val="continuous"/>
        </w:sectPr>
      </w:pPr>
    </w:p>
    <w:bookmarkStart w:id="5" w:name="page6"/>
    <w:bookmarkEnd w:id="5"/>
    <w:p>
      <w:pPr>
        <w:spacing w:after="0"/>
        <w:tabs>
          <w:tab w:leader="none" w:pos="720" w:val="left"/>
        </w:tabs>
        <w:rPr>
          <w:sz w:val="20"/>
          <w:szCs w:val="20"/>
          <w:color w:val="auto"/>
        </w:rPr>
      </w:pPr>
      <w:r>
        <w:rPr>
          <w:rFonts w:ascii="Courier New" w:cs="Courier New" w:eastAsia="Courier New" w:hAnsi="Courier New"/>
          <w:sz w:val="16"/>
          <w:szCs w:val="16"/>
          <w:color w:val="auto"/>
        </w:rPr>
        <w:t>Name:</w:t>
        <w:tab/>
        <w:t>R. Andrew Dickson, III</w:t>
      </w:r>
    </w:p>
    <w:p>
      <w:pPr>
        <w:spacing w:after="0" w:line="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Title: Corporate Secretary</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2024-10-23T16:13:48Z</dcterms:created>
  <dcterms:modified xsi:type="dcterms:W3CDTF">2024-10-23T16:13:48Z</dcterms:modified>
</cp:coreProperties>
</file>