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036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3618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KELSO DAVID B</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06/15/2021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4"/>
        <w:spacing w:after="0"/>
        <w:tabs>
          <w:tab w:leader="none" w:pos="514" w:val="left"/>
          <w:tab w:leader="none" w:pos="209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0000FF"/>
              </w:rPr>
              <w:t>06/15/2021</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2,363</w:t>
            </w:r>
          </w:p>
        </w:tc>
        <w:tc>
          <w:tcPr>
            <w:tcW w:w="62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20" w:type="dxa"/>
            <w:vAlign w:val="bottom"/>
            <w:gridSpan w:val="3"/>
          </w:tcPr>
          <w:p>
            <w:pPr>
              <w:ind w:left="500"/>
              <w:spacing w:after="0"/>
              <w:rPr>
                <w:sz w:val="20"/>
                <w:szCs w:val="20"/>
                <w:color w:val="auto"/>
              </w:rPr>
            </w:pPr>
            <w:r>
              <w:rPr>
                <w:rFonts w:ascii="Arial" w:cs="Arial" w:eastAsia="Arial" w:hAnsi="Arial"/>
                <w:sz w:val="17"/>
                <w:szCs w:val="17"/>
                <w:color w:val="0000FF"/>
              </w:rPr>
              <w:t>7,870</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8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20" w:type="dxa"/>
            <w:vAlign w:val="bottom"/>
          </w:tcPr>
          <w:p>
            <w:pPr>
              <w:ind w:left="8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jc w:val="right"/>
              <w:ind w:right="39"/>
              <w:spacing w:after="0"/>
              <w:rPr>
                <w:sz w:val="20"/>
                <w:szCs w:val="20"/>
                <w:color w:val="auto"/>
              </w:rPr>
            </w:pPr>
            <w:r>
              <w:rPr>
                <w:rFonts w:ascii="Arial" w:cs="Arial" w:eastAsia="Arial" w:hAnsi="Arial"/>
                <w:sz w:val="17"/>
                <w:szCs w:val="17"/>
                <w:color w:val="0000FF"/>
                <w:w w:val="93"/>
              </w:rPr>
              <w:t>2,363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Arial" w:cs="Arial" w:eastAsia="Arial" w:hAnsi="Arial"/>
                <w:sz w:val="13"/>
                <w:szCs w:val="13"/>
                <w:color w:val="0000FF"/>
              </w:rPr>
              <w:t>06/15/2021</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880" w:type="dxa"/>
            <w:vAlign w:val="bottom"/>
          </w:tcPr>
          <w:p>
            <w:pPr>
              <w:ind w:left="460"/>
              <w:spacing w:after="0" w:line="143" w:lineRule="exact"/>
              <w:rPr>
                <w:sz w:val="20"/>
                <w:szCs w:val="20"/>
                <w:color w:val="auto"/>
              </w:rPr>
            </w:pPr>
            <w:r>
              <w:rPr>
                <w:rFonts w:ascii="Arial" w:cs="Arial" w:eastAsia="Arial" w:hAnsi="Arial"/>
                <w:sz w:val="13"/>
                <w:szCs w:val="13"/>
                <w:color w:val="0000FF"/>
              </w:rPr>
              <w:t>2,363</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tcPr>
          <w:p>
            <w:pPr>
              <w:ind w:left="240"/>
              <w:spacing w:after="0" w:line="143" w:lineRule="exact"/>
              <w:rPr>
                <w:sz w:val="20"/>
                <w:szCs w:val="20"/>
                <w:color w:val="auto"/>
              </w:rPr>
            </w:pPr>
            <w:r>
              <w:rPr>
                <w:rFonts w:ascii="Arial" w:cs="Arial" w:eastAsia="Arial" w:hAnsi="Arial"/>
                <w:sz w:val="13"/>
                <w:szCs w:val="13"/>
                <w:color w:val="0000FF"/>
                <w:w w:val="90"/>
              </w:rPr>
              <w:t>38,061</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8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5" w:lineRule="exact"/>
        <w:rPr>
          <w:rFonts w:ascii="Arial" w:cs="Arial" w:eastAsia="Arial" w:hAnsi="Arial"/>
          <w:sz w:val="13"/>
          <w:szCs w:val="13"/>
          <w:color w:val="008000"/>
        </w:rPr>
      </w:pPr>
    </w:p>
    <w:p>
      <w:pPr>
        <w:ind w:left="40" w:right="140" w:firstLine="3"/>
        <w:spacing w:after="0" w:line="271"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15, 2020, the reporting person was granted 2,363 restricted stock units, that vest upon the earlier of (i) the first anniversary of the date of grant, (ii) the end of the reporting person's term on the Board if such person is not subsequently elected to a new term on the Board, and (iii) the occurrence of a "Change of Control", as defined in the ExlService Holdings, Inc. 2018 Omnibus Incentive Plan (the "Plan"), and such awards settle upon the earlier of (i) the reporting person's death, (ii) the occurrence of a "Change of Control", as defined in the Plan or (iii) the vesting date.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06/17/2021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2021-06-17T16:05:27Z</dcterms:created>
  <dcterms:modified xsi:type="dcterms:W3CDTF">2021-06-17T16:05:27Z</dcterms:modified>
</cp:coreProperties>
</file>