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31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314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 Villa Rembert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09/26/2017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7"/>
                <w:szCs w:val="17"/>
                <w:color w:val="0000FF"/>
              </w:rPr>
              <w:t>EVP</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09/26/2017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14,239</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23.82</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24,936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09/26/2017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14,239</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57.56</w:t>
            </w:r>
            <w:r>
              <w:rPr>
                <w:rFonts w:ascii="Arial" w:cs="Arial" w:eastAsia="Arial" w:hAnsi="Arial"/>
                <w:sz w:val="22"/>
                <w:szCs w:val="22"/>
                <w:color w:val="008000"/>
                <w:w w:val="91"/>
                <w:vertAlign w:val="superscript"/>
              </w:rPr>
              <w:t>(3)</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10,697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tcPr>
          <w:p>
            <w:pPr>
              <w:jc w:val="center"/>
              <w:ind w:right="34"/>
              <w:spacing w:after="0" w:line="148"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14,239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23.82</w:t>
            </w: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09/26/2017</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ind w:left="380"/>
              <w:spacing w:after="0" w:line="148" w:lineRule="exact"/>
              <w:rPr>
                <w:sz w:val="20"/>
                <w:szCs w:val="20"/>
                <w:color w:val="auto"/>
              </w:rPr>
            </w:pPr>
            <w:r>
              <w:rPr>
                <w:rFonts w:ascii="Arial" w:cs="Arial" w:eastAsia="Arial" w:hAnsi="Arial"/>
                <w:sz w:val="13"/>
                <w:szCs w:val="13"/>
                <w:color w:val="0000FF"/>
              </w:rPr>
              <w:t>14,239</w:t>
            </w:r>
          </w:p>
        </w:tc>
        <w:tc>
          <w:tcPr>
            <w:tcW w:w="820" w:type="dxa"/>
            <w:vAlign w:val="bottom"/>
            <w:gridSpan w:val="2"/>
            <w:vMerge w:val="continue"/>
          </w:tcPr>
          <w:p>
            <w:pPr>
              <w:spacing w:after="0"/>
              <w:rPr>
                <w:sz w:val="12"/>
                <w:szCs w:val="12"/>
                <w:color w:val="auto"/>
              </w:rPr>
            </w:pPr>
          </w:p>
        </w:tc>
        <w:tc>
          <w:tcPr>
            <w:tcW w:w="740" w:type="dxa"/>
            <w:vAlign w:val="bottom"/>
          </w:tcPr>
          <w:p>
            <w:pPr>
              <w:ind w:left="40"/>
              <w:spacing w:after="0" w:line="148" w:lineRule="exact"/>
              <w:rPr>
                <w:sz w:val="20"/>
                <w:szCs w:val="20"/>
                <w:color w:val="auto"/>
              </w:rPr>
            </w:pPr>
            <w:r>
              <w:rPr>
                <w:rFonts w:ascii="Arial" w:cs="Arial" w:eastAsia="Arial" w:hAnsi="Arial"/>
                <w:sz w:val="13"/>
                <w:szCs w:val="13"/>
                <w:color w:val="0000FF"/>
              </w:rPr>
              <w:t>04/24/2018</w:t>
            </w:r>
          </w:p>
        </w:tc>
        <w:tc>
          <w:tcPr>
            <w:tcW w:w="680" w:type="dxa"/>
            <w:vAlign w:val="bottom"/>
          </w:tcPr>
          <w:p>
            <w:pPr>
              <w:ind w:left="4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ind w:right="14"/>
              <w:spacing w:after="0" w:line="148" w:lineRule="exact"/>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26, 2017 the reporting person exercised previously issued options to purchase an aggregate of 14,239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$57.16 to $57.80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24, 2008, the reporting person was granted 40,000 stock options. 10 percent of these options became vested and exercisable on April 24, 2009, an additional 20 percent became vested and exercisable on April 24, 2010, an additional 30 percent became vested and exercisable on April 24, 2011, and the balance of 40 percent became vested and exercisable on April 24, 2012.</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09/28/2017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2019-12-04T01:06:31Z</dcterms:created>
  <dcterms:modified xsi:type="dcterms:W3CDTF">2019-12-04T01:06:31Z</dcterms:modified>
</cp:coreProperties>
</file>