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514540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34290"/>
                    </a:xfrm>
                    <a:prstGeom prst="rect">
                      <a:avLst/>
                    </a:prstGeom>
                    <a:noFill/>
                  </pic:spPr>
                </pic:pic>
              </a:graphicData>
            </a:graphic>
          </wp:anchor>
        </w:drawing>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27"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FORM 8-K</w:t>
      </w:r>
    </w:p>
    <w:p>
      <w:pPr>
        <w:spacing w:after="0" w:line="24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 PURSUANT</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40" w:lineRule="exact"/>
        <w:rPr>
          <w:sz w:val="24"/>
          <w:szCs w:val="24"/>
          <w:color w:val="auto"/>
        </w:rPr>
      </w:pPr>
    </w:p>
    <w:p>
      <w:pPr>
        <w:ind w:left="1640"/>
        <w:spacing w:after="0"/>
        <w:tabs>
          <w:tab w:leader="none" w:pos="52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b w:val="1"/>
          <w:bCs w:val="1"/>
          <w:color w:val="auto"/>
        </w:rPr>
        <w:t>October 10, 2008</w:t>
      </w:r>
    </w:p>
    <w:p>
      <w:pPr>
        <w:spacing w:after="0" w:line="200" w:lineRule="exact"/>
        <w:rPr>
          <w:sz w:val="24"/>
          <w:szCs w:val="24"/>
          <w:color w:val="auto"/>
        </w:rPr>
      </w:pPr>
    </w:p>
    <w:p>
      <w:pPr>
        <w:spacing w:after="0" w:line="254" w:lineRule="exact"/>
        <w:rPr>
          <w:sz w:val="24"/>
          <w:szCs w:val="24"/>
          <w:color w:val="auto"/>
        </w:rPr>
      </w:pPr>
    </w:p>
    <w:p>
      <w:pPr>
        <w:ind w:left="2280"/>
        <w:spacing w:after="0"/>
        <w:rPr>
          <w:sz w:val="20"/>
          <w:szCs w:val="20"/>
          <w:color w:val="auto"/>
        </w:rPr>
      </w:pPr>
      <w:r>
        <w:rPr>
          <w:rFonts w:ascii="Arial" w:cs="Arial" w:eastAsia="Arial" w:hAnsi="Arial"/>
          <w:sz w:val="24"/>
          <w:szCs w:val="24"/>
          <w:b w:val="1"/>
          <w:bCs w:val="1"/>
          <w:color w:val="auto"/>
        </w:rPr>
        <w:t>EXLSERVICE HOLDINGS, INC.</w:t>
      </w:r>
    </w:p>
    <w:p>
      <w:pPr>
        <w:spacing w:after="0" w:line="41"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(State or other jurisdiction of incorporation)</w:t>
      </w:r>
    </w:p>
    <w:p>
      <w:pPr>
        <w:spacing w:after="0" w:line="240" w:lineRule="exact"/>
        <w:rPr>
          <w:sz w:val="24"/>
          <w:szCs w:val="24"/>
          <w:color w:val="auto"/>
        </w:rPr>
      </w:pPr>
    </w:p>
    <w:tbl>
      <w:tblPr>
        <w:tblLayout w:type="fixed"/>
        <w:tblInd w:w="60" w:type="dxa"/>
        <w:tblCellMar>
          <w:top w:w="0" w:type="dxa"/>
          <w:left w:w="0" w:type="dxa"/>
          <w:bottom w:w="0" w:type="dxa"/>
          <w:right w:w="0" w:type="dxa"/>
        </w:tblCellMar>
      </w:tblPr>
      <w:tr>
        <w:trPr>
          <w:trHeight w:val="228"/>
        </w:trPr>
        <w:tc>
          <w:tcPr>
            <w:tcW w:w="422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001-33089</w:t>
            </w:r>
          </w:p>
        </w:tc>
        <w:tc>
          <w:tcPr>
            <w:tcW w:w="3780" w:type="dxa"/>
            <w:vAlign w:val="bottom"/>
          </w:tcPr>
          <w:p>
            <w:pPr>
              <w:jc w:val="right"/>
              <w:ind w:right="1332"/>
              <w:spacing w:after="0"/>
              <w:rPr>
                <w:sz w:val="20"/>
                <w:szCs w:val="20"/>
                <w:color w:val="auto"/>
              </w:rPr>
            </w:pPr>
            <w:r>
              <w:rPr>
                <w:rFonts w:ascii="Arial" w:cs="Arial" w:eastAsia="Arial" w:hAnsi="Arial"/>
                <w:sz w:val="18"/>
                <w:szCs w:val="18"/>
                <w:b w:val="1"/>
                <w:bCs w:val="1"/>
                <w:color w:val="auto"/>
              </w:rPr>
              <w:t>82-0572194</w:t>
            </w:r>
          </w:p>
        </w:tc>
      </w:tr>
      <w:tr>
        <w:trPr>
          <w:trHeight w:val="97"/>
        </w:trPr>
        <w:tc>
          <w:tcPr>
            <w:tcW w:w="422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r>
      <w:tr>
        <w:trPr>
          <w:trHeight w:val="216"/>
        </w:trPr>
        <w:tc>
          <w:tcPr>
            <w:tcW w:w="4220" w:type="dxa"/>
            <w:vAlign w:val="bottom"/>
          </w:tcPr>
          <w:p>
            <w:pPr>
              <w:jc w:val="center"/>
              <w:spacing w:after="0"/>
              <w:rPr>
                <w:sz w:val="20"/>
                <w:szCs w:val="20"/>
                <w:color w:val="auto"/>
              </w:rPr>
            </w:pPr>
            <w:r>
              <w:rPr>
                <w:rFonts w:ascii="Arial" w:cs="Arial" w:eastAsia="Arial" w:hAnsi="Arial"/>
                <w:sz w:val="18"/>
                <w:szCs w:val="18"/>
                <w:color w:val="auto"/>
                <w:w w:val="90"/>
              </w:rPr>
              <w:t>(Commission File Number)</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(I.R.S. Employer Identification No.)</w:t>
            </w:r>
          </w:p>
        </w:tc>
      </w:tr>
      <w:tr>
        <w:trPr>
          <w:trHeight w:val="628"/>
        </w:trPr>
        <w:tc>
          <w:tcPr>
            <w:tcW w:w="422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350 Park Avenue</w:t>
            </w:r>
          </w:p>
        </w:tc>
        <w:tc>
          <w:tcPr>
            <w:tcW w:w="3780" w:type="dxa"/>
            <w:vAlign w:val="bottom"/>
          </w:tcPr>
          <w:p>
            <w:pPr>
              <w:spacing w:after="0"/>
              <w:rPr>
                <w:sz w:val="24"/>
                <w:szCs w:val="24"/>
                <w:color w:val="auto"/>
              </w:rPr>
            </w:pPr>
          </w:p>
        </w:tc>
      </w:tr>
      <w:tr>
        <w:trPr>
          <w:trHeight w:val="255"/>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New York</w:t>
            </w:r>
          </w:p>
        </w:tc>
        <w:tc>
          <w:tcPr>
            <w:tcW w:w="3780" w:type="dxa"/>
            <w:vAlign w:val="bottom"/>
          </w:tcPr>
          <w:p>
            <w:pPr>
              <w:jc w:val="right"/>
              <w:ind w:right="1532"/>
              <w:spacing w:after="0"/>
              <w:rPr>
                <w:sz w:val="20"/>
                <w:szCs w:val="20"/>
                <w:color w:val="auto"/>
              </w:rPr>
            </w:pPr>
            <w:r>
              <w:rPr>
                <w:rFonts w:ascii="Arial" w:cs="Arial" w:eastAsia="Arial" w:hAnsi="Arial"/>
                <w:sz w:val="18"/>
                <w:szCs w:val="18"/>
                <w:b w:val="1"/>
                <w:bCs w:val="1"/>
                <w:color w:val="auto"/>
              </w:rPr>
              <w:t>10022</w:t>
            </w:r>
          </w:p>
        </w:tc>
      </w:tr>
      <w:tr>
        <w:trPr>
          <w:trHeight w:val="97"/>
        </w:trPr>
        <w:tc>
          <w:tcPr>
            <w:tcW w:w="422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r>
      <w:tr>
        <w:trPr>
          <w:trHeight w:val="216"/>
        </w:trPr>
        <w:tc>
          <w:tcPr>
            <w:tcW w:w="422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317" w:lineRule="exact"/>
        <w:rPr>
          <w:sz w:val="24"/>
          <w:szCs w:val="24"/>
          <w:color w:val="auto"/>
        </w:rPr>
      </w:pPr>
    </w:p>
    <w:p>
      <w:pPr>
        <w:jc w:val="center"/>
        <w:ind w:right="2239"/>
        <w:spacing w:after="0"/>
        <w:rPr>
          <w:sz w:val="20"/>
          <w:szCs w:val="20"/>
          <w:color w:val="auto"/>
        </w:rPr>
      </w:pPr>
      <w:r>
        <w:rPr>
          <w:rFonts w:ascii="Arial" w:cs="Arial" w:eastAsia="Arial" w:hAnsi="Arial"/>
          <w:sz w:val="18"/>
          <w:szCs w:val="18"/>
          <w:b w:val="1"/>
          <w:bCs w:val="1"/>
          <w:color w:val="auto"/>
        </w:rPr>
        <w:t>(212) 277-7100</w:t>
      </w:r>
    </w:p>
    <w:p>
      <w:pPr>
        <w:spacing w:after="0" w:line="21"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(Registrant’s Telephone Number, Including Area Code)</w:t>
      </w:r>
    </w:p>
    <w:p>
      <w:pPr>
        <w:spacing w:after="0" w:line="240" w:lineRule="exact"/>
        <w:rPr>
          <w:sz w:val="24"/>
          <w:szCs w:val="24"/>
          <w:color w:val="auto"/>
        </w:rPr>
      </w:pPr>
    </w:p>
    <w:p>
      <w:pPr>
        <w:jc w:val="center"/>
        <w:ind w:right="2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6" w:lineRule="exact"/>
        <w:rPr>
          <w:sz w:val="24"/>
          <w:szCs w:val="24"/>
          <w:color w:val="auto"/>
        </w:rPr>
      </w:pPr>
    </w:p>
    <w:p>
      <w:pPr>
        <w:ind w:right="2119" w:firstLine="324"/>
        <w:spacing w:after="0" w:line="367"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General Instruction A.2. below):</w:t>
      </w:r>
    </w:p>
    <w:p>
      <w:pPr>
        <w:spacing w:after="0" w:line="123"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87"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31" w:lineRule="exact"/>
        <w:rPr>
          <w:rFonts w:ascii="Arial" w:cs="Arial" w:eastAsia="Arial" w:hAnsi="Arial"/>
          <w:sz w:val="22"/>
          <w:szCs w:val="22"/>
          <w:color w:val="auto"/>
        </w:rPr>
      </w:pPr>
    </w:p>
    <w:p>
      <w:pPr>
        <w:ind w:left="340" w:right="2119" w:hanging="8"/>
        <w:spacing w:after="0" w:line="228" w:lineRule="auto"/>
        <w:tabs>
          <w:tab w:leader="none" w:pos="583"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65" w:lineRule="exact"/>
        <w:rPr>
          <w:rFonts w:ascii="Arial" w:cs="Arial" w:eastAsia="Arial" w:hAnsi="Arial"/>
          <w:sz w:val="22"/>
          <w:szCs w:val="22"/>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5"/>
          <w:szCs w:val="15"/>
          <w:color w:val="auto"/>
        </w:rPr>
        <w:t>Pre-commencement communications pursuant to Rule 13e-4(c) under the Exchange Act (17 CFR 240.13e-</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514540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660400</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787" w:right="1440" w:bottom="1440" w:gutter="0" w:footer="0" w:header="0"/>
        </w:sectPr>
      </w:pPr>
    </w:p>
    <w:bookmarkStart w:id="1" w:name="page2"/>
    <w:bookmarkEnd w:id="1"/>
    <w:p>
      <w:pPr>
        <w:jc w:val="both"/>
        <w:ind w:left="1300" w:right="2119" w:hanging="1296"/>
        <w:spacing w:after="0" w:line="26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2" w:lineRule="exact"/>
        <w:rPr>
          <w:sz w:val="20"/>
          <w:szCs w:val="20"/>
          <w:color w:val="auto"/>
        </w:rPr>
      </w:pPr>
    </w:p>
    <w:p>
      <w:pPr>
        <w:jc w:val="both"/>
        <w:ind w:right="2119" w:firstLine="1297"/>
        <w:spacing w:after="0" w:line="256" w:lineRule="auto"/>
        <w:rPr>
          <w:sz w:val="20"/>
          <w:szCs w:val="20"/>
          <w:color w:val="auto"/>
        </w:rPr>
      </w:pPr>
      <w:r>
        <w:rPr>
          <w:rFonts w:ascii="Arial" w:cs="Arial" w:eastAsia="Arial" w:hAnsi="Arial"/>
          <w:sz w:val="18"/>
          <w:szCs w:val="18"/>
          <w:color w:val="auto"/>
        </w:rPr>
        <w:t>On October 14, 2008, ExlService Holdings, Inc. (the “Company”) announced that Matthew Appel, the Company’s Chief Financial Officer, will resign from the Company effective March 16, 2009 (the “Separation Date”). Mr. Appel intends to return to the Dallas, Texas area, where his family resides, to pursue other business interests.</w:t>
      </w:r>
    </w:p>
    <w:p>
      <w:pPr>
        <w:spacing w:after="0" w:line="197" w:lineRule="exact"/>
        <w:rPr>
          <w:sz w:val="20"/>
          <w:szCs w:val="20"/>
          <w:color w:val="auto"/>
        </w:rPr>
      </w:pPr>
    </w:p>
    <w:p>
      <w:pPr>
        <w:jc w:val="both"/>
        <w:ind w:right="2099" w:firstLine="1297"/>
        <w:spacing w:after="0" w:line="288" w:lineRule="auto"/>
        <w:rPr>
          <w:sz w:val="20"/>
          <w:szCs w:val="20"/>
          <w:color w:val="auto"/>
        </w:rPr>
      </w:pPr>
      <w:r>
        <w:rPr>
          <w:rFonts w:ascii="Arial" w:cs="Arial" w:eastAsia="Arial" w:hAnsi="Arial"/>
          <w:sz w:val="16"/>
          <w:szCs w:val="16"/>
          <w:color w:val="auto"/>
        </w:rPr>
        <w:t>In connection with his resignation, on October 10, 2008, Mr. Appel entered into a Separation Agreement (the “Agreement”) with the Company. The Agreement provides that Mr. Appel will assist the Company in filing its Annual Report on Form 10-K for the fiscal year ending December 31, 2008 (the “2008 10-K”) on or before March 16, 2009. If Mr. Appel satisfies certain personal performance goals during his remaining tenure with the Company in addition to assisting in a timely filing of the 2008 10-K, Mr. Appel will be entitled to receive a bonus on the business day after the filing of the 2008 10-K. The Separation Date can be extended to the earlier of (i) the date on which the 2008 10-K is filed with the SEC and (ii) April 15, 2009. The Company will commence a comprehensive search for Mr. Appel’s successor. Mr. Appel’s scheduled separation is expected to enable the Company to conduct an orderly transition of Mr. Appel’s duties to his successor.</w:t>
      </w:r>
    </w:p>
    <w:p>
      <w:pPr>
        <w:spacing w:after="0" w:line="174" w:lineRule="exact"/>
        <w:rPr>
          <w:sz w:val="20"/>
          <w:szCs w:val="20"/>
          <w:color w:val="auto"/>
        </w:rPr>
      </w:pPr>
    </w:p>
    <w:p>
      <w:pPr>
        <w:jc w:val="both"/>
        <w:ind w:right="2119" w:firstLine="1297"/>
        <w:spacing w:after="0" w:line="268" w:lineRule="auto"/>
        <w:rPr>
          <w:sz w:val="20"/>
          <w:szCs w:val="20"/>
          <w:color w:val="auto"/>
        </w:rPr>
      </w:pPr>
      <w:r>
        <w:rPr>
          <w:rFonts w:ascii="Arial" w:cs="Arial" w:eastAsia="Arial" w:hAnsi="Arial"/>
          <w:sz w:val="18"/>
          <w:szCs w:val="18"/>
          <w:color w:val="auto"/>
        </w:rPr>
        <w:t>The description of the terms of the Agreement is qualified by reference to the Agreement, a copy of which will be filed with the 2008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2" w:name="page3"/>
    <w:bookmarkEnd w:id="2"/>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119" w:firstLine="1297"/>
        <w:spacing w:after="0" w:line="33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on Form 8-K to be signed on its behalf by the undersigned, thereunto duly authorized.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20" w:type="dxa"/>
            <w:vAlign w:val="bottom"/>
          </w:tcPr>
          <w:p>
            <w:pPr>
              <w:spacing w:after="0"/>
              <w:rPr>
                <w:sz w:val="19"/>
                <w:szCs w:val="19"/>
                <w:color w:val="auto"/>
              </w:rPr>
            </w:pPr>
          </w:p>
        </w:tc>
        <w:tc>
          <w:tcPr>
            <w:tcW w:w="5440" w:type="dxa"/>
            <w:vAlign w:val="bottom"/>
            <w:gridSpan w:val="2"/>
          </w:tcPr>
          <w:p>
            <w:pPr>
              <w:ind w:left="1480"/>
              <w:spacing w:after="0"/>
              <w:rPr>
                <w:sz w:val="20"/>
                <w:szCs w:val="20"/>
                <w:color w:val="auto"/>
              </w:rPr>
            </w:pPr>
            <w:r>
              <w:rPr>
                <w:rFonts w:ascii="Arial" w:cs="Arial" w:eastAsia="Arial" w:hAnsi="Arial"/>
                <w:sz w:val="18"/>
                <w:szCs w:val="18"/>
                <w:b w:val="1"/>
                <w:bCs w:val="1"/>
                <w:color w:val="auto"/>
              </w:rPr>
              <w:t>EXLSERVICE HOLDINGS, INC.</w:t>
            </w:r>
          </w:p>
        </w:tc>
      </w:tr>
      <w:tr>
        <w:trPr>
          <w:trHeight w:val="222"/>
        </w:trPr>
        <w:tc>
          <w:tcPr>
            <w:tcW w:w="3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703"/>
        </w:trPr>
        <w:tc>
          <w:tcPr>
            <w:tcW w:w="3220" w:type="dxa"/>
            <w:vAlign w:val="bottom"/>
          </w:tcPr>
          <w:p>
            <w:pPr>
              <w:spacing w:after="0"/>
              <w:rPr>
                <w:sz w:val="20"/>
                <w:szCs w:val="20"/>
                <w:color w:val="auto"/>
              </w:rPr>
            </w:pPr>
            <w:r>
              <w:rPr>
                <w:rFonts w:ascii="Arial" w:cs="Arial" w:eastAsia="Arial" w:hAnsi="Arial"/>
                <w:sz w:val="18"/>
                <w:szCs w:val="18"/>
                <w:color w:val="auto"/>
              </w:rPr>
              <w:t>Date:  October 14, 2008</w:t>
            </w:r>
          </w:p>
        </w:tc>
        <w:tc>
          <w:tcPr>
            <w:tcW w:w="5440" w:type="dxa"/>
            <w:vAlign w:val="bottom"/>
            <w:gridSpan w:val="2"/>
          </w:tcPr>
          <w:p>
            <w:pPr>
              <w:ind w:left="1480"/>
              <w:spacing w:after="0"/>
              <w:rPr>
                <w:sz w:val="20"/>
                <w:szCs w:val="20"/>
                <w:color w:val="auto"/>
              </w:rPr>
            </w:pPr>
            <w:r>
              <w:rPr>
                <w:rFonts w:ascii="Arial" w:cs="Arial" w:eastAsia="Arial" w:hAnsi="Arial"/>
                <w:sz w:val="18"/>
                <w:szCs w:val="18"/>
                <w:color w:val="auto"/>
              </w:rPr>
              <w:t>By: /s/ Amit Shashank</w:t>
            </w:r>
          </w:p>
        </w:tc>
      </w:tr>
      <w:tr>
        <w:trPr>
          <w:trHeight w:val="202"/>
        </w:trPr>
        <w:tc>
          <w:tcPr>
            <w:tcW w:w="3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5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Name: Amit Shashank</w:t>
            </w:r>
          </w:p>
        </w:tc>
      </w:tr>
      <w:tr>
        <w:trPr>
          <w:trHeight w:val="216"/>
        </w:trPr>
        <w:tc>
          <w:tcPr>
            <w:tcW w:w="3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Title:  Vice President, General Counsel</w:t>
            </w:r>
          </w:p>
        </w:tc>
      </w:tr>
      <w:tr>
        <w:trPr>
          <w:trHeight w:val="222"/>
        </w:trPr>
        <w:tc>
          <w:tcPr>
            <w:tcW w:w="3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580" w:type="dxa"/>
            <w:vAlign w:val="bottom"/>
          </w:tcPr>
          <w:p>
            <w:pPr>
              <w:ind w:left="540"/>
              <w:spacing w:after="0"/>
              <w:rPr>
                <w:sz w:val="20"/>
                <w:szCs w:val="20"/>
                <w:color w:val="auto"/>
              </w:rPr>
            </w:pPr>
            <w:r>
              <w:rPr>
                <w:rFonts w:ascii="Arial" w:cs="Arial" w:eastAsia="Arial" w:hAnsi="Arial"/>
                <w:sz w:val="18"/>
                <w:szCs w:val="18"/>
                <w:color w:val="auto"/>
              </w:rPr>
              <w:t>and Corporate Secretary</w:t>
            </w:r>
          </w:p>
        </w:tc>
      </w:tr>
    </w:tbl>
    <w:p>
      <w:pPr>
        <w:spacing w:after="0" w:line="1" w:lineRule="exact"/>
        <w:rPr>
          <w:sz w:val="20"/>
          <w:szCs w:val="20"/>
          <w:color w:val="auto"/>
        </w:rPr>
      </w:pPr>
    </w:p>
    <w:sectPr>
      <w:pgSz w:w="11900" w:h="16838" w:orient="portrait"/>
      <w:cols w:equalWidth="0" w:num="1">
        <w:col w:w="10219"/>
      </w:cols>
      <w:pgMar w:left="240" w:top="6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2019-12-15T09:40:16Z</dcterms:created>
  <dcterms:modified xsi:type="dcterms:W3CDTF">2019-12-15T09:40:16Z</dcterms:modified>
</cp:coreProperties>
</file>