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3"/>
        </w:trPr>
        <w:tc>
          <w:tcPr>
            <w:tcW w:w="132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60" w:type="dxa"/>
            <w:vAlign w:val="bottom"/>
            <w:gridSpan w:val="4"/>
          </w:tcPr>
          <w:p>
            <w:pPr>
              <w:ind w:left="60"/>
              <w:spacing w:after="0" w:line="263" w:lineRule="exact"/>
              <w:rPr>
                <w:sz w:val="20"/>
                <w:szCs w:val="20"/>
                <w:color w:val="auto"/>
              </w:rPr>
            </w:pPr>
            <w:r>
              <w:rPr>
                <w:rFonts w:ascii="Arial" w:cs="Arial" w:eastAsia="Arial" w:hAnsi="Arial"/>
                <w:sz w:val="23"/>
                <w:szCs w:val="23"/>
                <w:b w:val="1"/>
                <w:bCs w:val="1"/>
                <w:color w:val="auto"/>
              </w:rPr>
              <w:t>FORM 4</w:t>
            </w:r>
          </w:p>
        </w:tc>
        <w:tc>
          <w:tcPr>
            <w:tcW w:w="6220" w:type="dxa"/>
            <w:vAlign w:val="bottom"/>
            <w:gridSpan w:val="22"/>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6"/>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6"/>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22"/>
            <w:vMerge w:val="restart"/>
          </w:tcPr>
          <w:p>
            <w:pPr>
              <w:jc w:val="center"/>
              <w:ind w:right="78"/>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6220" w:type="dxa"/>
            <w:vAlign w:val="bottom"/>
            <w:gridSpan w:val="2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40" w:type="dxa"/>
            <w:vAlign w:val="bottom"/>
          </w:tcPr>
          <w:p>
            <w:pPr>
              <w:spacing w:after="0"/>
              <w:rPr>
                <w:sz w:val="11"/>
                <w:szCs w:val="11"/>
                <w:color w:val="auto"/>
              </w:rPr>
            </w:pPr>
          </w:p>
        </w:tc>
        <w:tc>
          <w:tcPr>
            <w:tcW w:w="4500" w:type="dxa"/>
            <w:vAlign w:val="bottom"/>
            <w:gridSpan w:val="19"/>
            <w:vMerge w:val="restart"/>
          </w:tcPr>
          <w:p>
            <w:pPr>
              <w:jc w:val="center"/>
              <w:ind w:right="50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3"/>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500" w:type="dxa"/>
            <w:vAlign w:val="bottom"/>
            <w:gridSpan w:val="19"/>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00" w:type="dxa"/>
            <w:vAlign w:val="bottom"/>
            <w:gridSpan w:val="19"/>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gridSpan w:val="11"/>
          </w:tcPr>
          <w:p>
            <w:pPr>
              <w:jc w:val="center"/>
              <w:ind w:right="240"/>
              <w:spacing w:after="0"/>
              <w:rPr>
                <w:sz w:val="20"/>
                <w:szCs w:val="20"/>
                <w:color w:val="auto"/>
              </w:rPr>
            </w:pPr>
            <w:r>
              <w:rPr>
                <w:rFonts w:ascii="Arial" w:cs="Arial" w:eastAsia="Arial" w:hAnsi="Arial"/>
                <w:sz w:val="13"/>
                <w:szCs w:val="13"/>
                <w:color w:val="auto"/>
                <w:w w:val="98"/>
              </w:rPr>
              <w:t>or Section 30(h) of the Investment Company Act of 1940</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840" w:type="dxa"/>
            <w:vAlign w:val="bottom"/>
            <w:tcBorders>
              <w:bottom w:val="single" w:sz="8" w:color="2C2C2C"/>
            </w:tcBorders>
            <w:gridSpan w:val="9"/>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gridSpan w:val="2"/>
            <w:vMerge w:val="restart"/>
          </w:tcPr>
          <w:p>
            <w:pPr>
              <w:spacing w:after="0" w:line="237" w:lineRule="exact"/>
              <w:rPr>
                <w:rFonts w:ascii="Arial" w:cs="Arial" w:eastAsia="Arial" w:hAnsi="Arial"/>
                <w:sz w:val="21"/>
                <w:szCs w:val="21"/>
                <w:color w:val="0000EE"/>
                <w:w w:val="89"/>
              </w:rPr>
            </w:pPr>
            <w:hyperlink r:id="rId8">
              <w:r>
                <w:rPr>
                  <w:rFonts w:ascii="Arial" w:cs="Arial" w:eastAsia="Arial" w:hAnsi="Arial"/>
                  <w:sz w:val="21"/>
                  <w:szCs w:val="21"/>
                  <w:color w:val="0000EE"/>
                  <w:w w:val="89"/>
                </w:rPr>
                <w:t>Jetley Vivek</w:t>
              </w:r>
            </w:hyperlink>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11"/>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ExlService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EXLS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020" w:type="dxa"/>
            <w:vAlign w:val="bottom"/>
            <w:tcBorders>
              <w:bottom w:val="single" w:sz="8" w:color="0000EE"/>
            </w:tcBorders>
            <w:gridSpan w:val="2"/>
            <w:vMerge w:val="continue"/>
          </w:tcPr>
          <w:p>
            <w:pPr>
              <w:spacing w:after="0"/>
              <w:rPr>
                <w:sz w:val="4"/>
                <w:szCs w:val="4"/>
                <w:color w:val="auto"/>
              </w:rPr>
            </w:pPr>
          </w:p>
        </w:tc>
        <w:tc>
          <w:tcPr>
            <w:tcW w:w="18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20" w:type="dxa"/>
            <w:vAlign w:val="bottom"/>
            <w:gridSpan w:val="2"/>
          </w:tcPr>
          <w:p>
            <w:pPr>
              <w:spacing w:after="0"/>
              <w:rPr>
                <w:sz w:val="3"/>
                <w:szCs w:val="3"/>
                <w:color w:val="auto"/>
              </w:rPr>
            </w:pPr>
          </w:p>
        </w:tc>
        <w:tc>
          <w:tcPr>
            <w:tcW w:w="1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vMerge w:val="restart"/>
          </w:tcPr>
          <w:p>
            <w:pPr>
              <w:spacing w:after="0"/>
              <w:rPr>
                <w:sz w:val="7"/>
                <w:szCs w:val="7"/>
                <w:color w:val="auto"/>
              </w:rPr>
            </w:pPr>
          </w:p>
        </w:tc>
        <w:tc>
          <w:tcPr>
            <w:tcW w:w="1220" w:type="dxa"/>
            <w:vAlign w:val="bottom"/>
            <w:gridSpan w:val="4"/>
            <w:vMerge w:val="restart"/>
          </w:tcPr>
          <w:p>
            <w:pPr>
              <w:ind w:left="140"/>
              <w:spacing w:after="0" w:line="143"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60" w:type="dxa"/>
            <w:vAlign w:val="bottom"/>
            <w:gridSpan w:val="6"/>
            <w:vMerge w:val="restart"/>
          </w:tcPr>
          <w:p>
            <w:pPr>
              <w:ind w:left="200"/>
              <w:spacing w:after="0" w:line="14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460" w:type="dxa"/>
            <w:vAlign w:val="bottom"/>
            <w:tcBorders>
              <w:top w:val="single" w:sz="8" w:color="EEEEEE"/>
            </w:tcBorders>
          </w:tcPr>
          <w:p>
            <w:pPr>
              <w:spacing w:after="0"/>
              <w:rPr>
                <w:sz w:val="10"/>
                <w:szCs w:val="10"/>
                <w:color w:val="auto"/>
              </w:rPr>
            </w:pPr>
          </w:p>
        </w:tc>
        <w:tc>
          <w:tcPr>
            <w:tcW w:w="180" w:type="dxa"/>
            <w:vAlign w:val="bottom"/>
            <w:tcBorders>
              <w:top w:val="single" w:sz="8" w:color="EEEEEE"/>
            </w:tcBorders>
          </w:tcPr>
          <w:p>
            <w:pPr>
              <w:spacing w:after="0"/>
              <w:rPr>
                <w:sz w:val="10"/>
                <w:szCs w:val="10"/>
                <w:color w:val="auto"/>
              </w:rPr>
            </w:pPr>
          </w:p>
        </w:tc>
        <w:tc>
          <w:tcPr>
            <w:tcW w:w="122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Borders>
              <w:top w:val="single" w:sz="8" w:color="EEEEEE"/>
            </w:tcBorders>
          </w:tcPr>
          <w:p>
            <w:pPr>
              <w:spacing w:after="0"/>
              <w:rPr>
                <w:sz w:val="10"/>
                <w:szCs w:val="10"/>
                <w:color w:val="auto"/>
              </w:rPr>
            </w:pPr>
          </w:p>
        </w:tc>
        <w:tc>
          <w:tcPr>
            <w:tcW w:w="1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gridSpan w:val="11"/>
            <w:vMerge w:val="continue"/>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260" w:type="dxa"/>
            <w:vAlign w:val="bottom"/>
            <w:gridSpan w:val="8"/>
          </w:tcPr>
          <w:p>
            <w:pPr>
              <w:ind w:left="340"/>
              <w:spacing w:after="0"/>
              <w:rPr>
                <w:sz w:val="20"/>
                <w:szCs w:val="20"/>
                <w:color w:val="auto"/>
              </w:rPr>
            </w:pPr>
            <w:r>
              <w:rPr>
                <w:rFonts w:ascii="Arial" w:cs="Arial" w:eastAsia="Arial" w:hAnsi="Arial"/>
                <w:sz w:val="17"/>
                <w:szCs w:val="17"/>
                <w:color w:val="0000FF"/>
              </w:rPr>
              <w:t>06/21/2023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gridSpan w:val="6"/>
            <w:vMerge w:val="restart"/>
          </w:tcPr>
          <w:p>
            <w:pPr>
              <w:ind w:left="280"/>
              <w:spacing w:after="0"/>
              <w:rPr>
                <w:sz w:val="20"/>
                <w:szCs w:val="20"/>
                <w:color w:val="auto"/>
              </w:rPr>
            </w:pPr>
            <w:r>
              <w:rPr>
                <w:rFonts w:ascii="Arial" w:cs="Arial" w:eastAsia="Arial" w:hAnsi="Arial"/>
                <w:sz w:val="17"/>
                <w:szCs w:val="17"/>
                <w:color w:val="0000FF"/>
                <w:w w:val="90"/>
              </w:rPr>
              <w:t>EVP and Head of Analytics</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6"/>
            <w:vMerge w:val="restart"/>
          </w:tcPr>
          <w:p>
            <w:pPr>
              <w:ind w:left="20"/>
              <w:spacing w:after="0" w:line="176" w:lineRule="exact"/>
              <w:rPr>
                <w:sz w:val="20"/>
                <w:szCs w:val="20"/>
                <w:color w:val="auto"/>
              </w:rPr>
            </w:pPr>
            <w:r>
              <w:rPr>
                <w:rFonts w:ascii="Arial" w:cs="Arial" w:eastAsia="Arial" w:hAnsi="Arial"/>
                <w:sz w:val="17"/>
                <w:szCs w:val="17"/>
                <w:color w:val="0000FF"/>
              </w:rPr>
              <w:t>320 PARK AVENUE</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6"/>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8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15"/>
                <w:szCs w:val="15"/>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46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040" w:type="dxa"/>
            <w:vAlign w:val="bottom"/>
            <w:vMerge w:val="restart"/>
          </w:tcPr>
          <w:p>
            <w:pPr>
              <w:ind w:left="4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0" w:type="dxa"/>
            <w:vAlign w:val="bottom"/>
            <w:gridSpan w:val="1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11"/>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6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ind w:left="160"/>
              <w:spacing w:after="0" w:line="105" w:lineRule="exact"/>
              <w:rPr>
                <w:sz w:val="20"/>
                <w:szCs w:val="20"/>
                <w:color w:val="auto"/>
              </w:rPr>
            </w:pPr>
            <w:r>
              <w:rPr>
                <w:rFonts w:ascii="Arial" w:cs="Arial" w:eastAsia="Arial" w:hAnsi="Arial"/>
                <w:sz w:val="12"/>
                <w:szCs w:val="12"/>
                <w:color w:val="auto"/>
              </w:rPr>
              <w:t>Person</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8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80" w:type="dxa"/>
            <w:vAlign w:val="bottom"/>
            <w:gridSpan w:val="12"/>
            <w:vMerge w:val="continue"/>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00" w:type="dxa"/>
            <w:vAlign w:val="bottom"/>
            <w:gridSpan w:val="13"/>
          </w:tcPr>
          <w:p>
            <w:pPr>
              <w:ind w:left="80"/>
              <w:spacing w:after="0" w:line="122" w:lineRule="exact"/>
              <w:rPr>
                <w:sz w:val="20"/>
                <w:szCs w:val="20"/>
                <w:color w:val="auto"/>
              </w:rPr>
            </w:pPr>
            <w:r>
              <w:rPr>
                <w:rFonts w:ascii="Arial" w:cs="Arial" w:eastAsia="Arial" w:hAnsi="Arial"/>
                <w:sz w:val="12"/>
                <w:szCs w:val="12"/>
                <w:color w:val="auto"/>
              </w:rPr>
              <w:t>the affirmative defense conditions of Rule 10b5-1(c). See Instruction 10.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3"/>
          </w:tcPr>
          <w:p>
            <w:pPr>
              <w:ind w:left="8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8"/>
          </w:tcPr>
          <w:p>
            <w:pPr>
              <w:ind w:left="7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ind w:left="780"/>
              <w:spacing w:after="0" w:line="125" w:lineRule="exact"/>
              <w:rPr>
                <w:sz w:val="20"/>
                <w:szCs w:val="20"/>
                <w:color w:val="auto"/>
              </w:rPr>
            </w:pPr>
            <w:r>
              <w:rPr>
                <w:rFonts w:ascii="Arial" w:cs="Arial" w:eastAsia="Arial" w:hAnsi="Arial"/>
                <w:sz w:val="12"/>
                <w:szCs w:val="12"/>
                <w:b w:val="1"/>
                <w:bCs w:val="1"/>
                <w:color w:val="auto"/>
                <w:w w:val="92"/>
              </w:rPr>
              <w:t>Date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8"/>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gridSpan w:val="3"/>
          </w:tcPr>
          <w:p>
            <w:pPr>
              <w:spacing w:after="0"/>
              <w:rPr>
                <w:sz w:val="7"/>
                <w:szCs w:val="7"/>
                <w:color w:val="auto"/>
              </w:rPr>
            </w:pPr>
          </w:p>
        </w:tc>
        <w:tc>
          <w:tcPr>
            <w:tcW w:w="19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2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84"/>
              </w:rPr>
              <w:t>Date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3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6"/>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10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w w:val="85"/>
              </w:rPr>
              <w:t>06/21/2033</w:t>
            </w:r>
            <w:r>
              <w:rPr>
                <w:rFonts w:ascii="Arial" w:cs="Arial" w:eastAsia="Arial" w:hAnsi="Arial"/>
                <w:sz w:val="21"/>
                <w:szCs w:val="21"/>
                <w:color w:val="008000"/>
                <w:w w:val="85"/>
                <w:vertAlign w:val="superscript"/>
              </w:rPr>
              <w:t>(1)</w:t>
            </w:r>
          </w:p>
        </w:tc>
        <w:tc>
          <w:tcPr>
            <w:tcW w:w="880" w:type="dxa"/>
            <w:vAlign w:val="bottom"/>
            <w:gridSpan w:val="3"/>
            <w:vMerge w:val="restart"/>
          </w:tcPr>
          <w:p>
            <w:pPr>
              <w:ind w:left="120"/>
              <w:spacing w:after="0"/>
              <w:rPr>
                <w:sz w:val="20"/>
                <w:szCs w:val="20"/>
                <w:color w:val="auto"/>
              </w:rPr>
            </w:pPr>
            <w:r>
              <w:rPr>
                <w:rFonts w:ascii="Arial" w:cs="Arial" w:eastAsia="Arial" w:hAnsi="Arial"/>
                <w:sz w:val="13"/>
                <w:szCs w:val="13"/>
                <w:color w:val="0000FF"/>
                <w:w w:val="90"/>
              </w:rPr>
              <w:t>06/21/2033</w:t>
            </w:r>
            <w:r>
              <w:rPr>
                <w:rFonts w:ascii="Arial" w:cs="Arial" w:eastAsia="Arial" w:hAnsi="Arial"/>
                <w:sz w:val="21"/>
                <w:szCs w:val="21"/>
                <w:color w:val="008000"/>
                <w:w w:val="90"/>
                <w:vertAlign w:val="superscript"/>
              </w:rPr>
              <w:t>(1)</w:t>
            </w: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53,730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Options</w:t>
            </w:r>
          </w:p>
        </w:tc>
        <w:tc>
          <w:tcPr>
            <w:tcW w:w="64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150.75</w:t>
            </w:r>
          </w:p>
        </w:tc>
        <w:tc>
          <w:tcPr>
            <w:tcW w:w="140" w:type="dxa"/>
            <w:vAlign w:val="bottom"/>
          </w:tcPr>
          <w:p>
            <w:pPr>
              <w:spacing w:after="0"/>
              <w:rPr>
                <w:sz w:val="12"/>
                <w:szCs w:val="12"/>
                <w:color w:val="auto"/>
              </w:rPr>
            </w:pPr>
          </w:p>
        </w:tc>
        <w:tc>
          <w:tcPr>
            <w:tcW w:w="1080" w:type="dxa"/>
            <w:vAlign w:val="bottom"/>
          </w:tcPr>
          <w:p>
            <w:pPr>
              <w:jc w:val="right"/>
              <w:ind w:right="196"/>
              <w:spacing w:after="0" w:line="141" w:lineRule="exact"/>
              <w:rPr>
                <w:sz w:val="20"/>
                <w:szCs w:val="20"/>
                <w:color w:val="auto"/>
              </w:rPr>
            </w:pPr>
            <w:r>
              <w:rPr>
                <w:rFonts w:ascii="Arial" w:cs="Arial" w:eastAsia="Arial" w:hAnsi="Arial"/>
                <w:sz w:val="13"/>
                <w:szCs w:val="13"/>
                <w:color w:val="0000FF"/>
              </w:rPr>
              <w:t>06/21/2023</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5"/>
          </w:tcPr>
          <w:p>
            <w:pPr>
              <w:ind w:left="40"/>
              <w:spacing w:after="0" w:line="141" w:lineRule="exact"/>
              <w:rPr>
                <w:sz w:val="20"/>
                <w:szCs w:val="20"/>
                <w:color w:val="auto"/>
              </w:rPr>
            </w:pPr>
            <w:r>
              <w:rPr>
                <w:rFonts w:ascii="Arial" w:cs="Arial" w:eastAsia="Arial" w:hAnsi="Arial"/>
                <w:sz w:val="13"/>
                <w:szCs w:val="13"/>
                <w:color w:val="0000FF"/>
              </w:rPr>
              <w:t>A</w:t>
            </w: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w w:val="95"/>
              </w:rPr>
              <w:t>53,730</w:t>
            </w:r>
          </w:p>
        </w:tc>
        <w:tc>
          <w:tcPr>
            <w:tcW w:w="3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Arial" w:cs="Arial" w:eastAsia="Arial" w:hAnsi="Arial"/>
                <w:sz w:val="13"/>
                <w:szCs w:val="13"/>
                <w:color w:val="0000FF"/>
              </w:rPr>
              <w:t>par value</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gridSpan w:val="3"/>
          </w:tcPr>
          <w:p>
            <w:pPr>
              <w:ind w:left="220"/>
              <w:spacing w:after="0" w:line="141" w:lineRule="exact"/>
              <w:rPr>
                <w:sz w:val="20"/>
                <w:szCs w:val="20"/>
                <w:color w:val="auto"/>
              </w:rPr>
            </w:pPr>
            <w:r>
              <w:rPr>
                <w:rFonts w:ascii="Arial" w:cs="Arial" w:eastAsia="Arial" w:hAnsi="Arial"/>
                <w:sz w:val="13"/>
                <w:szCs w:val="13"/>
                <w:color w:val="0000FF"/>
                <w:w w:val="85"/>
              </w:rPr>
              <w:t>53,730</w:t>
            </w:r>
          </w:p>
        </w:tc>
        <w:tc>
          <w:tcPr>
            <w:tcW w:w="280" w:type="dxa"/>
            <w:vAlign w:val="bottom"/>
          </w:tcPr>
          <w:p>
            <w:pPr>
              <w:spacing w:after="0"/>
              <w:rPr>
                <w:sz w:val="12"/>
                <w:szCs w:val="12"/>
                <w:color w:val="auto"/>
              </w:rPr>
            </w:pPr>
          </w:p>
        </w:tc>
        <w:tc>
          <w:tcPr>
            <w:tcW w:w="64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(right to</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$0.001</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-5888990</wp:posOffset>
            </wp:positionV>
            <wp:extent cx="7046595" cy="5902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9023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180" w:firstLine="1"/>
        <w:spacing w:after="0" w:line="24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will vest in four equal annual installments, beginning on June 21, 2024, subject to certain forfeiture and acceleration events pursuant to the ExlService Holdings, Inc. 2018 Omnibus Incentive Plan.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2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Lazbart Oseni,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06/23/2023</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Arial" w:cs="Arial" w:eastAsia="Arial" w:hAnsi="Arial"/>
                <w:sz w:val="17"/>
                <w:szCs w:val="17"/>
                <w:color w:val="0000FF"/>
                <w:w w:val="78"/>
              </w:rPr>
              <w:t>Fact</w:t>
            </w:r>
          </w:p>
        </w:tc>
        <w:tc>
          <w:tcPr>
            <w:tcW w:w="18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798124" TargetMode="External"/><Relationship Id="rId9"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2023-06-23T16:58:25Z</dcterms:created>
  <dcterms:modified xsi:type="dcterms:W3CDTF">2023-06-23T16:58:25Z</dcterms:modified>
</cp:coreProperties>
</file>