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244304.xml.htm"/>
      <w:bookmarkStart w:id="1" w:name="kswkform4_17092443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Harrison Pamela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EXLSERVICE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16,604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in four equal annual installments, beginning on February 27, 2025. Vesting will be accelerated upon certain termination of employment events and upon a "Change in Control" (as defined in the ExlService Holdings, Inc. 2018 Omnibus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Note: On February 27, 2024 the reporting person was also granted performance-based restricted stock units that are subject to material conditions beyond the reporting person's control, and, therefore, are not considered derivative securities for purposes of Section 16 of the Securities Exchange Act of 1934, as amended, and are excluded from this report. 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6929"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3839</Characters>
  <CharactersWithSpaces>4472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