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Date of Report (Date of earliest event reported): November 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301"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540"/>
          </w:cols>
          <w:pgMar w:left="240" w:top="301"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99"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p>
      <w:pPr>
        <w:spacing w:after="0" w:line="200" w:lineRule="exact"/>
        <w:rPr>
          <w:sz w:val="24"/>
          <w:szCs w:val="24"/>
          <w:color w:val="auto"/>
        </w:r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6, 2008, ExlService Holdings, Inc. (the “Company”) reported its results of operations for the three and nine months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2008. A copy of the press release issued by the Company concerning the foregoing is furnished herewith as Exhibit 99.1 and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600" w:type="dxa"/>
            <w:vAlign w:val="bottom"/>
          </w:tcPr>
          <w:p>
            <w:pPr>
              <w:spacing w:after="0"/>
              <w:rPr>
                <w:sz w:val="15"/>
                <w:szCs w:val="15"/>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Press Release, dated November 6, 2008</w:t>
            </w:r>
          </w:p>
        </w:tc>
      </w:tr>
    </w:tbl>
    <w:p>
      <w:pPr>
        <w:sectPr>
          <w:pgSz w:w="11900" w:h="16838" w:orient="portrait"/>
          <w:cols w:equalWidth="0" w:num="1">
            <w:col w:w="11300"/>
          </w:cols>
          <w:pgMar w:left="240" w:top="27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7800" w:type="dxa"/>
            <w:vAlign w:val="bottom"/>
            <w:gridSpan w:val="2"/>
          </w:tcPr>
          <w:p>
            <w:pPr>
              <w:ind w:left="2280"/>
              <w:spacing w:after="0"/>
              <w:rPr>
                <w:sz w:val="20"/>
                <w:szCs w:val="20"/>
                <w:color w:val="auto"/>
              </w:rPr>
            </w:pPr>
            <w:r>
              <w:rPr>
                <w:rFonts w:ascii="Arial" w:cs="Arial" w:eastAsia="Arial" w:hAnsi="Arial"/>
                <w:sz w:val="18"/>
                <w:szCs w:val="18"/>
                <w:color w:val="auto"/>
              </w:rPr>
              <w:t>(Registrant)</w:t>
            </w:r>
          </w:p>
        </w:tc>
      </w:tr>
      <w:tr>
        <w:trPr>
          <w:trHeight w:val="428"/>
        </w:trPr>
        <w:tc>
          <w:tcPr>
            <w:tcW w:w="3620" w:type="dxa"/>
            <w:vAlign w:val="bottom"/>
          </w:tcPr>
          <w:p>
            <w:pPr>
              <w:spacing w:after="0"/>
              <w:rPr>
                <w:sz w:val="20"/>
                <w:szCs w:val="20"/>
                <w:color w:val="auto"/>
              </w:rPr>
            </w:pPr>
            <w:r>
              <w:rPr>
                <w:rFonts w:ascii="Arial" w:cs="Arial" w:eastAsia="Arial" w:hAnsi="Arial"/>
                <w:sz w:val="18"/>
                <w:szCs w:val="18"/>
                <w:color w:val="auto"/>
              </w:rPr>
              <w:t>Date: November 6, 2008</w:t>
            </w: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Appel</w:t>
            </w:r>
          </w:p>
        </w:tc>
      </w:tr>
      <w:tr>
        <w:trPr>
          <w:trHeight w:val="215"/>
        </w:trPr>
        <w:tc>
          <w:tcPr>
            <w:tcW w:w="3620" w:type="dxa"/>
            <w:vAlign w:val="bottom"/>
          </w:tcPr>
          <w:p>
            <w:pPr>
              <w:spacing w:after="0"/>
              <w:rPr>
                <w:sz w:val="18"/>
                <w:szCs w:val="18"/>
                <w:color w:val="auto"/>
              </w:rPr>
            </w:pPr>
          </w:p>
        </w:tc>
        <w:tc>
          <w:tcPr>
            <w:tcW w:w="2440" w:type="dxa"/>
            <w:vAlign w:val="bottom"/>
          </w:tcPr>
          <w:p>
            <w:pPr>
              <w:ind w:left="186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Matt Appel</w:t>
            </w:r>
          </w:p>
        </w:tc>
      </w:tr>
      <w:tr>
        <w:trPr>
          <w:trHeight w:val="222"/>
        </w:trPr>
        <w:tc>
          <w:tcPr>
            <w:tcW w:w="3620" w:type="dxa"/>
            <w:vAlign w:val="bottom"/>
          </w:tcPr>
          <w:p>
            <w:pPr>
              <w:spacing w:after="0"/>
              <w:rPr>
                <w:sz w:val="19"/>
                <w:szCs w:val="19"/>
                <w:color w:val="auto"/>
              </w:rPr>
            </w:pPr>
          </w:p>
        </w:tc>
        <w:tc>
          <w:tcPr>
            <w:tcW w:w="2440" w:type="dxa"/>
            <w:vAlign w:val="bottom"/>
          </w:tcPr>
          <w:p>
            <w:pPr>
              <w:ind w:left="186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5"/>
                <w:szCs w:val="15"/>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dated November 6, 2008</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87" w:lineRule="exact"/>
        <w:rPr>
          <w:sz w:val="20"/>
          <w:szCs w:val="20"/>
          <w:color w:val="auto"/>
        </w:rPr>
      </w:pPr>
    </w:p>
    <w:p>
      <w:pPr>
        <w:jc w:val="center"/>
        <w:ind w:left="260" w:right="2420"/>
        <w:spacing w:after="0" w:line="446" w:lineRule="auto"/>
        <w:rPr>
          <w:sz w:val="20"/>
          <w:szCs w:val="20"/>
          <w:color w:val="auto"/>
        </w:rPr>
      </w:pPr>
      <w:r>
        <w:rPr>
          <w:rFonts w:ascii="Arial" w:cs="Arial" w:eastAsia="Arial" w:hAnsi="Arial"/>
          <w:sz w:val="18"/>
          <w:szCs w:val="18"/>
          <w:b w:val="1"/>
          <w:bCs w:val="1"/>
          <w:color w:val="auto"/>
        </w:rPr>
        <w:t xml:space="preserve">EXL REPORTS 2008 THIRD QUARTER RESULTS </w:t>
      </w:r>
      <w:r>
        <w:rPr>
          <w:rFonts w:ascii="Arial" w:cs="Arial" w:eastAsia="Arial" w:hAnsi="Arial"/>
          <w:sz w:val="18"/>
          <w:szCs w:val="18"/>
          <w:b w:val="1"/>
          <w:bCs w:val="1"/>
          <w:i w:val="1"/>
          <w:iCs w:val="1"/>
          <w:color w:val="auto"/>
        </w:rPr>
        <w:t>Key New Client Wins in Insurance and Utilities Highlight Continued Business Momentum Third Quarter Revenues Grew 18% Year-Over-Year Third Quarter Operating Margin of 11.3%; Adjusted Operating Margin of 14.7%</w:t>
      </w:r>
    </w:p>
    <w:p>
      <w:pPr>
        <w:spacing w:after="0" w:line="38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New York, NY – November 6, 2008 – ExlService Holdings, Inc. (NASDAQ: EXLS), a leading provider of Outsourcing and Transformation Services, today announced its financial results for the quarter ended September 30, 2008.</w:t>
      </w:r>
    </w:p>
    <w:p>
      <w:pPr>
        <w:spacing w:after="0" w:line="1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Rohit Kapoor, President and CEO of EXL, commented: “In the most challenging economic environment in recent history, our business model continues to demonstrate resilience and renewed growth momentum. Our clients and prospects have become aggressive in cutting their costs and we therefore expect them to increase their usage of EXL’s Outsourcing and Transformation services. In addition, the slowdown of the GDP growth rate in India and the Philippines has enhanced our ability to hire, train and retain talent in our principal delivery locations. While currency volatility creates interim challenges for us, in the longer term it should allow us to offer an effective lower price to our customers. All of these trends are positively impacting our pipeline, our business with current clients and employee base.</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third quarter, EXL had success in terms of both new client wins and expansions with our existing strategic clients. Our performance this quarter was again led by rapid growth in our Transformation business across an increasingly diversified base of client relationships. Importantly, our pipeline of Transformation clients that may evolve into Outsourcing clients is strong and our overall vision and business strategy is aligned with the market. With the continued expansion of our pipeline and some key client wins and expansions that we are announcing in the third quarter, our Outsourcing business is well positioned to meet our long-term growth objectives. Our strong balance sheet as well as our generation of free cash flow from operations positions us as a financially secure partner for our clients and allows us to maintain our focus on growth oriented investments during these turbulent times.”</w:t>
      </w:r>
    </w:p>
    <w:p>
      <w:pPr>
        <w:spacing w:after="0" w:line="12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Matt Appel, CFO of EXL, commented: “EXL’s third quarter financial results reflect a 17.8% year-over-year increase in revenue from our continuing operations, net of a 4.3% impact related to the depreciation of the U.K. pound. Our gross margin increased to 39.8% from 34.3% a year earlier and adjusted operating profit increased to 14.7% from 7.9% a year earlier – despite the exercise of the Aviva BOT call option during the third quarter – due to improvements in operating efficiency and the continued depreciation of the Indian rupee. Cash flow from operations for the quarter was $9.8 million, and we ended the quarter with $101.8 million of cash and no debt. Due to the extremely volatile currency environment, earnings per share for the third quarter were negatively impacted by significant foreign exchange losses. Effective in the fourth quarter, we are now hedging a substantial portion of our balance sheet foreign exchange risk and therefore expect the negative impact of translation losses to be significantly lower in the future. Based on our confidence in our current business outlook as well as our strong balance sheet and cash flows, we are announcing a $10 million share repurchase program that we intend to execute over the next twelve months.”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 – Third Quarter 2008</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Financial highlights are based on continuing operations of the Company and exclude the Aviva BOT, which is treated as a discontinued operation as of the third quarter of 2008. Reconciliations of adjusted financial measures to GAAP are included at the end of this release.</w:t>
      </w:r>
    </w:p>
    <w:p>
      <w:pPr>
        <w:spacing w:after="0" w:line="51" w:lineRule="exact"/>
        <w:rPr>
          <w:sz w:val="20"/>
          <w:szCs w:val="20"/>
          <w:color w:val="auto"/>
        </w:rPr>
      </w:pPr>
    </w:p>
    <w:p>
      <w:pPr>
        <w:ind w:left="900" w:right="200" w:hanging="325"/>
        <w:spacing w:after="0" w:line="28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for the quarter ended September 30, 2008 increased 17.8% to $46.6 million from $39.5 million in the quarter ended September 30, 2007 and was essentially flat as compared to $47.0 million in the quarter ended June 30, 2008. Revenues for the quarters ended September 30,</w:t>
      </w:r>
    </w:p>
    <w:p>
      <w:pPr>
        <w:ind w:left="900" w:right="40"/>
        <w:spacing w:after="0" w:line="288" w:lineRule="auto"/>
        <w:rPr>
          <w:rFonts w:ascii="Arial" w:cs="Arial" w:eastAsia="Arial" w:hAnsi="Arial"/>
          <w:sz w:val="16"/>
          <w:szCs w:val="16"/>
          <w:color w:val="auto"/>
        </w:rPr>
      </w:pPr>
      <w:r>
        <w:rPr>
          <w:rFonts w:ascii="Arial" w:cs="Arial" w:eastAsia="Arial" w:hAnsi="Arial"/>
          <w:sz w:val="16"/>
          <w:szCs w:val="16"/>
          <w:color w:val="auto"/>
        </w:rPr>
        <w:t>2008, September 30, 2007, and June 30, 2008, exclude amounts attributable to discontinued operations of $3.1 million, $7.1 million, and $6.8 million, respectively. Year-over-year revenue growth is net of the negative impact related to the appreciation of the U.S. dollar to the U.K. pound amounting to $1.7 million, or 4.3%, of revenues. Revenues attributable to Outsourcing Services for the quarter ended September 30, 2008 increased 10.9% to $34.5 million from $31.1 million in the quarter ended September 30, 2007, but declined $1.6 million, or 4.4%, as compared to $36.1 million for the quarter ended June 30, 2008, partially due to the appreciation of the U.S. dollar to the U.K. pound. Transformation Services revenues for the quarter ended September 30, 2008 increased 43.5% to $12.0 million from $8.4 million in the quarter ended September 30, 2007 and 10.7% as compared to $10.9 million for the quarter ended June 30, 2008.</w:t>
      </w:r>
    </w:p>
    <w:p>
      <w:pPr>
        <w:spacing w:after="0" w:line="41"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September 30, 2008 was 39.8% compared to 34.3% for the quarter ended September 30, 2007 and 35.7% for the quarter ended June 30, 2008. Third quarter 2008 gross margin increased as compared to the previous quarter due to improved utilization of personnel in Transformation Services and better utilization of our physical infrastructure. The positive impact of exchange rates on gross margin for the third quarter of 2008 compared to the previous quarter was approximately $0.1 million. During the third quarter of 2008, the Indian rupee and U.K. pound depreciated 9.2% and 9.5%, respectively, against the U.S. dollar.</w:t>
      </w:r>
    </w:p>
    <w:p>
      <w:pPr>
        <w:spacing w:after="0" w:line="34" w:lineRule="exact"/>
        <w:rPr>
          <w:rFonts w:ascii="Arial" w:cs="Arial" w:eastAsia="Arial" w:hAnsi="Arial"/>
          <w:sz w:val="16"/>
          <w:szCs w:val="16"/>
          <w:color w:val="auto"/>
        </w:rPr>
      </w:pPr>
    </w:p>
    <w:p>
      <w:pPr>
        <w:ind w:left="900" w:right="60" w:hanging="325"/>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margin for the quarter ended September 30, 2008 was 11.3%, compared to 4.4% for the quarter ended September 30, 2007 and 5.2% for the quarter ended June 30, 2008. Adjusted operating margin, excluding the impact of stock-based compensation expense and amortization of intangibles, for the quarter ended September 30, 2008 was 14.7% compared to 7.9% for the quarter ended September 30, 2007 and 9.7% for the quarter ended June 30, 2008. Third quarter 2008 operating margin increased $2.8 million from the previous quarter, despite the exercise of the Aviva BOT call option, primarily due to $0.9 million of general and administrative cost reductions, increased gross margin of $1.6 million, and the favorable impact of exchange rates of $0.4 million.</w:t>
      </w:r>
    </w:p>
    <w:p>
      <w:pPr>
        <w:spacing w:after="0" w:line="39"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Diluted earnings per share from continuing operations for the quarter ended September 30, 2008 was $0.01 compared to $0.14 in the quarter ended September 30, 2007. This decline is attributable to the foreign exchange losses incurred during the quarter ended September 30, 2008 of $6.6 million, of which $3.8 million relates to translation of foreign denominated monetary assets and liabilities into their functional currency. Effective in the fourth quarter, we are hedging a substantial portion of our balance sheet foreign exchange risk and therefore expect the negative impact of translation losses to be significantly lower in the future. Approximately $1 million of the foreign exchange losses in the quarter are expected to be one-time in nature and are attributable to hedge contracts that were cancelled during the quarter as a result of changes to our forecasted U.K. pound revenues.</w:t>
      </w:r>
    </w:p>
    <w:p>
      <w:pPr>
        <w:spacing w:after="0" w:line="23" w:lineRule="exact"/>
        <w:rPr>
          <w:rFonts w:ascii="Arial" w:cs="Arial" w:eastAsia="Arial" w:hAnsi="Arial"/>
          <w:sz w:val="15"/>
          <w:szCs w:val="15"/>
          <w:color w:val="auto"/>
        </w:rPr>
      </w:pPr>
    </w:p>
    <w:p>
      <w:pPr>
        <w:ind w:left="900" w:right="10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generated from our large</w:t>
      </w:r>
      <w:r>
        <w:rPr>
          <w:rFonts w:ascii="Arial" w:cs="Arial" w:eastAsia="Arial" w:hAnsi="Arial"/>
          <w:sz w:val="16"/>
          <w:szCs w:val="16"/>
          <w:i w:val="1"/>
          <w:iCs w:val="1"/>
          <w:color w:val="auto"/>
        </w:rPr>
        <w:t>s</w:t>
      </w:r>
      <w:r>
        <w:rPr>
          <w:rFonts w:ascii="Arial" w:cs="Arial" w:eastAsia="Arial" w:hAnsi="Arial"/>
          <w:sz w:val="16"/>
          <w:szCs w:val="16"/>
          <w:color w:val="auto"/>
        </w:rPr>
        <w:t>t client represented 22.6% of total revenues for the quarter ended September 30, 2008 as compared to 30.4% for the quarter ended September 30, 2007. Revenues generated from our three largest clients represented 44.1% of total revenues for the quarter ended September 30, 2008 as compared to 50.0% for the quarter ended September 30, 2007.</w:t>
      </w:r>
    </w:p>
    <w:p>
      <w:pPr>
        <w:spacing w:after="0" w:line="25" w:lineRule="exact"/>
        <w:rPr>
          <w:rFonts w:ascii="Arial" w:cs="Arial" w:eastAsia="Arial" w:hAnsi="Arial"/>
          <w:sz w:val="16"/>
          <w:szCs w:val="16"/>
          <w:color w:val="auto"/>
        </w:rPr>
      </w:pPr>
    </w:p>
    <w:p>
      <w:pPr>
        <w:ind w:left="900" w:right="20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experienced quarterly attrition of 36% for billable employees compared to 39% for the third quarter of 2007 and 29% for the second quarter of 2008. As of September 30, 2008, EXL had a headcount of approximately 9,100 individuals (excluding approximately 1,600 personnel in discontinued operations and including personnel managed under structured client service agreements) as compared to approximately 8,500 in the third quarter of 2007.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left="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Announcements – Third Quarter 2008</w:t>
      </w:r>
    </w:p>
    <w:p>
      <w:pPr>
        <w:spacing w:after="0" w:line="9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EXL won four strategic Outsourcing clients – two in its insurance vertical and two in its utilities vertical.</w:t>
      </w:r>
    </w:p>
    <w:p>
      <w:pPr>
        <w:spacing w:after="0" w:line="90" w:lineRule="exact"/>
        <w:rPr>
          <w:rFonts w:ascii="Arial" w:cs="Arial" w:eastAsia="Arial" w:hAnsi="Arial"/>
          <w:sz w:val="18"/>
          <w:szCs w:val="18"/>
          <w:color w:val="auto"/>
        </w:rPr>
      </w:pPr>
    </w:p>
    <w:p>
      <w:pPr>
        <w:ind w:left="900" w:right="80" w:hanging="325"/>
        <w:spacing w:after="0" w:line="35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Transformation business continued its momentum by signing a pilot program to perform credit card analytics for a leading bank. Our transformation business has also won an assignment to provide risk advisory services for a leading wholesale distribution company and a U.S. bank.</w:t>
      </w: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client demand was strong as evidenced by the award of additional mandates from three existing strategic clients and the migration of 19 new processes during the quarter.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result of increased demand from existing clients, EXL plans to add an additional delivery facility with 300 seats in the fourth quarter of 2008.</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the Philippines has continued with the successful addition of an insurance client during the quarter; EXL now has four clients in its Philippines facility.</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contract to provide customer service for a U.K. telecommunications provider has been terminated effective October 31, 2008 due to the client’s continued consolidation among its vendors.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 of a $10 million share repurchase program to be executed over the course of the next twelve months.</w:t>
      </w:r>
    </w:p>
    <w:p>
      <w:pPr>
        <w:spacing w:after="0" w:line="90"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ongoing investment into our client facing professionals continued and we recently hired Bruce Polsky as Head of Strategic Account Management, North America. Bruce will be focused on helping EXL align its strategic priorities with client objectives while providing senior onshore support to grow EXL’s strategic accounts. Bruce joins EXL from Cognizant Technology Solutions where he was a Managing Client Partner for the past three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of 2008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visibility, the Company is providing the following guidance for the fourth quarter of 2008 based on current exchange rates: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approximately $41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margin, excluding the impact of stock-based compensation expense and amortization of intangibles, of 7.0%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EXL will host a conference call on Thursday, November 6, at 8:00 a.m. (ET) to discuss the Company’s quarterly results and discuss the Company’s operating performance and financial outlook. The conference call will be available live via the internet by accessing the EXL web site at www.exlservice.com, where the accompanying presentation can also be accessed. Please go to the website at least fifteen minutes prior to the call to register, download and install any necessary audio software.</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listen to the conference call via phone, please dial +1-800-291-5365 or 1-617-614-3922 and enter “74033241”. For those who cannot access the live broadcast, a replay will be available by dialing +1-888-286-8010 or +1-617-801-6888 and entering “68590148” from two hours after the end of the call until 11:59 p.m. (EST) on November 13, 2008. The replay will also be available at the EXL web 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ExlService Holdings, Inc. (Nasdaq: EXLS)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reengineering including Six Sigma process improvement, research &amp; analytics and risk advisory services. Headquartered in New York, EXL primarily serves the needs of Global 1000 companies in the insurance, utilities, financial services, healthcare and transportation sectors. Find additional information about EXL at www.exlservice.com.</w:t>
      </w:r>
    </w:p>
    <w:p>
      <w:pPr>
        <w:spacing w:after="0" w:line="1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w:t>
      </w:r>
    </w:p>
    <w:p>
      <w:pPr>
        <w:ind w:right="120"/>
        <w:spacing w:after="0" w:line="261" w:lineRule="auto"/>
        <w:rPr>
          <w:sz w:val="20"/>
          <w:szCs w:val="20"/>
          <w:color w:val="auto"/>
        </w:rPr>
      </w:pPr>
      <w:r>
        <w:rPr>
          <w:rFonts w:ascii="Arial" w:cs="Arial" w:eastAsia="Arial" w:hAnsi="Arial"/>
          <w:sz w:val="18"/>
          <w:szCs w:val="18"/>
          <w:i w:val="1"/>
          <w:iCs w:val="1"/>
          <w:color w:val="auto"/>
        </w:rPr>
        <w:t>10-K for the year ended December 31, 2007. These risks could cause actual results to differ materially from those implied by forward-looking statements in this release.</w:t>
      </w:r>
    </w:p>
    <w:p>
      <w:pPr>
        <w:spacing w:after="0" w:line="13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46,354,247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38,993,700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137,572,110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107,612,586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Revenues (from related parties)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218,655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46,572,902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39,532,450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138,019,395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108,875,371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28,046,252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25,975,507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86,902,523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72,792,231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18,526,650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13,556,943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51,116,872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36,083,140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7,348,869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6,873,549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24,193,187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19,456,574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3,081,174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2,556,621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8,365,991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6,547,878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2,832,082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2,368,489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13,262,125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11,798,659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40,860,432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32,705,119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5,264,525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1,758,284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10,256,440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(6,636,434)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2,118,766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(5,846,928)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1,173,444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1,018,015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2,351,680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3,035,481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Income/(loss) from continuing operations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(214,977)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4,882,231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6,702,862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11,375,878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(589,309)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374,332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4,011,439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7,686,360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10,484,339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(1,449,594)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2,228,001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(1,075,262)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6,239,440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10,988,622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17,268,114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Earnings/(loss)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28,846,137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28,644,120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28,801,102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28,387,242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29,127,304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29,115,603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29,257,254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29,096,915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101,753,142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101,405,889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w w:val="94"/>
              </w:rPr>
              <w:t>Accounts receivable, net of allowance for doubtful accounts of $136,711 at September 30, 2008 and $85,539 at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640"/>
              <w:spacing w:after="0"/>
              <w:rPr>
                <w:sz w:val="20"/>
                <w:szCs w:val="20"/>
                <w:color w:val="auto"/>
              </w:rPr>
            </w:pPr>
            <w:r>
              <w:rPr>
                <w:rFonts w:ascii="Arial" w:cs="Arial" w:eastAsia="Arial" w:hAnsi="Arial"/>
                <w:sz w:val="18"/>
                <w:szCs w:val="18"/>
                <w:color w:val="auto"/>
              </w:rPr>
              <w:t>December 31, 2007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41,795,992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38,513,774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2,383,034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3,091,961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income tax</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2,939,275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7,190,909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153,059,076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163,141,493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24,112,708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24,142,470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Intangibles, net of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17,703,020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16,785,487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8,504,777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7,631,029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207,118,866</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218,361,845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1,968,409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4,440,261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11,909,302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12,893,462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23,599,512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17,103,150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141,435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39,770,710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43,570,992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3,236,837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43,219,763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44,382,076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w w:val="91"/>
              </w:rPr>
              <w:t>Common stock, $0.001 par value; 100,000,000 shares authorized, 29,026,695 shares issued and outstanding as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640"/>
              <w:spacing w:after="0"/>
              <w:rPr>
                <w:sz w:val="20"/>
                <w:szCs w:val="20"/>
                <w:color w:val="auto"/>
              </w:rPr>
            </w:pPr>
            <w:r>
              <w:rPr>
                <w:rFonts w:ascii="Arial" w:cs="Arial" w:eastAsia="Arial" w:hAnsi="Arial"/>
                <w:sz w:val="18"/>
                <w:szCs w:val="18"/>
                <w:color w:val="auto"/>
              </w:rPr>
              <w:t>September 30, 2008 and 28,891,043 shares issued and outstanding as of December 31, 2007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115,976,713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110,988,552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66,601,804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55,708,233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(18,154,747)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164,452,797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174,295,702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Less: 179,027 shares as of September 30, 2008 and 163,690 shares as of December 31, 2007, held in treasury, at cost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(553,694)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(315,933)</w:t>
            </w: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163,899,103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173,979,769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207,118,866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218,361,845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three month periods ended September 30,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2007 and June 30,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96"/>
              </w:rPr>
              <w:t>2007</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3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US GAAP</w:t>
            </w:r>
          </w:p>
        </w:tc>
        <w:tc>
          <w:tcPr>
            <w:tcW w:w="1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46,573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46,573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39,532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0"/>
              </w:rPr>
              <w:t>39,532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5"/>
              </w:rPr>
              <w:t>Cost of revenues (exclusive of depreciation and amortization)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28,046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(396) (a)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27,650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25,976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(313) (a)</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25,662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18,527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18,923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13,557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0"/>
              </w:rPr>
              <w:t>13,870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Gross Margin %</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i w:val="1"/>
                <w:iCs w:val="1"/>
                <w:color w:val="auto"/>
              </w:rPr>
              <w:t>39.8%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i w:val="1"/>
                <w:iCs w:val="1"/>
                <w:color w:val="auto"/>
              </w:rPr>
              <w:t>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34.3%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i w:val="1"/>
                <w:iCs w:val="1"/>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7"/>
              </w:rPr>
              <w:t>10,430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(1,155) (a)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(846) (a)</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2,832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 (b)</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(225) (b)</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1,602</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6,866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3,142</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Operations Margin %</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i w:val="1"/>
                <w:iCs w:val="1"/>
                <w:color w:val="auto"/>
              </w:rPr>
              <w:t>11.3%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i w:val="1"/>
                <w:iCs w:val="1"/>
                <w:color w:val="auto"/>
              </w:rPr>
              <w:t>14.7%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i w:val="1"/>
                <w:iCs w:val="1"/>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15"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0"/>
              </w:rPr>
              <w:t>Three Months Ended June 30,</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w w:val="96"/>
              </w:rPr>
              <w:t>2008</w:t>
            </w:r>
          </w:p>
        </w:tc>
        <w:tc>
          <w:tcPr>
            <w:tcW w:w="3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3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47,015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47,015</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5"/>
              </w:rPr>
              <w:t>Cost of revenues (exclusive of depreciation and amortization)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30,222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(455) (a)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29,768</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16,793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0"/>
              </w:rPr>
              <w:t>17,247</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Gross Margin %</w:t>
            </w:r>
          </w:p>
        </w:tc>
        <w:tc>
          <w:tcPr>
            <w:tcW w:w="100" w:type="dxa"/>
            <w:vAlign w:val="bottom"/>
          </w:tcPr>
          <w:p>
            <w:pPr>
              <w:spacing w:after="0"/>
              <w:rPr>
                <w:sz w:val="18"/>
                <w:szCs w:val="18"/>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35.7%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36.7%</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87"/>
              </w:rPr>
              <w:t>11,381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(1,432) (a)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9,949</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2,954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b w:val="1"/>
                <w:bCs w:val="1"/>
                <w:color w:val="auto"/>
              </w:rPr>
              <w:t>(221) (b)</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2,733</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2,107</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4,565</w:t>
            </w:r>
          </w:p>
        </w:tc>
        <w:tc>
          <w:tcPr>
            <w:tcW w:w="3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Operations Margin %</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5.2%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9.7%</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21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2019-12-15T11:08:14Z</dcterms:created>
  <dcterms:modified xsi:type="dcterms:W3CDTF">2019-12-15T11:08:14Z</dcterms:modified>
</cp:coreProperties>
</file>