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514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1497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1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STAGLIN GAREN K</w:t>
              </w:r>
            </w:hyperlink>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8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80" w:type="dxa"/>
            <w:vAlign w:val="bottom"/>
            <w:gridSpan w:val="8"/>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ind w:left="220"/>
              <w:spacing w:after="0" w:line="122"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ind w:left="30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03/15/2022</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320 PARK AVENUE</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29TH FLOOR</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00" w:type="dxa"/>
            <w:vAlign w:val="bottom"/>
            <w:gridSpan w:val="3"/>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20"/>
              <w:spacing w:after="0"/>
              <w:rPr>
                <w:sz w:val="20"/>
                <w:szCs w:val="20"/>
                <w:color w:val="auto"/>
              </w:rPr>
            </w:pPr>
            <w:r>
              <w:rPr>
                <w:rFonts w:ascii="Arial" w:cs="Arial" w:eastAsia="Arial" w:hAnsi="Arial"/>
                <w:sz w:val="17"/>
                <w:szCs w:val="17"/>
                <w:color w:val="0000FF"/>
              </w:rPr>
              <w:t>10022</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220"/>
              <w:spacing w:after="0" w:line="131" w:lineRule="exact"/>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580" w:type="dxa"/>
            <w:vAlign w:val="bottom"/>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760" w:type="dxa"/>
            <w:vAlign w:val="bottom"/>
            <w:tcBorders>
              <w:top w:val="single" w:sz="8" w:color="2C2C2C"/>
            </w:tcBorders>
            <w:gridSpan w:val="20"/>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60" w:type="dxa"/>
            <w:vAlign w:val="bottom"/>
            <w:gridSpan w:val="5"/>
          </w:tcPr>
          <w:p>
            <w:pPr>
              <w:ind w:left="1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4"/>
                <w:szCs w:val="14"/>
                <w:color w:val="auto"/>
              </w:rPr>
            </w:pPr>
          </w:p>
        </w:tc>
        <w:tc>
          <w:tcPr>
            <w:tcW w:w="18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8"/>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tcBorders>
              <w:bottom w:val="single" w:sz="8" w:color="2C2C2C"/>
            </w:tcBorders>
            <w:gridSpan w:val="5"/>
          </w:tcPr>
          <w:p>
            <w:pPr>
              <w:ind w:left="140"/>
              <w:spacing w:after="0"/>
              <w:rPr>
                <w:sz w:val="20"/>
                <w:szCs w:val="20"/>
                <w:color w:val="auto"/>
              </w:rPr>
            </w:pPr>
            <w:r>
              <w:rPr>
                <w:rFonts w:ascii="Arial" w:cs="Arial" w:eastAsia="Arial" w:hAnsi="Arial"/>
                <w:sz w:val="17"/>
                <w:szCs w:val="17"/>
                <w:color w:val="0000FF"/>
                <w:w w:val="97"/>
              </w:rPr>
              <w:t>03/15/2022</w:t>
            </w:r>
            <w:r>
              <w:rPr>
                <w:rFonts w:ascii="Arial" w:cs="Arial" w:eastAsia="Arial" w:hAnsi="Arial"/>
                <w:sz w:val="21"/>
                <w:szCs w:val="21"/>
                <w:color w:val="008000"/>
                <w:w w:val="97"/>
                <w:vertAlign w:val="superscript"/>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1,275</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gridSpan w:val="2"/>
          </w:tcPr>
          <w:p>
            <w:pPr>
              <w:ind w:left="160"/>
              <w:spacing w:after="0" w:line="312"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(2)</w:t>
            </w:r>
          </w:p>
        </w:tc>
        <w:tc>
          <w:tcPr>
            <w:tcW w:w="1320" w:type="dxa"/>
            <w:vAlign w:val="bottom"/>
            <w:tcBorders>
              <w:bottom w:val="single" w:sz="8" w:color="2C2C2C"/>
            </w:tcBorders>
            <w:gridSpan w:val="4"/>
          </w:tcPr>
          <w:p>
            <w:pPr>
              <w:jc w:val="right"/>
              <w:ind w:right="341"/>
              <w:spacing w:after="0"/>
              <w:rPr>
                <w:sz w:val="20"/>
                <w:szCs w:val="20"/>
                <w:color w:val="auto"/>
              </w:rPr>
            </w:pPr>
            <w:r>
              <w:rPr>
                <w:rFonts w:ascii="Arial" w:cs="Arial" w:eastAsia="Arial" w:hAnsi="Arial"/>
                <w:sz w:val="17"/>
                <w:szCs w:val="17"/>
                <w:color w:val="0000FF"/>
              </w:rPr>
              <w:t>32,674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00" w:type="dxa"/>
            <w:vAlign w:val="bottom"/>
            <w:gridSpan w:val="8"/>
            <w:vMerge w:val="restart"/>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4"/>
            <w:vMerge w:val="restart"/>
          </w:tcPr>
          <w:p>
            <w:pPr>
              <w:jc w:val="right"/>
              <w:ind w:right="381"/>
              <w:spacing w:after="0"/>
              <w:rPr>
                <w:sz w:val="20"/>
                <w:szCs w:val="20"/>
                <w:color w:val="auto"/>
              </w:rPr>
            </w:pPr>
            <w:r>
              <w:rPr>
                <w:rFonts w:ascii="Arial" w:cs="Arial" w:eastAsia="Arial" w:hAnsi="Arial"/>
                <w:sz w:val="17"/>
                <w:szCs w:val="17"/>
                <w:color w:val="0000FF"/>
              </w:rPr>
              <w:t>1,854</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0"/>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gridSpan w:val="15"/>
          </w:tcPr>
          <w:p>
            <w:pPr>
              <w:ind w:left="1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56"/>
              <w:spacing w:after="0"/>
              <w:rPr>
                <w:sz w:val="20"/>
                <w:szCs w:val="20"/>
                <w:color w:val="auto"/>
              </w:rPr>
            </w:pPr>
            <w:r>
              <w:rPr>
                <w:rFonts w:ascii="Arial" w:cs="Arial" w:eastAsia="Arial" w:hAnsi="Arial"/>
                <w:sz w:val="13"/>
                <w:szCs w:val="13"/>
                <w:color w:val="0000FF"/>
              </w:rPr>
              <w:t>03/15/2022</w:t>
            </w:r>
            <w:r>
              <w:rPr>
                <w:rFonts w:ascii="Arial" w:cs="Arial" w:eastAsia="Arial" w:hAnsi="Arial"/>
                <w:sz w:val="21"/>
                <w:szCs w:val="21"/>
                <w:color w:val="008000"/>
                <w:vertAlign w:val="superscript"/>
              </w:rPr>
              <w:t>(1)</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2"/>
                <w:szCs w:val="12"/>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00" w:type="dxa"/>
            <w:vAlign w:val="bottom"/>
            <w:gridSpan w:val="2"/>
            <w:vMerge w:val="restart"/>
          </w:tcPr>
          <w:p>
            <w:pPr>
              <w:ind w:left="40"/>
              <w:spacing w:after="0"/>
              <w:rPr>
                <w:sz w:val="20"/>
                <w:szCs w:val="20"/>
                <w:color w:val="auto"/>
              </w:rPr>
            </w:pPr>
            <w:r>
              <w:rPr>
                <w:rFonts w:ascii="Arial" w:cs="Arial" w:eastAsia="Arial" w:hAnsi="Arial"/>
                <w:sz w:val="17"/>
                <w:szCs w:val="17"/>
                <w:color w:val="0000FF"/>
              </w:rPr>
              <w:t>1,275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520" w:type="dxa"/>
            <w:vAlign w:val="bottom"/>
          </w:tcPr>
          <w:p>
            <w:pPr>
              <w:ind w:left="100"/>
              <w:spacing w:after="0" w:line="143" w:lineRule="exact"/>
              <w:rPr>
                <w:sz w:val="20"/>
                <w:szCs w:val="20"/>
                <w:color w:val="auto"/>
              </w:rPr>
            </w:pPr>
            <w:r>
              <w:rPr>
                <w:rFonts w:ascii="Arial" w:cs="Arial" w:eastAsia="Arial" w:hAnsi="Arial"/>
                <w:sz w:val="13"/>
                <w:szCs w:val="13"/>
                <w:color w:val="0000FF"/>
              </w:rPr>
              <w:t>1,275</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Arial" w:cs="Arial" w:eastAsia="Arial" w:hAnsi="Arial"/>
                <w:sz w:val="13"/>
                <w:szCs w:val="13"/>
                <w:color w:val="0000FF"/>
              </w:rPr>
              <w:t>par value</w:t>
            </w:r>
          </w:p>
        </w:tc>
        <w:tc>
          <w:tcPr>
            <w:tcW w:w="500" w:type="dxa"/>
            <w:vAlign w:val="bottom"/>
            <w:gridSpan w:val="2"/>
            <w:vMerge w:val="continue"/>
          </w:tcPr>
          <w:p>
            <w:pPr>
              <w:spacing w:after="0"/>
              <w:rPr>
                <w:sz w:val="12"/>
                <w:szCs w:val="12"/>
                <w:color w:val="auto"/>
              </w:rPr>
            </w:pPr>
          </w:p>
        </w:tc>
        <w:tc>
          <w:tcPr>
            <w:tcW w:w="800" w:type="dxa"/>
            <w:vAlign w:val="bottom"/>
            <w:gridSpan w:val="3"/>
          </w:tcPr>
          <w:p>
            <w:pPr>
              <w:jc w:val="right"/>
              <w:ind w:right="29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20" w:type="dxa"/>
            <w:vAlign w:val="bottom"/>
          </w:tcPr>
          <w:p>
            <w:pPr>
              <w:ind w:left="360"/>
              <w:spacing w:after="0" w:line="143"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60" w:type="dxa"/>
            <w:vAlign w:val="bottom"/>
          </w:tcPr>
          <w:p>
            <w:pPr>
              <w:ind w:left="36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$0.001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Arial" w:cs="Arial" w:eastAsia="Arial" w:hAnsi="Arial"/>
          <w:sz w:val="13"/>
          <w:szCs w:val="13"/>
          <w:color w:val="0000FF"/>
        </w:rPr>
        <w:t>per share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20" w:firstLine="3"/>
        <w:spacing w:after="0" w:line="26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4, 2021, the reporting person was granted 1,275 restricted stock units, that vest upon the earlier of (i) the first anniversary of the date of grant, (ii) the end of the reporting person's term on the Board of Directors (the "Board") of ExlService Holdings, Inc. (the "Company") if such person is not subsequently elected to a new term on the Board, and (iii) the occurrence of a "Change of Control", as defined in the ExlService Holdings, Inc. 2018 Omnibus Incentive Plan (the "Plan"). Under the terms of the grant, such awards settle upon the earlier of (i) the reporting person's death, (ii) the occurrence of a "Change of Control", as defined in the Plan or (iii) the vesting date. Due to an administrative error, settlement was delayed until March 15, 2021.</w:t>
      </w:r>
    </w:p>
    <w:p>
      <w:pPr>
        <w:spacing w:after="0" w:line="19"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of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Owned by The Staglin Family Irrevocable Trust of 2018 dated November 9, 2018.</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03/16/2022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2022-03-16T16:11:03Z</dcterms:created>
  <dcterms:modified xsi:type="dcterms:W3CDTF">2022-03-16T16:11:03Z</dcterms:modified>
</cp:coreProperties>
</file>